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3249"/>
        <w:gridCol w:w="3249"/>
        <w:gridCol w:w="3249"/>
      </w:tblGrid>
      <w:tr>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La Auxiliadora</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Hogar de las Memorias</w:t>
            </w:r>
          </w:p>
        </w:tc>
        <w:tc>
          <w:tcPr>
            <w:tcW w:type="dxa" w:w="3118"/>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255" w:type="dxa"/>
              <w:left w:w="255" w:type="dxa"/>
              <w:bottom w:w="255" w:type="dxa"/>
              <w:right w:w="255" w:type="dxa"/>
            </w:tcMar>
          </w:tcPr>
          <w:p>
            <w:pPr>
              <w:spacing w:after="40"/>
              <w:jc w:val="center"/>
            </w:pPr>
            <w:r>
              <w:rPr>
                <w:rFonts w:ascii="Montserrat" w:hAnsi="Montserrat" w:eastAsia="Montserrat"/>
                <w:b/>
                <w:i w:val="0"/>
                <w:color w:val="7A8794"/>
                <w:sz w:val="16"/>
              </w:rPr>
              <w:t>LOGO</w:t>
            </w:r>
          </w:p>
          <w:p>
            <w:pPr>
              <w:spacing w:after="40"/>
              <w:jc w:val="center"/>
            </w:pPr>
            <w:r>
              <w:rPr>
                <w:rFonts w:ascii="Montserrat" w:hAnsi="Montserrat" w:eastAsia="Montserrat"/>
                <w:b/>
                <w:i w:val="0"/>
                <w:color w:val="1B365D"/>
                <w:sz w:val="24"/>
              </w:rPr>
              <w:t>Vangrupo</w:t>
            </w:r>
          </w:p>
        </w:tc>
      </w:tr>
    </w:tbl>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Las Colinas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1.1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1.1)</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2026 (aprobada): 1 venta en el mes = 8%, 2 ventas = 10%, 3 o más = 12% sobre la facturación.</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 2026</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Hogar de las Memorias y Parque Memorial Las Colinas,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CREMACIÓN · ADD-ON</w:t>
            </w:r>
          </w:p>
          <w:p>
            <w:pPr>
              <w:spacing w:after="40"/>
            </w:pPr>
            <w:r>
              <w:rPr>
                <w:rFonts w:ascii="Montserrat" w:hAnsi="Montserrat" w:eastAsia="Montserrat"/>
                <w:b/>
                <w:i w:val="0"/>
                <w:color w:val="0F2537"/>
                <w:sz w:val="25"/>
              </w:rPr>
              <w:t>Solución Modular</w:t>
            </w:r>
          </w:p>
          <w:p>
            <w:pPr>
              <w:spacing w:after="40"/>
            </w:pPr>
            <w:r>
              <w:rPr>
                <w:rFonts w:ascii="Montserrat" w:hAnsi="Montserrat" w:eastAsia="Montserrat"/>
                <w:b/>
                <w:i w:val="0"/>
                <w:color w:val="1B365D"/>
                <w:sz w:val="32"/>
              </w:rPr>
              <w:t>US$ 1.000</w:t>
            </w:r>
          </w:p>
          <w:p>
            <w:pPr>
              <w:spacing w:after="40"/>
            </w:pPr>
            <w:r>
              <w:rPr>
                <w:rFonts w:ascii="Montserrat" w:hAnsi="Montserrat" w:eastAsia="Montserrat"/>
                <w:b w:val="0"/>
                <w:i w:val="0"/>
                <w:color w:val="2C3E50"/>
                <w:sz w:val="17"/>
              </w:rPr>
              <w:t>Lanzamiento (−20%): US$ 800 · Pago en hasta 120 meses, con intereses</w:t>
            </w:r>
          </w:p>
        </w:tc>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INHUMACIÓN INDIVIDUAL</w:t>
            </w:r>
          </w:p>
          <w:p>
            <w:pPr>
              <w:spacing w:after="40"/>
            </w:pPr>
            <w:r>
              <w:rPr>
                <w:rFonts w:ascii="Montserrat" w:hAnsi="Montserrat" w:eastAsia="Montserrat"/>
                <w:b/>
                <w:i w:val="0"/>
                <w:color w:val="0F2537"/>
                <w:sz w:val="25"/>
              </w:rPr>
              <w:t>Jardín Individual</w:t>
            </w:r>
          </w:p>
          <w:p>
            <w:pPr>
              <w:spacing w:after="40"/>
            </w:pPr>
            <w:r>
              <w:rPr>
                <w:rFonts w:ascii="Montserrat" w:hAnsi="Montserrat" w:eastAsia="Montserrat"/>
                <w:b/>
                <w:i w:val="0"/>
                <w:color w:val="4F7A5A"/>
                <w:sz w:val="32"/>
              </w:rPr>
              <w:t>US$ 600</w:t>
            </w:r>
          </w:p>
          <w:p>
            <w:pPr>
              <w:spacing w:after="40"/>
            </w:pPr>
            <w:r>
              <w:rPr>
                <w:rFonts w:ascii="Montserrat" w:hAnsi="Montserrat" w:eastAsia="Montserrat"/>
                <w:b w:val="0"/>
                <w:i w:val="0"/>
                <w:color w:val="2C3E50"/>
                <w:sz w:val="17"/>
              </w:rPr>
              <w:t>Lanzamiento (−20%): US$ 480 · Pago único o financiado · Mantenimiento US$ 15/año</w:t>
            </w:r>
          </w:p>
        </w:tc>
        <w:tc>
          <w:tcPr>
            <w:tcW w:type="dxa" w:w="3214"/>
            <w:tcMar>
              <w:top w:w="124" w:type="dxa"/>
              <w:left w:w="124" w:type="dxa"/>
              <w:bottom w:w="124" w:type="dxa"/>
              <w:right w:w="124" w:type="dxa"/>
            </w:tcMar>
            <w:tcBorders>
              <w:top w:val="single" w:sz="36" w:color="1B365D"/>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1 · PARCELA FAMILIAR</w:t>
            </w:r>
          </w:p>
          <w:p>
            <w:pPr>
              <w:spacing w:after="40"/>
            </w:pPr>
            <w:r>
              <w:rPr>
                <w:rFonts w:ascii="Montserrat" w:hAnsi="Montserrat" w:eastAsia="Montserrat"/>
                <w:b/>
                <w:i w:val="0"/>
                <w:color w:val="0F2537"/>
                <w:sz w:val="25"/>
              </w:rPr>
              <w:t>Jardín Familiar</w:t>
            </w:r>
          </w:p>
          <w:p>
            <w:pPr>
              <w:spacing w:after="40"/>
            </w:pPr>
            <w:r>
              <w:rPr>
                <w:rFonts w:ascii="Montserrat" w:hAnsi="Montserrat" w:eastAsia="Montserrat"/>
                <w:b/>
                <w:i w:val="0"/>
                <w:color w:val="1B365D"/>
                <w:sz w:val="32"/>
              </w:rPr>
              <w:t>US$ 2.000</w:t>
            </w:r>
          </w:p>
          <w:p>
            <w:pPr>
              <w:spacing w:after="40"/>
            </w:pPr>
            <w:r>
              <w:rPr>
                <w:rFonts w:ascii="Montserrat" w:hAnsi="Montserrat" w:eastAsia="Montserrat"/>
                <w:b w:val="0"/>
                <w:i w:val="0"/>
                <w:color w:val="2C3E50"/>
                <w:sz w:val="17"/>
              </w:rPr>
              <w:t>Lanzamiento (−20%): US$ 1.600 · Pago único o financiado · Mantenimiento US$ 24/año</w:t>
            </w:r>
          </w:p>
        </w:tc>
      </w:tr>
      <w:tr>
        <w:tc>
          <w:tcPr>
            <w:tcW w:type="dxa" w:w="3214"/>
            <w:tcMar>
              <w:top w:w="124" w:type="dxa"/>
              <w:left w:w="124" w:type="dxa"/>
              <w:bottom w:w="124" w:type="dxa"/>
              <w:right w:w="124" w:type="dxa"/>
            </w:tcMar>
            <w:tcBorders>
              <w:top w:val="single" w:sz="36" w:color="4F7A5A"/>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JARDÍN 2 · BOSQUE DE LAS ORQUÍDEAS</w:t>
            </w:r>
          </w:p>
          <w:p>
            <w:pPr>
              <w:spacing w:after="40"/>
            </w:pPr>
            <w:r>
              <w:rPr>
                <w:rFonts w:ascii="Montserrat" w:hAnsi="Montserrat" w:eastAsia="Montserrat"/>
                <w:b/>
                <w:i w:val="0"/>
                <w:color w:val="0F2537"/>
                <w:sz w:val="25"/>
              </w:rPr>
              <w:t>Jardín Ecológico</w:t>
            </w:r>
          </w:p>
          <w:p>
            <w:pPr>
              <w:spacing w:after="40"/>
            </w:pPr>
            <w:r>
              <w:rPr>
                <w:rFonts w:ascii="Montserrat" w:hAnsi="Montserrat" w:eastAsia="Montserrat"/>
                <w:b/>
                <w:i w:val="0"/>
                <w:color w:val="4F7A5A"/>
                <w:sz w:val="32"/>
              </w:rPr>
              <w:t>US$ 750</w:t>
            </w:r>
          </w:p>
          <w:p>
            <w:pPr>
              <w:spacing w:after="40"/>
            </w:pPr>
            <w:r>
              <w:rPr>
                <w:rFonts w:ascii="Montserrat" w:hAnsi="Montserrat" w:eastAsia="Montserrat"/>
                <w:b w:val="0"/>
                <w:i w:val="0"/>
                <w:color w:val="2C3E50"/>
                <w:sz w:val="17"/>
              </w:rPr>
              <w:t>Lanzamiento (−20%): US$ 600 · Pago único o financiado · Placa memorial incluida</w:t>
            </w:r>
          </w:p>
        </w:tc>
        <w:tc>
          <w:tcPr>
            <w:tcW w:type="dxa" w:w="3214"/>
            <w:tcMar>
              <w:top w:w="124" w:type="dxa"/>
              <w:left w:w="124" w:type="dxa"/>
              <w:bottom w:w="124" w:type="dxa"/>
              <w:right w:w="124" w:type="dxa"/>
            </w:tcMar>
            <w:tcBorders>
              <w:top w:val="single" w:sz="36" w:color="C5A059"/>
              <w:left w:val="single" w:sz="24" w:color="FFFFFF"/>
              <w:bottom w:val="single" w:sz="24" w:color="FFFFFF"/>
              <w:right w:val="single" w:sz="24" w:color="FFFFFF"/>
            </w:tcBorders>
            <w:shd w:val="clear" w:color="auto" w:fill="F4F7FA"/>
            <w:tcMar>
              <w:top w:w="170" w:type="dxa"/>
              <w:left w:w="170" w:type="dxa"/>
              <w:bottom w:w="170" w:type="dxa"/>
              <w:right w:w="170" w:type="dxa"/>
            </w:tcMar>
          </w:tcPr>
          <w:p>
            <w:pPr>
              <w:spacing w:after="40"/>
            </w:pPr>
            <w:r>
              <w:rPr>
                <w:rFonts w:ascii="Montserrat" w:hAnsi="Montserrat" w:eastAsia="Montserrat"/>
                <w:b w:val="0"/>
                <w:i w:val="0"/>
                <w:color w:val="7A8794"/>
                <w:sz w:val="15"/>
              </w:rPr>
              <w:t>MASCOTAS · INHUMACIÓN ECOLÓGICA</w:t>
            </w:r>
          </w:p>
          <w:p>
            <w:pPr>
              <w:spacing w:after="40"/>
            </w:pPr>
            <w:r>
              <w:rPr>
                <w:rFonts w:ascii="Montserrat" w:hAnsi="Montserrat" w:eastAsia="Montserrat"/>
                <w:b/>
                <w:i w:val="0"/>
                <w:color w:val="0F2537"/>
                <w:sz w:val="25"/>
              </w:rPr>
              <w:t>Jardín de Mascotas</w:t>
            </w:r>
          </w:p>
          <w:p>
            <w:pPr>
              <w:spacing w:after="40"/>
            </w:pPr>
            <w:r>
              <w:rPr>
                <w:rFonts w:ascii="Montserrat" w:hAnsi="Montserrat" w:eastAsia="Montserrat"/>
                <w:b/>
                <w:i w:val="0"/>
                <w:color w:val="C5A059"/>
                <w:sz w:val="32"/>
              </w:rPr>
              <w:t>US$ 400 / US$ 550</w:t>
            </w:r>
          </w:p>
          <w:p>
            <w:pPr>
              <w:spacing w:after="40"/>
            </w:pPr>
            <w:r>
              <w:rPr>
                <w:rFonts w:ascii="Montserrat" w:hAnsi="Montserrat" w:eastAsia="Montserrat"/>
                <w:b w:val="0"/>
                <w:i w:val="0"/>
                <w:color w:val="2C3E50"/>
                <w:sz w:val="17"/>
              </w:rPr>
              <w:t>Lanzamiento (−20%): US$ 320 / US$ 440 · US$ 400 solo espacio · US$ 550 con cremación</w:t>
            </w:r>
          </w:p>
        </w:tc>
        <w:tc>
          <w:tcPr>
            <w:tcW w:type="dxa" w:w="3214"/>
            <w:tcMar>
              <w:top w:w="124" w:type="dxa"/>
              <w:left w:w="124" w:type="dxa"/>
              <w:bottom w:w="124" w:type="dxa"/>
              <w:right w:w="124" w:type="dxa"/>
            </w:tcMar>
            <w:tcBorders>
              <w:top w:val="single" w:sz="36" w:color="8A8F98"/>
              <w:left w:val="single" w:sz="24" w:color="FFFFFF"/>
              <w:bottom w:val="single" w:sz="24" w:color="FFFFFF"/>
              <w:right w:val="single" w:sz="24" w:color="FFFFFF"/>
            </w:tcBorders>
            <w:shd w:val="clear" w:color="auto" w:fill="FBF3E1"/>
            <w:tcMar>
              <w:top w:w="170" w:type="dxa"/>
              <w:left w:w="170" w:type="dxa"/>
              <w:bottom w:w="170" w:type="dxa"/>
              <w:right w:w="170" w:type="dxa"/>
            </w:tcMar>
          </w:tcPr>
          <w:p>
            <w:pPr>
              <w:spacing w:after="40"/>
            </w:pPr>
            <w:r>
              <w:rPr>
                <w:rFonts w:ascii="Montserrat" w:hAnsi="Montserrat" w:eastAsia="Montserrat"/>
                <w:b/>
                <w:i w:val="0"/>
                <w:color w:val="B8860B"/>
                <w:sz w:val="15"/>
              </w:rPr>
              <w:t>PRÓXIMO LANZAMIENTO</w:t>
            </w:r>
          </w:p>
          <w:p>
            <w:pPr>
              <w:spacing w:after="40"/>
            </w:pPr>
            <w:r>
              <w:rPr>
                <w:rFonts w:ascii="Montserrat" w:hAnsi="Montserrat" w:eastAsia="Montserrat"/>
                <w:b w:val="0"/>
                <w:i w:val="0"/>
                <w:color w:val="7A8794"/>
                <w:sz w:val="15"/>
              </w:rPr>
              <w:t>JARDÍN 3 · PRÓXIMO LANZAMIENTO</w:t>
            </w:r>
          </w:p>
          <w:p>
            <w:pPr>
              <w:spacing w:after="40"/>
            </w:pPr>
            <w:r>
              <w:rPr>
                <w:rFonts w:ascii="Montserrat" w:hAnsi="Montserrat" w:eastAsia="Montserrat"/>
                <w:b/>
                <w:i w:val="0"/>
                <w:color w:val="0F2537"/>
                <w:sz w:val="25"/>
              </w:rPr>
              <w:t>Jardín Ceremonial</w:t>
            </w:r>
          </w:p>
          <w:p>
            <w:pPr>
              <w:spacing w:after="40"/>
            </w:pPr>
            <w:r>
              <w:rPr>
                <w:rFonts w:ascii="Montserrat" w:hAnsi="Montserrat" w:eastAsia="Montserrat"/>
                <w:b/>
                <w:i w:val="0"/>
                <w:color w:val="8A8F98"/>
                <w:sz w:val="32"/>
              </w:rPr>
              <w:t>A definir</w:t>
            </w:r>
          </w:p>
          <w:p>
            <w:pPr>
              <w:spacing w:after="40"/>
            </w:pPr>
            <w:r>
              <w:rPr>
                <w:rFonts w:ascii="Montserrat" w:hAnsi="Montserrat" w:eastAsia="Montserrat"/>
                <w:b w:val="0"/>
                <w:i w:val="0"/>
                <w:color w:val="2C3E50"/>
                <w:sz w:val="17"/>
              </w:rPr>
              <w:t>A definir</w:t>
            </w:r>
          </w:p>
        </w:tc>
      </w:tr>
    </w:tbl>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US$ 320 en lanzamiento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tbl>
      <w:tblPr>
        <w:tblW w:type="auto" w:w="0"/>
        <w:jc w:val="center"/>
        <w:tblLayout w:type="fixed"/>
        <w:tblLook w:firstColumn="1" w:firstRow="1" w:lastColumn="0" w:lastRow="0" w:noHBand="0" w:noVBand="1" w:val="04A0"/>
      </w:tblPr>
      <w:tblGrid>
        <w:gridCol w:w="3249"/>
        <w:gridCol w:w="3249"/>
        <w:gridCol w:w="3249"/>
      </w:tblGrid>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1</w:t>
            </w:r>
          </w:p>
        </w:tc>
        <w:tc>
          <w:tcPr>
            <w:tcW w:type="dxa" w:w="2608"/>
            <w:tcMar>
              <w:top w:w="124" w:type="dxa"/>
              <w:left w:w="124" w:type="dxa"/>
              <w:bottom w:w="124" w:type="dxa"/>
              <w:right w:w="124" w:type="dxa"/>
            </w:tcMar>
            <w:tcBorders>
              <w:top w:val="nil"/>
              <w:left w:val="nil"/>
              <w:bottom w:val="single" w:sz="16" w:color="FFFFFF"/>
              <w:right w:val="nil"/>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3"/>
              </w:rPr>
              <w:t>Contacto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Llega por referido, evento, base de datos o visita. Se registra al instante.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2</w:t>
            </w:r>
          </w:p>
        </w:tc>
        <w:tc>
          <w:tcPr>
            <w:tcW w:type="dxa" w:w="2608"/>
            <w:tcMar>
              <w:top w:w="124" w:type="dxa"/>
              <w:left w:w="124" w:type="dxa"/>
              <w:bottom w:w="124" w:type="dxa"/>
              <w:right w:w="124" w:type="dxa"/>
            </w:tcMar>
            <w:tcBorders>
              <w:top w:val="nil"/>
              <w:left w:val="nil"/>
              <w:bottom w:val="single" w:sz="16" w:color="FFFFFF"/>
              <w:right w:val="nil"/>
            </w:tcBorders>
            <w:shd w:val="clear" w:color="auto" w:fill="2E4A70"/>
            <w:tcMar>
              <w:top w:w="141" w:type="dxa"/>
              <w:left w:w="141" w:type="dxa"/>
              <w:bottom w:w="141" w:type="dxa"/>
              <w:right w:w="141" w:type="dxa"/>
            </w:tcMar>
          </w:tcPr>
          <w:p>
            <w:pPr>
              <w:spacing w:after="40"/>
            </w:pPr>
            <w:r>
              <w:rPr>
                <w:rFonts w:ascii="Montserrat" w:hAnsi="Montserrat" w:eastAsia="Montserrat"/>
                <w:b/>
                <w:i w:val="0"/>
                <w:color w:val="FFFFFF"/>
                <w:sz w:val="23"/>
              </w:rPr>
              <w:t>Calificación</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Necesidad, oportunidad y adecuación. Primer contacto en menos de 1 hora.</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3</w:t>
            </w:r>
          </w:p>
        </w:tc>
        <w:tc>
          <w:tcPr>
            <w:tcW w:type="dxa" w:w="2608"/>
            <w:tcMar>
              <w:top w:w="124" w:type="dxa"/>
              <w:left w:w="124" w:type="dxa"/>
              <w:bottom w:w="124" w:type="dxa"/>
              <w:right w:w="124" w:type="dxa"/>
            </w:tcMar>
            <w:tcBorders>
              <w:top w:val="nil"/>
              <w:left w:val="nil"/>
              <w:bottom w:val="single" w:sz="16" w:color="FFFFFF"/>
              <w:right w:val="nil"/>
            </w:tcBorders>
            <w:shd w:val="clear" w:color="auto" w:fill="425E83"/>
            <w:tcMar>
              <w:top w:w="141" w:type="dxa"/>
              <w:left w:w="141" w:type="dxa"/>
              <w:bottom w:w="141" w:type="dxa"/>
              <w:right w:w="141" w:type="dxa"/>
            </w:tcMar>
          </w:tcPr>
          <w:p>
            <w:pPr>
              <w:spacing w:after="40"/>
            </w:pPr>
            <w:r>
              <w:rPr>
                <w:rFonts w:ascii="Montserrat" w:hAnsi="Montserrat" w:eastAsia="Montserrat"/>
                <w:b/>
                <w:i w:val="0"/>
                <w:color w:val="FFFFFF"/>
                <w:sz w:val="23"/>
              </w:rPr>
              <w:t>Descubrimiento</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Escuchar a la familia: creencias, presupuesto, quién decide.</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4</w:t>
            </w:r>
          </w:p>
        </w:tc>
        <w:tc>
          <w:tcPr>
            <w:tcW w:type="dxa" w:w="2608"/>
            <w:tcMar>
              <w:top w:w="124" w:type="dxa"/>
              <w:left w:w="124" w:type="dxa"/>
              <w:bottom w:w="124" w:type="dxa"/>
              <w:right w:w="124" w:type="dxa"/>
            </w:tcMar>
            <w:tcBorders>
              <w:top w:val="nil"/>
              <w:left w:val="nil"/>
              <w:bottom w:val="single" w:sz="16" w:color="FFFFFF"/>
              <w:right w:val="nil"/>
            </w:tcBorders>
            <w:shd w:val="clear" w:color="auto" w:fill="567296"/>
            <w:tcMar>
              <w:top w:w="141" w:type="dxa"/>
              <w:left w:w="141" w:type="dxa"/>
              <w:bottom w:w="141" w:type="dxa"/>
              <w:right w:w="141" w:type="dxa"/>
            </w:tcMar>
          </w:tcPr>
          <w:p>
            <w:pPr>
              <w:spacing w:after="40"/>
            </w:pPr>
            <w:r>
              <w:rPr>
                <w:rFonts w:ascii="Montserrat" w:hAnsi="Montserrat" w:eastAsia="Montserrat"/>
                <w:b/>
                <w:i w:val="0"/>
                <w:color w:val="FFFFFF"/>
                <w:sz w:val="23"/>
              </w:rPr>
              <w:t>Propuesta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Producto correcto para el perfil, con precio y cuotas claros.</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5</w:t>
            </w:r>
          </w:p>
        </w:tc>
        <w:tc>
          <w:tcPr>
            <w:tcW w:type="dxa" w:w="2608"/>
            <w:tcMar>
              <w:top w:w="124" w:type="dxa"/>
              <w:left w:w="124" w:type="dxa"/>
              <w:bottom w:w="124" w:type="dxa"/>
              <w:right w:w="124" w:type="dxa"/>
            </w:tcMar>
            <w:tcBorders>
              <w:top w:val="nil"/>
              <w:left w:val="nil"/>
              <w:bottom w:val="single" w:sz="16" w:color="FFFFFF"/>
              <w:right w:val="nil"/>
            </w:tcBorders>
            <w:shd w:val="clear" w:color="auto" w:fill="6A86A9"/>
            <w:tcMar>
              <w:top w:w="141" w:type="dxa"/>
              <w:left w:w="141" w:type="dxa"/>
              <w:bottom w:w="141" w:type="dxa"/>
              <w:right w:w="141" w:type="dxa"/>
            </w:tcMar>
          </w:tcPr>
          <w:p>
            <w:pPr>
              <w:spacing w:after="40"/>
            </w:pPr>
            <w:r>
              <w:rPr>
                <w:rFonts w:ascii="Montserrat" w:hAnsi="Montserrat" w:eastAsia="Montserrat"/>
                <w:b/>
                <w:i w:val="0"/>
                <w:color w:val="FFFFFF"/>
                <w:sz w:val="23"/>
              </w:rPr>
              <w:t>Visita al jardín</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Siempre que sea posible: el jardín vende solo.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6</w:t>
            </w:r>
          </w:p>
        </w:tc>
        <w:tc>
          <w:tcPr>
            <w:tcW w:type="dxa" w:w="2608"/>
            <w:tcMar>
              <w:top w:w="124" w:type="dxa"/>
              <w:left w:w="124" w:type="dxa"/>
              <w:bottom w:w="124" w:type="dxa"/>
              <w:right w:w="124" w:type="dxa"/>
            </w:tcMar>
            <w:tcBorders>
              <w:top w:val="nil"/>
              <w:left w:val="nil"/>
              <w:bottom w:val="single" w:sz="16" w:color="FFFFFF"/>
              <w:right w:val="nil"/>
            </w:tcBorders>
            <w:shd w:val="clear" w:color="auto" w:fill="7E9ABC"/>
            <w:tcMar>
              <w:top w:w="141" w:type="dxa"/>
              <w:left w:w="141" w:type="dxa"/>
              <w:bottom w:w="141" w:type="dxa"/>
              <w:right w:w="141" w:type="dxa"/>
            </w:tcMar>
          </w:tcPr>
          <w:p>
            <w:pPr>
              <w:spacing w:after="40"/>
            </w:pPr>
            <w:r>
              <w:rPr>
                <w:rFonts w:ascii="Montserrat" w:hAnsi="Montserrat" w:eastAsia="Montserrat"/>
                <w:b/>
                <w:i w:val="0"/>
                <w:color w:val="FFFFFF"/>
                <w:sz w:val="23"/>
              </w:rPr>
              <w:t>Cierre</w:t>
            </w:r>
          </w:p>
        </w:tc>
        <w:tc>
          <w:tcPr>
            <w:tcW w:type="dxa" w:w="6406"/>
            <w:tcMar>
              <w:top w:w="124" w:type="dxa"/>
              <w:left w:w="124" w:type="dxa"/>
              <w:bottom w:w="124" w:type="dxa"/>
              <w:right w:w="124" w:type="dxa"/>
            </w:tcMar>
            <w:tcBorders>
              <w:top w:val="nil"/>
              <w:left w:val="nil"/>
              <w:bottom w:val="single" w:sz="16" w:color="FFFFFF"/>
              <w:right w:val="nil"/>
            </w:tcBorders>
            <w:shd w:val="clear" w:color="auto" w:fill="FFFFFF"/>
            <w:tcMar>
              <w:top w:w="141" w:type="dxa"/>
              <w:left w:w="141" w:type="dxa"/>
              <w:bottom w:w="141" w:type="dxa"/>
              <w:right w:w="141" w:type="dxa"/>
            </w:tcMar>
          </w:tcPr>
          <w:p>
            <w:pPr>
              <w:spacing w:after="40"/>
            </w:pPr>
            <w:r>
              <w:rPr>
                <w:rFonts w:ascii="Montserrat" w:hAnsi="Montserrat" w:eastAsia="Montserrat"/>
                <w:b w:val="0"/>
                <w:i w:val="0"/>
                <w:color w:val="2C3E50"/>
                <w:sz w:val="20"/>
              </w:rPr>
              <w:t>Contrato firmado, primera cuota y registro completo.</w:t>
            </w:r>
          </w:p>
        </w:tc>
      </w:tr>
      <w:tr>
        <w:tc>
          <w:tcPr>
            <w:tcW w:type="dxa" w:w="624"/>
            <w:tcMar>
              <w:top w:w="124" w:type="dxa"/>
              <w:left w:w="124" w:type="dxa"/>
              <w:bottom w:w="124" w:type="dxa"/>
              <w:right w:w="124" w:type="dxa"/>
            </w:tcMar>
            <w:tcBorders>
              <w:top w:val="nil"/>
              <w:left w:val="nil"/>
              <w:bottom w:val="single" w:sz="16" w:color="FFFFFF"/>
              <w:right w:val="nil"/>
            </w:tcBorders>
            <w:shd w:val="clear" w:color="auto" w:fill="C5A059"/>
            <w:tcMar>
              <w:top w:w="141" w:type="dxa"/>
              <w:left w:w="141" w:type="dxa"/>
              <w:bottom w:w="141" w:type="dxa"/>
              <w:right w:w="141" w:type="dxa"/>
            </w:tcMar>
          </w:tcPr>
          <w:p>
            <w:pPr>
              <w:spacing w:after="40"/>
              <w:jc w:val="center"/>
            </w:pPr>
            <w:r>
              <w:rPr>
                <w:rFonts w:ascii="Montserrat" w:hAnsi="Montserrat" w:eastAsia="Montserrat"/>
                <w:b/>
                <w:i w:val="0"/>
                <w:color w:val="0F2537"/>
                <w:sz w:val="24"/>
              </w:rPr>
              <w:t>7</w:t>
            </w:r>
          </w:p>
        </w:tc>
        <w:tc>
          <w:tcPr>
            <w:tcW w:type="dxa" w:w="2608"/>
            <w:tcMar>
              <w:top w:w="124" w:type="dxa"/>
              <w:left w:w="124" w:type="dxa"/>
              <w:bottom w:w="124" w:type="dxa"/>
              <w:right w:w="124" w:type="dxa"/>
            </w:tcMar>
            <w:tcBorders>
              <w:top w:val="nil"/>
              <w:left w:val="nil"/>
              <w:bottom w:val="single" w:sz="16" w:color="FFFFFF"/>
              <w:right w:val="nil"/>
            </w:tcBorders>
            <w:shd w:val="clear" w:color="auto" w:fill="92AECF"/>
            <w:tcMar>
              <w:top w:w="141" w:type="dxa"/>
              <w:left w:w="141" w:type="dxa"/>
              <w:bottom w:w="141" w:type="dxa"/>
              <w:right w:w="141" w:type="dxa"/>
            </w:tcMar>
          </w:tcPr>
          <w:p>
            <w:pPr>
              <w:spacing w:after="40"/>
            </w:pPr>
            <w:r>
              <w:rPr>
                <w:rFonts w:ascii="Montserrat" w:hAnsi="Montserrat" w:eastAsia="Montserrat"/>
                <w:b/>
                <w:i w:val="0"/>
                <w:color w:val="FFFFFF"/>
                <w:sz w:val="23"/>
              </w:rPr>
              <w:t>Posventa</w:t>
            </w:r>
          </w:p>
        </w:tc>
        <w:tc>
          <w:tcPr>
            <w:tcW w:type="dxa" w:w="6406"/>
            <w:tcMar>
              <w:top w:w="124" w:type="dxa"/>
              <w:left w:w="124" w:type="dxa"/>
              <w:bottom w:w="124" w:type="dxa"/>
              <w:right w:w="124" w:type="dxa"/>
            </w:tcMar>
            <w:tcBorders>
              <w:top w:val="nil"/>
              <w:left w:val="nil"/>
              <w:bottom w:val="single" w:sz="16" w:color="FFFFFF"/>
              <w:right w:val="nil"/>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20"/>
              </w:rPr>
              <w:t>Bienvenida, recordatorios de mantenimiento, base para referidos.</w:t>
            </w:r>
          </w:p>
        </w:tc>
      </w:tr>
    </w:tbl>
    <w:p>
      <w:pPr>
        <w:spacing w:before="0" w:after="200" w:line="276" w:lineRule="auto"/>
        <w:jc w:val="center"/>
      </w:pPr>
      <w:r>
        <w:rPr>
          <w:rFonts w:ascii="Montserrat" w:hAnsi="Montserrat" w:eastAsia="Montserrat"/>
          <w:b w:val="0"/>
          <w:i/>
          <w:color w:val="7A8794"/>
          <w:sz w:val="17"/>
        </w:rPr>
        <w:t>Figura 2 · Las 7 etapas del embudo de prenecesidad.</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1  </w:t>
            </w:r>
            <w:r>
              <w:rPr>
                <w:rFonts w:ascii="Montserrat" w:hAnsi="Montserrat" w:eastAsia="Montserrat"/>
                <w:b/>
                <w:i w:val="0"/>
                <w:color w:val="FFFFFF"/>
                <w:sz w:val="21"/>
              </w:rPr>
              <w:t>Acoger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2  </w:t>
            </w:r>
            <w:r>
              <w:rPr>
                <w:rFonts w:ascii="Montserrat" w:hAnsi="Montserrat" w:eastAsia="Montserrat"/>
                <w:b/>
                <w:i w:val="0"/>
                <w:color w:val="FFFFFF"/>
                <w:sz w:val="21"/>
              </w:rPr>
              <w:t>Descubrir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3  </w:t>
            </w:r>
            <w:r>
              <w:rPr>
                <w:rFonts w:ascii="Montserrat" w:hAnsi="Montserrat" w:eastAsia="Montserrat"/>
                <w:b/>
                <w:i w:val="0"/>
                <w:color w:val="FFFFFF"/>
                <w:sz w:val="21"/>
              </w:rPr>
              <w:t>Presentar valor</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4  </w:t>
            </w:r>
            <w:r>
              <w:rPr>
                <w:rFonts w:ascii="Montserrat" w:hAnsi="Montserrat" w:eastAsia="Montserrat"/>
                <w:b/>
                <w:i w:val="0"/>
                <w:color w:val="FFFFFF"/>
                <w:sz w:val="21"/>
              </w:rPr>
              <w:t>Resolver dudas</w:t>
            </w:r>
          </w:p>
        </w:tc>
        <w:tc>
          <w:tcPr>
            <w:tcW w:type="dxa" w:w="1928"/>
            <w:tcMar>
              <w:top w:w="124" w:type="dxa"/>
              <w:left w:w="124" w:type="dxa"/>
              <w:bottom w:w="124" w:type="dxa"/>
              <w:right w:w="124" w:type="dxa"/>
            </w:tcMar>
            <w:tcBorders>
              <w:top w:val="nil"/>
              <w:left w:val="nil"/>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C5A059"/>
                <w:sz w:val="26"/>
              </w:rPr>
              <w:t xml:space="preserve">5  </w:t>
            </w:r>
            <w:r>
              <w:rPr>
                <w:rFonts w:ascii="Montserrat" w:hAnsi="Montserrat" w:eastAsia="Montserrat"/>
                <w:b/>
                <w:i w:val="0"/>
                <w:color w:val="FFFFFF"/>
                <w:sz w:val="21"/>
              </w:rPr>
              <w:t>Avanzar</w:t>
            </w:r>
          </w:p>
        </w:tc>
      </w:tr>
      <w:tr>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Conectar antes de vender. ¿Quién es y qué lo trajo?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Más preguntas que afirmaciones. La solución nace de la escucha.</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Hablar de tranquilidad, cuidado y memoria, no de "producto".</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Validar la emoción, reposicionar, nunca discutir.</w:t>
            </w:r>
          </w:p>
        </w:tc>
        <w:tc>
          <w:tcPr>
            <w:tcW w:type="dxa" w:w="1928"/>
            <w:tcMar>
              <w:top w:w="124" w:type="dxa"/>
              <w:left w:w="124" w:type="dxa"/>
              <w:bottom w:w="124" w:type="dxa"/>
              <w:right w:w="124" w:type="dxa"/>
            </w:tcMar>
            <w:tcMar>
              <w:top w:w="141" w:type="dxa"/>
              <w:left w:w="141" w:type="dxa"/>
              <w:bottom w:w="141" w:type="dxa"/>
              <w:right w:w="141" w:type="dxa"/>
            </w:tcMar>
          </w:tcPr>
          <w:p>
            <w:pPr>
              <w:spacing w:after="40"/>
            </w:pPr>
            <w:r>
              <w:rPr>
                <w:rFonts w:ascii="Montserrat" w:hAnsi="Montserrat" w:eastAsia="Montserrat"/>
                <w:b w:val="0"/>
                <w:i w:val="0"/>
                <w:color w:val="2C3E50"/>
                <w:sz w:val="18"/>
              </w:rPr>
              <w:t>Un siguiente paso claro y amable: visita, propuesta o firma.</w:t>
            </w:r>
          </w:p>
        </w:tc>
      </w:tr>
    </w:tbl>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UAF · Unidad de Apoyo Familiar</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Pilares Alternativos</w:t>
            </w:r>
          </w:p>
        </w:tc>
        <w:tc>
          <w:tcPr>
            <w:tcW w:type="dxa" w:w="3214"/>
            <w:tcMar>
              <w:top w:w="124" w:type="dxa"/>
              <w:left w:w="124" w:type="dxa"/>
              <w:bottom w:w="124" w:type="dxa"/>
              <w:right w:w="124" w:type="dxa"/>
            </w:tcMar>
            <w:tcBorders>
              <w:top w:val="nil"/>
              <w:left w:val="single" w:sz="24" w:color="FFFFFF"/>
              <w:bottom w:val="single" w:sz="24" w:color="C5A059"/>
              <w:right w:val="single" w:sz="24" w:color="FFFFFF"/>
            </w:tcBorders>
            <w:shd w:val="clear" w:color="auto" w:fill="1B365D"/>
            <w:tcMar>
              <w:top w:w="141" w:type="dxa"/>
              <w:left w:w="141" w:type="dxa"/>
              <w:bottom w:w="141" w:type="dxa"/>
              <w:right w:w="141" w:type="dxa"/>
            </w:tcMar>
          </w:tcPr>
          <w:p>
            <w:pPr>
              <w:spacing w:after="40"/>
            </w:pPr>
            <w:r>
              <w:rPr>
                <w:rFonts w:ascii="Montserrat" w:hAnsi="Montserrat" w:eastAsia="Montserrat"/>
                <w:b/>
                <w:i w:val="0"/>
                <w:color w:val="FFFFFF"/>
                <w:sz w:val="21"/>
              </w:rPr>
              <w:t>AML · Puerta a puerta</w:t>
            </w:r>
          </w:p>
        </w:tc>
      </w:tr>
      <w:tr>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Acompaña a la familia durante el servicio y trabaja referidos.</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Eventos, centros comerciales, bases de cancelaciones y telemercadeo.</w:t>
            </w:r>
          </w:p>
        </w:tc>
        <w:tc>
          <w:tcPr>
            <w:tcW w:type="dxa" w:w="3214"/>
            <w:tcMar>
              <w:top w:w="124" w:type="dxa"/>
              <w:left w:w="124" w:type="dxa"/>
              <w:bottom w:w="124" w:type="dxa"/>
              <w:right w:w="124" w:type="dxa"/>
            </w:tcMar>
            <w:tcBorders>
              <w:top w:val="nil"/>
              <w:left w:val="single" w:sz="24" w:color="FFFFFF"/>
              <w:bottom w:val="nil"/>
              <w:right w:val="single" w:sz="24" w:color="FFFFFF"/>
            </w:tcBorders>
            <w:shd w:val="clear" w:color="auto" w:fill="F4F7FA"/>
            <w:tcMar>
              <w:top w:w="141" w:type="dxa"/>
              <w:left w:w="141" w:type="dxa"/>
              <w:bottom w:w="141" w:type="dxa"/>
              <w:right w:w="141" w:type="dxa"/>
            </w:tcMar>
          </w:tcPr>
          <w:p>
            <w:pPr>
              <w:spacing w:after="40"/>
            </w:pPr>
            <w:r>
              <w:rPr>
                <w:rFonts w:ascii="Montserrat" w:hAnsi="Montserrat" w:eastAsia="Montserrat"/>
                <w:b w:val="0"/>
                <w:i w:val="0"/>
                <w:color w:val="2C3E50"/>
                <w:sz w:val="19"/>
              </w:rPr>
              <w:t>Prospección sistemática en colonias.</w:t>
            </w:r>
          </w:p>
        </w:tc>
      </w:tr>
      <w:tr>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Jardín Individual y Ecológico como destino de las cenizas; Solución Modular para el resto de la familia (venta de prenecesidad posterior).</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(cuota baja, fácil de explicar) y Jardín de Mascotas.</w:t>
            </w:r>
          </w:p>
        </w:tc>
        <w:tc>
          <w:tcPr>
            <w:tcW w:type="dxa" w:w="3214"/>
            <w:tcMar>
              <w:top w:w="124" w:type="dxa"/>
              <w:left w:w="124" w:type="dxa"/>
              <w:bottom w:w="124" w:type="dxa"/>
              <w:right w:w="124" w:type="dxa"/>
            </w:tcMar>
            <w:tcBorders>
              <w:top w:val="single" w:sz="12" w:color="C5A059"/>
              <w:left w:val="single" w:sz="12" w:color="C5A059"/>
              <w:bottom w:val="single" w:sz="12" w:color="C5A059"/>
              <w:right w:val="single" w:sz="12" w:color="C5A059"/>
            </w:tcBorders>
            <w:tcMar>
              <w:top w:w="141" w:type="dxa"/>
              <w:left w:w="141" w:type="dxa"/>
              <w:bottom w:w="141" w:type="dxa"/>
              <w:right w:w="141" w:type="dxa"/>
            </w:tcMar>
          </w:tcPr>
          <w:p>
            <w:pPr>
              <w:spacing w:after="40"/>
            </w:pPr>
            <w:r>
              <w:rPr>
                <w:rFonts w:ascii="Montserrat" w:hAnsi="Montserrat" w:eastAsia="Montserrat"/>
                <w:b/>
                <w:i w:val="0"/>
                <w:color w:val="C5A059"/>
                <w:sz w:val="15"/>
              </w:rPr>
              <w:t xml:space="preserve">▼ PRODUCTO FOCO  </w:t>
            </w:r>
          </w:p>
          <w:p>
            <w:pPr>
              <w:spacing w:after="40"/>
            </w:pPr>
            <w:r>
              <w:rPr>
                <w:rFonts w:ascii="Montserrat" w:hAnsi="Montserrat" w:eastAsia="Montserrat"/>
                <w:b/>
                <w:i w:val="0"/>
                <w:color w:val="1B365D"/>
                <w:sz w:val="19"/>
              </w:rPr>
              <w:t>Solución Modular + Jardín Individual: la combinación más completa para el hogar.</w:t>
            </w:r>
          </w:p>
        </w:tc>
      </w:tr>
    </w:tbl>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Lanzamiento (−20%): US$ 800 · Pago en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en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 o un columbario).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Pagando en hasta 120 meses,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Lanzamiento (−20%): US$ 480 · 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para visitar por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propio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 Permanencia: 30 años desde la primera inhumación, renovable.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Lanzamiento (−20%): US$ 1.600 · Pago único o financiado · Mantenimiento US$ 24/año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Permanencia de 30 años desde la primera inhumación, renovable.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de homenaje familiar por 30 años, renovable por igual período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30 años desde la primera inhumación, renovable por igual período.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US$ 24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por 30 años renovables, y cuesta US$ 500 por espacio (US$ 400 con el precio de lanzamiento),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Lanzamiento (−20%): US$ 600 · 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1</w:t>
            </w:r>
          </w:p>
          <w:p>
            <w:pPr>
              <w:spacing w:after="40"/>
              <w:jc w:val="center"/>
            </w:pPr>
            <w:r>
              <w:rPr>
                <w:rFonts w:ascii="Montserrat" w:hAnsi="Montserrat" w:eastAsia="Montserrat"/>
                <w:b/>
                <w:i w:val="0"/>
                <w:color w:val="FFFFFF"/>
                <w:sz w:val="21"/>
              </w:rPr>
              <w:t>Inhumación</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2</w:t>
            </w:r>
          </w:p>
          <w:p>
            <w:pPr>
              <w:spacing w:after="40"/>
              <w:jc w:val="center"/>
            </w:pPr>
            <w:r>
              <w:rPr>
                <w:rFonts w:ascii="Montserrat" w:hAnsi="Montserrat" w:eastAsia="Montserrat"/>
                <w:b/>
                <w:i w:val="0"/>
                <w:color w:val="FFFFFF"/>
                <w:sz w:val="21"/>
              </w:rPr>
              <w:t>3 años</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3</w:t>
            </w:r>
          </w:p>
          <w:p>
            <w:pPr>
              <w:spacing w:after="40"/>
              <w:jc w:val="center"/>
            </w:pPr>
            <w:r>
              <w:rPr>
                <w:rFonts w:ascii="Montserrat" w:hAnsi="Montserrat" w:eastAsia="Montserrat"/>
                <w:b/>
                <w:i w:val="0"/>
                <w:color w:val="FFFFFF"/>
                <w:sz w:val="21"/>
              </w:rPr>
              <w:t>Placa memorial</w:t>
            </w:r>
          </w:p>
        </w:tc>
        <w:tc>
          <w:tcPr>
            <w:tcW w:type="dxa" w:w="2409"/>
            <w:tcMar>
              <w:top w:w="124" w:type="dxa"/>
              <w:left w:w="124" w:type="dxa"/>
              <w:bottom w:w="124" w:type="dxa"/>
              <w:right w:w="124" w:type="dxa"/>
            </w:tcMar>
            <w:tcBorders>
              <w:top w:val="nil"/>
              <w:left w:val="nil"/>
              <w:bottom w:val="nil"/>
              <w:right w:val="single" w:sz="24" w:color="FFFFFF"/>
            </w:tcBorders>
            <w:shd w:val="clear" w:color="auto" w:fill="4F7A5A"/>
            <w:tcMar>
              <w:top w:w="141" w:type="dxa"/>
              <w:left w:w="141" w:type="dxa"/>
              <w:bottom w:w="141" w:type="dxa"/>
              <w:right w:w="141" w:type="dxa"/>
            </w:tcMar>
          </w:tcPr>
          <w:p>
            <w:pPr>
              <w:spacing w:after="40"/>
              <w:jc w:val="center"/>
            </w:pPr>
            <w:r>
              <w:rPr>
                <w:rFonts w:ascii="Montserrat" w:hAnsi="Montserrat" w:eastAsia="Montserrat"/>
                <w:b/>
                <w:i w:val="0"/>
                <w:color w:val="FFFFFF"/>
                <w:sz w:val="32"/>
              </w:rPr>
              <w:t>4</w:t>
            </w:r>
          </w:p>
          <w:p>
            <w:pPr>
              <w:spacing w:after="40"/>
              <w:jc w:val="center"/>
            </w:pPr>
            <w:r>
              <w:rPr>
                <w:rFonts w:ascii="Montserrat" w:hAnsi="Montserrat" w:eastAsia="Montserrat"/>
                <w:b/>
                <w:i w:val="0"/>
                <w:color w:val="FFFFFF"/>
                <w:sz w:val="21"/>
              </w:rPr>
              <w:t>Ciclo natural</w:t>
            </w:r>
          </w:p>
        </w:tc>
      </w:tr>
      <w:tr>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Urna biodegradable en el jardín, con placa de identificación.</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La familia visita un lugar señalado; la urna se integra a la tierra.</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nombre pasa al monumento del jardín (incluida en el Ecológico y en Mascotas).</w:t>
            </w:r>
          </w:p>
        </w:tc>
        <w:tc>
          <w:tcPr>
            <w:tcW w:type="dxa" w:w="2409"/>
            <w:tcMar>
              <w:top w:w="124" w:type="dxa"/>
              <w:left w:w="124" w:type="dxa"/>
              <w:bottom w:w="124" w:type="dxa"/>
              <w:right w:w="124" w:type="dxa"/>
            </w:tcMar>
            <w:shd w:val="clear" w:color="auto" w:fill="F4F7FA"/>
            <w:tcMar>
              <w:top w:w="141" w:type="dxa"/>
              <w:left w:w="141" w:type="dxa"/>
              <w:bottom w:w="141" w:type="dxa"/>
              <w:right w:w="141" w:type="dxa"/>
            </w:tcMar>
          </w:tcPr>
          <w:p>
            <w:pPr>
              <w:spacing w:after="40"/>
              <w:jc w:val="center"/>
            </w:pPr>
            <w:r>
              <w:rPr>
                <w:rFonts w:ascii="Montserrat" w:hAnsi="Montserrat" w:eastAsia="Montserrat"/>
                <w:b w:val="0"/>
                <w:i w:val="0"/>
                <w:color w:val="2C3E50"/>
                <w:sz w:val="18"/>
              </w:rPr>
              <w:t>El espacio se reutiliza: el jardín sigue vivo para otras familias.</w:t>
            </w:r>
          </w:p>
        </w:tc>
      </w:tr>
    </w:tbl>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Lanzamiento (−20%): US$ 320 / US$ 440 · US$ 400 solo espacio · US$ 550 con cremación</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 La opción de US$ 550 incluye también la cremación de la mascota.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 cremación y urna biodegradable en la opción de US$ 550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incluida. Urna biodegradable incluida solo con cremación (US$ 550); con solo espacio (US$ 400) se compra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¿Ya se realizó la cremación o necesitan también ese servicio?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cremación incluida, para resolver todo en un solo paso?"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2"/>
        <w:spacing w:before="0" w:after="80"/>
      </w:pPr>
      <w:r>
        <w:rPr>
          <w:rFonts w:ascii="Playfair Display" w:hAnsi="Playfair Display" w:eastAsia="Playfair Display"/>
          <w:b/>
          <w:i w:val="0"/>
          <w:color w:val="1B365D"/>
          <w:sz w:val="28"/>
        </w:rPr>
        <w:t>Portafolio existente: columbarios (−15% en Finados y noviembre)</w:t>
      </w:r>
    </w:p>
    <w:p>
      <w:pPr>
        <w:spacing w:before="0" w:after="120" w:line="276" w:lineRule="auto"/>
      </w:pPr>
      <w:r>
        <w:rPr>
          <w:rFonts w:ascii="Montserrat" w:hAnsi="Montserrat" w:eastAsia="Montserrat"/>
          <w:b w:val="0"/>
          <w:i w:val="0"/>
          <w:color w:val="2C3E50"/>
          <w:sz w:val="21"/>
        </w:rPr>
        <w:t>Además de los lanzamientos, el portafolio de cremación incluye los columbarios que ya vendemos en El Hogar de las Memorias y en el mausoleo vertical Bella Vista. En Finados y durante noviembre tienen 15% de descuento. Se pagan al contado o financiados en hasta 120 meses, con intereses.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UBICACIÓN DEFINIDA O A FUTURO</w:t>
            </w:r>
          </w:p>
          <w:p>
            <w:pPr>
              <w:spacing w:after="40"/>
            </w:pPr>
            <w:r>
              <w:rPr>
                <w:rFonts w:ascii="Montserrat" w:hAnsi="Montserrat" w:eastAsia="Montserrat"/>
                <w:b w:val="0"/>
                <w:i w:val="0"/>
                <w:color w:val="2C3E50"/>
                <w:sz w:val="21"/>
              </w:rPr>
              <w:t>Ubicación definida: el nicho se elige al contratar. Ubicación a futuro: se compra hoy y el nicho se asigna más adelante. El precio varía según la fila y el nivel.</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SERVICIO COMPLETO</w:t>
            </w:r>
          </w:p>
          <w:p>
            <w:r>
              <w:rPr>
                <w:rFonts w:ascii="Playfair Display" w:hAnsi="Playfair Display" w:eastAsia="Playfair Display"/>
                <w:b/>
                <w:i w:val="0"/>
                <w:color w:val="FFFFFF"/>
                <w:sz w:val="36"/>
              </w:rPr>
              <w:t>Columbario Supremo Plus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US$ 2.700 – 3.900</w:t>
            </w:r>
          </w:p>
        </w:tc>
      </w:tr>
    </w:tbl>
    <w:p>
      <w:pPr>
        <w:spacing w:before="80" w:after="160" w:line="276" w:lineRule="auto"/>
      </w:pPr>
      <w:r>
        <w:rPr>
          <w:rFonts w:ascii="Montserrat" w:hAnsi="Montserrat" w:eastAsia="Montserrat"/>
          <w:b w:val="0"/>
          <w:i/>
          <w:color w:val="7A8794"/>
          <w:sz w:val="19"/>
        </w:rPr>
        <w:t>Finados y noviembre (−15%): desde US$ 2.295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Integra en un solo contrato el servicio funerario, dos cremaciones y un columbario permanente de cristal o mármol para hasta dos urnas, en El Hogar de las Memorias.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resolver en una sola compra el funeral, la cremación y un lugar permanente para dos seres queridos.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estándar permanente de cristal o mármol, para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 Programa Vive de acompañamiento en el duelo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cinerarias básicas (2) y 2 cremaciones con certificado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Capilla de velación 24 h, ataúd ceremonial y carroza tradicional</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2 urnas; incluye 2 cremaciones.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US$ 3.400 – 3.900; a futuro: US$ 2.700 – 3.200 (según fila y nivel).</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Elija velación en La Auxiliadora (Maquilishuat o Básica) o en Capillas Memoriales (Las Camelias o Básica).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"Con el Supremo Plus su familia no tendrá que coordinar nada: el servicio funerario, la cremación y el lugar donde descansarán las cenizas quedan resueltos en un solo contrato, para dos personas y para siempre."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¿Han pensado dónde quedarían las cenizas después de la cremación?</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usted y su pareja, o para sus padres?</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 elegir hoy el nicho o dejar la ubicación para más adelante?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elegimos hoy la ubicación?"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una inversión alta." → "Incluye todo para dos personas: funeral, dos cremaciones y el columbario permanente. Y puede pagarse en hasta 120 meses."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Si el presupuesto no alcanza para la ubicación definida, ofrezca la ubicación a futuro: el mismo producto, a menor precio.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w:t>
            </w:r>
          </w:p>
          <w:p>
            <w:r>
              <w:rPr>
                <w:rFonts w:ascii="Playfair Display" w:hAnsi="Playfair Display" w:eastAsia="Playfair Display"/>
                <w:b/>
                <w:i w:val="0"/>
                <w:color w:val="FFFFFF"/>
                <w:sz w:val="36"/>
              </w:rPr>
              <w:t>Columbario Mármol o Cristal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US$ 1.200 – 2.600</w:t>
            </w:r>
          </w:p>
        </w:tc>
      </w:tr>
    </w:tbl>
    <w:p>
      <w:pPr>
        <w:spacing w:before="80" w:after="160" w:line="276" w:lineRule="auto"/>
      </w:pPr>
      <w:r>
        <w:rPr>
          <w:rFonts w:ascii="Montserrat" w:hAnsi="Montserrat" w:eastAsia="Montserrat"/>
          <w:b w:val="0"/>
          <w:i/>
          <w:color w:val="7A8794"/>
          <w:sz w:val="19"/>
        </w:rPr>
        <w:t>Finados y noviembre (−15%): desde US$ 1.020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Ideal para las cenizas de la familia: columbario permanente de mármol o cristal en El Hogar de las Memorias, elegante, sereno y de diseño atemporal.</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ya tienen la cremación resuelta y buscan un lugar permanente y elegante para las cenizas.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mármol o cristal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 o a futuro, según la opción contratada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 (por ejemplo, con la Solución Modular).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ubicación definida: US$ 2.600; a futuro: US$ 1.200 – 1.900 (según fila y nivel).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"Las cenizas de su ser querido merecen un lugar propio y permanente. En El Hogar de las Memorias, el columbario de mármol o cristal guarda hasta dos urnas en un espacio sereno, donde la familia siempre podrá volver."</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¿Las cenizas están hoy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 mármol o el cristal?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¿Pensarían en un espacio para dos personas de la familia?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"¿Visitamos El Hogar de las Memorias para que elija la fila y el nivel?"</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"Ya tengo las cenizas en casa." → "Es natural tenerlas cerca. En el columbario quedan protegidas para siempre y toda la familia puede visitarlas."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el destino natural al terminar los 12 meses de columbario temporal de la Solución Modular.</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PREMIUM</w:t>
            </w:r>
          </w:p>
          <w:p>
            <w:r>
              <w:rPr>
                <w:rFonts w:ascii="Playfair Display" w:hAnsi="Playfair Display" w:eastAsia="Playfair Display"/>
                <w:b/>
                <w:i w:val="0"/>
                <w:color w:val="FFFFFF"/>
                <w:sz w:val="36"/>
              </w:rPr>
              <w:t>Columbario Ónix</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MODALIDAD</w:t>
            </w:r>
          </w:p>
          <w:p>
            <w:pPr>
              <w:jc w:val="right"/>
            </w:pPr>
            <w:r>
              <w:rPr>
                <w:rFonts w:ascii="Montserrat" w:hAnsi="Montserrat" w:eastAsia="Montserrat"/>
                <w:b/>
                <w:i w:val="0"/>
                <w:color w:val="FFFFFF"/>
                <w:sz w:val="36"/>
              </w:rPr>
              <w:t>US$ 3.100 / 5.000</w:t>
            </w:r>
          </w:p>
        </w:tc>
      </w:tr>
    </w:tbl>
    <w:p>
      <w:pPr>
        <w:spacing w:before="80" w:after="160" w:line="276" w:lineRule="auto"/>
      </w:pPr>
      <w:r>
        <w:rPr>
          <w:rFonts w:ascii="Montserrat" w:hAnsi="Montserrat" w:eastAsia="Montserrat"/>
          <w:b w:val="0"/>
          <w:i/>
          <w:color w:val="7A8794"/>
          <w:sz w:val="19"/>
        </w:rPr>
        <w:t>Finados y noviembre (−15%): US$ 2.635 / 4.250 ·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Inspirado en la belleza del ónix natural, de tonos cálidos y apariencia luminosa: un columbario exclusivo para un homenaje perdurable.</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exclusividad y una piedra natural de alta gama para el homenaje.</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espacio permanente en columbario de ónix natural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Tamaño estándar: hasta 2 urnas, con ubicación definida (US$ 3.100)</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Una opción familiar: hasta 4 urnas, con ubicación a futuro (US$ 5.000)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la modalidad estándar la ubicación es definida; con la familiar, a futuro.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"El ónix es una piedra natural única: su luz y sus tonos cálidos hacen de cada espacio un lugar de paz. Es un homenaje distinto, a la altura de quien usted ama."</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tipo de homenaje imagina para su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¿Sería para dos personas o para la familia completa?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muestro el columbario de ónix para que vea la piedra en persona?"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"Hay opciones más baratas." → "Sí, y con gusto se las muestro. El ónix es para quien busca algo único: una piedra natural que no se repite."</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Muestre la piedra en persona: la luz del ónix se aprecia mejor que en cualquier foto.</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HOGAR DE LAS MEMORIAS · COLUMBARIO FAMILIAR</w:t>
            </w:r>
          </w:p>
          <w:p>
            <w:r>
              <w:rPr>
                <w:rFonts w:ascii="Playfair Display" w:hAnsi="Playfair Display" w:eastAsia="Playfair Display"/>
                <w:b/>
                <w:i w:val="0"/>
                <w:color w:val="FFFFFF"/>
                <w:sz w:val="36"/>
              </w:rPr>
              <w:t>Columbario Obra de Arte</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w:t>
            </w:r>
          </w:p>
          <w:p>
            <w:pPr>
              <w:jc w:val="right"/>
            </w:pPr>
            <w:r>
              <w:rPr>
                <w:rFonts w:ascii="Montserrat" w:hAnsi="Montserrat" w:eastAsia="Montserrat"/>
                <w:b/>
                <w:i w:val="0"/>
                <w:color w:val="FFFFFF"/>
                <w:sz w:val="36"/>
              </w:rPr>
              <w:t>US$ 12.500</w:t>
            </w:r>
          </w:p>
        </w:tc>
      </w:tr>
    </w:tbl>
    <w:p>
      <w:pPr>
        <w:spacing w:before="80" w:after="160" w:line="276" w:lineRule="auto"/>
      </w:pPr>
      <w:r>
        <w:rPr>
          <w:rFonts w:ascii="Montserrat" w:hAnsi="Montserrat" w:eastAsia="Montserrat"/>
          <w:b w:val="0"/>
          <w:i/>
          <w:color w:val="7A8794"/>
          <w:sz w:val="19"/>
        </w:rPr>
        <w:t>Finados y noviembre (−15%): US$ 10.625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Imagen religiosa sobre tapa de ónix: un columbario familiar que es una expresión única de fe, memoria y belleza.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de fe que desean un legado único y de máxima exclusividad.</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familiar permanente para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exclusiva de ónix con obra de arte religiosa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definida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urnas (familiar).</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Cremación no incluida: se contrata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"Este columbario es una obra de arte de fe: la tapa de ónix con imagen religiosa convierte el lugar de descanso de su familia en un espacio de oración y contemplación, para generaciones."</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lugar tiene la fe en la forma en que su familia recuerda?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¿Cuántos miembros de la familia lo considerarían?</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el espacio familiar con el precio de noviembre?"</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muy caro." → "Es un legado para cuatro personas, para siempre, y puede pagarse en hasta 120 meses. Es la opción más exclusiva del portafolio."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Preséntelo con calma y en persona; no lo ofrezca a quien busca la opción más económica.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MAUSOLEO BELLA VISTA · CREMACIÓN + COLUMBARIO</w:t>
            </w:r>
          </w:p>
          <w:p>
            <w:r>
              <w:rPr>
                <w:rFonts w:ascii="Playfair Display" w:hAnsi="Playfair Display" w:eastAsia="Playfair Display"/>
                <w:b/>
                <w:i w:val="0"/>
                <w:color w:val="FFFFFF"/>
                <w:sz w:val="36"/>
              </w:rPr>
              <w:t>Columbario Cristal · Bella Vista</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SEGÚN UBICACIÓN</w:t>
            </w:r>
          </w:p>
          <w:p>
            <w:pPr>
              <w:jc w:val="right"/>
            </w:pPr>
            <w:r>
              <w:rPr>
                <w:rFonts w:ascii="Montserrat" w:hAnsi="Montserrat" w:eastAsia="Montserrat"/>
                <w:b/>
                <w:i w:val="0"/>
                <w:color w:val="FFFFFF"/>
                <w:sz w:val="36"/>
              </w:rPr>
              <w:t>US$ 1.300 – 2.900</w:t>
            </w:r>
          </w:p>
        </w:tc>
      </w:tr>
    </w:tbl>
    <w:p>
      <w:pPr>
        <w:spacing w:before="80" w:after="160" w:line="276" w:lineRule="auto"/>
      </w:pPr>
      <w:r>
        <w:rPr>
          <w:rFonts w:ascii="Montserrat" w:hAnsi="Montserrat" w:eastAsia="Montserrat"/>
          <w:b w:val="0"/>
          <w:i/>
          <w:color w:val="7A8794"/>
          <w:sz w:val="19"/>
        </w:rPr>
        <w:t>Finados y noviembre (−15%): desde US$ 1.105 · Pago único o hasta 120 meses, con intereses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Incluye el proceso completo de cremación y un columbario de cristal en el mausoleo vertical Bella Vista, dentro del cementerio.</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la opción más accesible de cremación con columbario permanente, para 2 o 4 personas.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Incluye columbario de cristal permanente (30 × 30 × 30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Traslados, preparación y resguardo hasta 5 días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Urnas y cremaciones: 2 en la modalidad estándar, 4 en la familiar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Certificado de cremación y ceremonia privada de colocación</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estándar: definida US$ 1.800 · a futuro US$ 1.300.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Con modalidad familiar: definida US$ 2.900 · a futuro US$ 2.300.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En este producto la cremación está incluida: no hace falta contratarla aparte.</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"Bella Vista resuelve en un solo paso la cremación y el lugar de descanso: un columbario de cristal en nuestro mausoleo vertical, para dos o cuatro personas, con todo el proceso incluido."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¿Lo considera para dos personas o para la familia?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elegir ya la ubicación o dejarla a futuro?</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"¿Aprovechamos el precio de noviembre y lo dejamos resuelto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un jardín." → "Perfecto, también tenemos los Jardines de Cenizas. Bella Vista es para quien prefiere un columbario, con la cremación ya incluida."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Es la puerta de entrada a los columbarios: cremación y destino final desde US$ 1.105 en noviembre.</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tbl>
      <w:tblPr>
        <w:tblW w:type="auto" w:w="0"/>
        <w:jc w:val="center"/>
        <w:tblLayout w:type="fixed"/>
        <w:tblLook w:firstColumn="1" w:firstRow="1" w:lastColumn="0" w:lastRow="0" w:noHBand="0" w:noVBand="1" w:val="04A0"/>
      </w:tblPr>
      <w:tblGrid>
        <w:gridCol w:w="3249"/>
        <w:gridCol w:w="3249"/>
        <w:gridCol w:w="3249"/>
      </w:tblGrid>
      <w:tr>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V</w:t>
            </w:r>
          </w:p>
          <w:p>
            <w:pPr>
              <w:spacing w:after="40"/>
              <w:jc w:val="center"/>
            </w:pPr>
            <w:r>
              <w:rPr>
                <w:rFonts w:ascii="Montserrat" w:hAnsi="Montserrat" w:eastAsia="Montserrat"/>
                <w:b/>
                <w:i w:val="0"/>
                <w:color w:val="0F2537"/>
                <w:sz w:val="24"/>
              </w:rPr>
              <w:t>1. Validar</w:t>
            </w:r>
          </w:p>
          <w:p>
            <w:pPr>
              <w:spacing w:after="40"/>
              <w:jc w:val="center"/>
            </w:pPr>
            <w:r>
              <w:rPr>
                <w:rFonts w:ascii="Montserrat" w:hAnsi="Montserrat" w:eastAsia="Montserrat"/>
                <w:b w:val="0"/>
                <w:i w:val="0"/>
                <w:color w:val="2C3E50"/>
                <w:sz w:val="19"/>
              </w:rPr>
              <w:t>Reconocer la emoción: "Entiendo, es una decisión importante."</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R</w:t>
            </w:r>
          </w:p>
          <w:p>
            <w:pPr>
              <w:spacing w:after="40"/>
              <w:jc w:val="center"/>
            </w:pPr>
            <w:r>
              <w:rPr>
                <w:rFonts w:ascii="Montserrat" w:hAnsi="Montserrat" w:eastAsia="Montserrat"/>
                <w:b/>
                <w:i w:val="0"/>
                <w:color w:val="0F2537"/>
                <w:sz w:val="24"/>
              </w:rPr>
              <w:t>2. Reposicionar</w:t>
            </w:r>
          </w:p>
          <w:p>
            <w:pPr>
              <w:spacing w:after="40"/>
              <w:jc w:val="center"/>
            </w:pPr>
            <w:r>
              <w:rPr>
                <w:rFonts w:ascii="Montserrat" w:hAnsi="Montserrat" w:eastAsia="Montserrat"/>
                <w:b w:val="0"/>
                <w:i w:val="0"/>
                <w:color w:val="2C3E50"/>
                <w:sz w:val="19"/>
              </w:rPr>
              <w:t>Mostrar el valor desde otro ángulo, sin discutir.</w:t>
            </w:r>
          </w:p>
        </w:tc>
        <w:tc>
          <w:tcPr>
            <w:tcW w:type="dxa" w:w="3214"/>
            <w:tcMar>
              <w:top w:w="124" w:type="dxa"/>
              <w:left w:w="124" w:type="dxa"/>
              <w:bottom w:w="124" w:type="dxa"/>
              <w:right w:w="124" w:type="dxa"/>
            </w:tcMar>
            <w:tcBorders>
              <w:top w:val="single" w:sz="36" w:color="C5A059"/>
              <w:left w:val="single" w:sz="24" w:color="FFFFFF"/>
              <w:bottom w:val="nil"/>
              <w:right w:val="single" w:sz="24" w:color="FFFFFF"/>
            </w:tcBorders>
            <w:shd w:val="clear" w:color="auto" w:fill="F4F7FA"/>
            <w:tcMar>
              <w:top w:w="198" w:type="dxa"/>
              <w:left w:w="198" w:type="dxa"/>
              <w:bottom w:w="198" w:type="dxa"/>
              <w:right w:w="198" w:type="dxa"/>
            </w:tcMar>
          </w:tcPr>
          <w:p>
            <w:pPr>
              <w:spacing w:after="40"/>
              <w:jc w:val="center"/>
            </w:pPr>
            <w:r>
              <w:rPr>
                <w:rFonts w:ascii="Playfair Display" w:hAnsi="Playfair Display" w:eastAsia="Playfair Display"/>
                <w:b/>
                <w:i w:val="0"/>
                <w:color w:val="1B365D"/>
                <w:sz w:val="60"/>
              </w:rPr>
              <w:t>A</w:t>
            </w:r>
          </w:p>
          <w:p>
            <w:pPr>
              <w:spacing w:after="40"/>
              <w:jc w:val="center"/>
            </w:pPr>
            <w:r>
              <w:rPr>
                <w:rFonts w:ascii="Montserrat" w:hAnsi="Montserrat" w:eastAsia="Montserrat"/>
                <w:b/>
                <w:i w:val="0"/>
                <w:color w:val="0F2537"/>
                <w:sz w:val="24"/>
              </w:rPr>
              <w:t>3. Avanzar</w:t>
            </w:r>
          </w:p>
          <w:p>
            <w:pPr>
              <w:spacing w:after="40"/>
              <w:jc w:val="center"/>
            </w:pPr>
            <w:r>
              <w:rPr>
                <w:rFonts w:ascii="Montserrat" w:hAnsi="Montserrat" w:eastAsia="Montserrat"/>
                <w:b w:val="0"/>
                <w:i w:val="0"/>
                <w:color w:val="2C3E50"/>
                <w:sz w:val="19"/>
              </w:rPr>
              <w:t>Proponer un siguiente paso concreto y amable.</w:t>
            </w:r>
          </w:p>
        </w:tc>
      </w:tr>
    </w:tbl>
    <w:p>
      <w:pPr>
        <w:spacing w:before="0" w:after="4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Detrás de cada objeción hay una emoción: miedo, duelo o desconfianza. Valide primero la emoción y después responda. Nunca rebata: reposicione.</w:t>
            </w:r>
          </w:p>
        </w:tc>
      </w:tr>
    </w:tbl>
    <w:p>
      <w:pPr>
        <w:spacing w:before="0" w:after="80" w:line="276" w:lineRule="auto"/>
      </w:pP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se paga en hasta 120 meses.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resulta más cómodo pagarlo en cuotas mensuales?"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US$ 24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Hogar de las Memorias y Las Colinas,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 · lanz. US$ 800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meses, con intereses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 · lanz. US$ 480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 años, renovable</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 · lanz. US$ 1.600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US$ 24/año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 30 años, renovable</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 · lanz. 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 · lanz. US$ 320 / 440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 cremación y urna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Portafolio existente: columbarios</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24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Finados y noviembre (−15%)</w:t>
            </w:r>
          </w:p>
        </w:tc>
        <w:tc>
          <w:tcPr>
            <w:tcW w:type="dxa" w:w="113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Capacidad</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Incluye</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Supremo Plus</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Definida US$ 3.400–3.900 · Futuro US$ 2.700–3.200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US$ 2.890–3.315 · US$ 2.295–2.720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Funeral + 2 cremaciones +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Mármol o Cristal</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Definida US$ 2.600 · Futuro US$ 1.200–1.900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US$ 2.210 · US$ 1.020–1.615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Columbario Ónix</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US$ 3.100 · Familiar US$ 5.000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US$ 2.635 · US$ 4.250</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Obra de Arte</w:t>
            </w:r>
          </w:p>
        </w:tc>
        <w:tc>
          <w:tcPr>
            <w:tcW w:type="dxa" w:w="24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Familiar US$ 12.500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US$ 10.625</w:t>
            </w:r>
          </w:p>
        </w:tc>
        <w:tc>
          <w:tcPr>
            <w:tcW w:type="dxa" w:w="113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4 urnas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Solo columbario</w:t>
            </w:r>
          </w:p>
        </w:tc>
      </w:tr>
      <w:tr>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Bella Vista</w:t>
            </w:r>
          </w:p>
        </w:tc>
        <w:tc>
          <w:tcPr>
            <w:tcW w:type="dxa" w:w="24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Estándar US$ 1.800 / 1.300 · Familiar US$ 2.900 / 2.300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US$ 1.530 / 1.105 · US$ 2.465 / 1.955</w:t>
            </w:r>
          </w:p>
        </w:tc>
        <w:tc>
          <w:tcPr>
            <w:tcW w:type="dxa" w:w="113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 o 4 urnas</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Cremación + columbario</w:t>
            </w:r>
          </w:p>
        </w:tc>
      </w:tr>
    </w:tbl>
    <w:p>
      <w:pPr>
        <w:spacing w:before="0" w:after="80" w:line="276" w:lineRule="auto"/>
      </w:pPr>
    </w:p>
    <w:p>
      <w:pPr>
        <w:spacing w:before="80" w:after="120" w:line="276" w:lineRule="auto"/>
      </w:pPr>
      <w:r>
        <w:rPr>
          <w:rFonts w:ascii="Montserrat" w:hAnsi="Montserrat" w:eastAsia="Montserrat"/>
          <w:b w:val="0"/>
          <w:i/>
          <w:color w:val="7A8794"/>
          <w:sz w:val="19"/>
        </w:rPr>
        <w:t>Precios según fila y nivel (Bella Vista: definida / a futuro). Pago único o financiado en hasta 120 meses, con intereses. El 15% vale solo en Finados y durante noviembre.</w:t>
      </w: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Productos de lanzamiento (ver Ficha Técnica): 20%. Portafolio existente de columbarios: 15%. Ambos descuentos valen solo en Finados y durante noviembre. Cualquier otro descuento, solo con autorización del supervisor (emergencia: máximo 5%).</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US$ 24/año.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Individual y Familiar: 30 años desde la primera inhumación, renovables. Ecológico y Mascotas: 3 años.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y en el Jardín de Mascotas.</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 2026</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POR CANTIDAD DE VENTAS: 8% · 10% · 12%</w:t>
            </w:r>
          </w:p>
          <w:p>
            <w:pPr>
              <w:spacing w:after="40"/>
            </w:pPr>
            <w:r>
              <w:rPr>
                <w:rFonts w:ascii="Montserrat" w:hAnsi="Montserrat" w:eastAsia="Montserrat"/>
                <w:b w:val="0"/>
                <w:i w:val="0"/>
                <w:color w:val="2C3E50"/>
                <w:sz w:val="21"/>
              </w:rPr>
              <w:t>Política de comisiones 2026, aprobada. El porcentaje depende de cuántas ventas de cremación cierra el asesor en el mes (cualquier producto: Solución Modular, jardines o columbarios) y se aplica sobre toda la facturación del mes, sin IVA.</w:t>
            </w:r>
          </w:p>
        </w:tc>
      </w:tr>
    </w:tbl>
    <w:p>
      <w:pPr>
        <w:spacing w:before="0" w:after="80" w:line="276" w:lineRule="auto"/>
      </w:pPr>
    </w:p>
    <w:tbl>
      <w:tblPr>
        <w:tblW w:type="auto" w:w="0"/>
        <w:jc w:val="center"/>
        <w:tblLayout w:type="fixed"/>
        <w:tblLook w:firstColumn="1" w:firstRow="1" w:lastColumn="0" w:lastRow="0" w:noHBand="0" w:noVBand="1" w:val="04A0"/>
      </w:tblPr>
      <w:tblGrid>
        <w:gridCol w:w="2436"/>
        <w:gridCol w:w="2436"/>
        <w:gridCol w:w="2436"/>
        <w:gridCol w:w="2436"/>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Ventas en el mes</w:t>
            </w:r>
          </w:p>
        </w:tc>
        <w:tc>
          <w:tcPr>
            <w:tcW w:type="dxa" w:w="170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 comisión</w:t>
            </w:r>
          </w:p>
        </w:tc>
        <w:tc>
          <w:tcPr>
            <w:tcW w:type="dxa" w:w="311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Ejemplo: facturación (Solución Modular)</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del ejemplo</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1 venta</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US$ 885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2 ventas</w:t>
            </w:r>
          </w:p>
        </w:tc>
        <w:tc>
          <w:tcPr>
            <w:tcW w:type="dxa" w:w="170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10%</w:t>
            </w:r>
          </w:p>
        </w:tc>
        <w:tc>
          <w:tcPr>
            <w:tcW w:type="dxa" w:w="311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US$ 177,00</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3 ventas o más</w:t>
            </w:r>
          </w:p>
        </w:tc>
        <w:tc>
          <w:tcPr>
            <w:tcW w:type="dxa" w:w="170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12%</w:t>
            </w:r>
          </w:p>
        </w:tc>
        <w:tc>
          <w:tcPr>
            <w:tcW w:type="dxa" w:w="311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US$ 2.655</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US$ 318,60</w:t>
            </w:r>
          </w:p>
        </w:tc>
      </w:tr>
    </w:tbl>
    <w:p>
      <w:pPr>
        <w:spacing w:before="0" w:after="80" w:line="276" w:lineRule="auto"/>
      </w:pPr>
    </w:p>
    <w:tbl>
      <w:tblPr>
        <w:tblW w:type="auto" w:w="0"/>
        <w:jc w:val="center"/>
        <w:tblLayout w:type="fixed"/>
        <w:tblLook w:firstColumn="1" w:firstRow="1" w:lastColumn="0" w:lastRow="0" w:noHBand="0" w:noVBand="1" w:val="04A0"/>
      </w:tblPr>
      <w:tblGrid>
        <w:gridCol w:w="4873"/>
        <w:gridCol w:w="4873"/>
      </w:tblGrid>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1 venta · 8%</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US$ 70,80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2 ventas · 10%</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US$ 177,00</w:t>
            </w:r>
          </w:p>
        </w:tc>
      </w:tr>
      <w:tr>
        <w:tc>
          <w:tcPr>
            <w:tcW w:type="dxa" w:w="2551"/>
            <w:tcMar>
              <w:top w:w="124" w:type="dxa"/>
              <w:left w:w="124" w:type="dxa"/>
              <w:bottom w:w="124" w:type="dxa"/>
              <w:right w:w="124" w:type="dxa"/>
            </w:tcMar>
            <w:tcMar>
              <w:top w:w="85" w:type="dxa"/>
              <w:left w:w="85" w:type="dxa"/>
              <w:bottom w:w="85" w:type="dxa"/>
              <w:right w:w="85" w:type="dxa"/>
            </w:tcMar>
          </w:tcPr>
          <w:p>
            <w:pPr>
              <w:spacing w:after="40"/>
              <w:jc w:val="right"/>
            </w:pPr>
            <w:r>
              <w:rPr>
                <w:rFonts w:ascii="Montserrat" w:hAnsi="Montserrat" w:eastAsia="Montserrat"/>
                <w:b/>
                <w:i w:val="0"/>
                <w:color w:val="0F2537"/>
                <w:sz w:val="20"/>
              </w:rPr>
              <w:t>3 ventas · 12%</w:t>
            </w:r>
          </w:p>
        </w:tc>
        <w:tc>
          <w:tcPr>
            <w:tcW w:type="dxa" w:w="7087"/>
            <w:tcMar>
              <w:top w:w="124" w:type="dxa"/>
              <w:left w:w="124" w:type="dxa"/>
              <w:bottom w:w="124" w:type="dxa"/>
              <w:right w:w="124" w:type="dxa"/>
            </w:tcMar>
            <w:tcMar>
              <w:top w:w="85" w:type="dxa"/>
              <w:left w:w="85" w:type="dxa"/>
              <w:bottom w:w="85" w:type="dxa"/>
              <w:right w:w="85" w:type="dxa"/>
            </w:tcMar>
          </w:tcPr>
          <w:p>
            <w:pPr>
              <w:spacing w:after="40"/>
            </w:pPr>
            <w:r>
              <w:rPr>
                <w:rFonts w:ascii="Montserrat" w:hAnsi="Montserrat" w:eastAsia="Montserrat"/>
                <w:b w:val="0"/>
                <w:i w:val="0"/>
                <w:color w:val="1B365D"/>
                <w:sz w:val="20"/>
              </w:rPr>
              <w:t>██████████████████████████</w:t>
            </w:r>
            <w:r>
              <w:rPr>
                <w:rFonts w:ascii="Montserrat" w:hAnsi="Montserrat" w:eastAsia="Montserrat"/>
                <w:b/>
                <w:i w:val="0"/>
                <w:color w:val="1B365D"/>
                <w:sz w:val="20"/>
              </w:rPr>
              <w:t xml:space="preserve">  US$ 318,60</w:t>
            </w:r>
          </w:p>
        </w:tc>
      </w:tr>
    </w:tbl>
    <w:p>
      <w:pPr>
        <w:spacing w:before="0" w:after="200" w:line="276" w:lineRule="auto"/>
        <w:jc w:val="center"/>
      </w:pPr>
      <w:r>
        <w:rPr>
          <w:rFonts w:ascii="Montserrat" w:hAnsi="Montserrat" w:eastAsia="Montserrat"/>
          <w:b w:val="0"/>
          <w:i/>
          <w:color w:val="7A8794"/>
          <w:sz w:val="17"/>
        </w:rPr>
        <w:t>Figura 7 · Comisión del mes según cantidad de ventas (ejemplo con Solución Modular).</w:t>
      </w:r>
    </w:p>
    <w:p>
      <w:pPr>
        <w:pStyle w:val="Heading2"/>
        <w:spacing w:before="200" w:after="80"/>
      </w:pPr>
      <w:r>
        <w:rPr>
          <w:rFonts w:ascii="Playfair Display" w:hAnsi="Playfair Display" w:eastAsia="Playfair Display"/>
          <w:b/>
          <w:i w:val="0"/>
          <w:color w:val="1B365D"/>
          <w:sz w:val="28"/>
        </w:rPr>
        <w:t>Cuándo se paga y cuándo se descuenta</w:t>
      </w:r>
    </w:p>
    <w:tbl>
      <w:tblPr>
        <w:tblW w:type="auto" w:w="0"/>
        <w:jc w:val="center"/>
        <w:tblLayout w:type="fixed"/>
        <w:tblLook w:firstColumn="1" w:firstRow="1" w:lastColumn="0" w:lastRow="0" w:noHBand="0" w:noVBand="1" w:val="04A0"/>
      </w:tblPr>
      <w:tblGrid>
        <w:gridCol w:w="3249"/>
        <w:gridCol w:w="3249"/>
        <w:gridCol w:w="3249"/>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425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55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Jardines de Cenizas</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4252"/>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55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Columbarios (portafolio existente)</w:t>
            </w:r>
          </w:p>
        </w:tc>
        <w:tc>
          <w:tcPr>
            <w:tcW w:type="dxa" w:w="4252"/>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55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1 venta en el mes = 8%; 2 ventas = 10%; 3 o más = 12%, sobre toda la facturación del mes.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Cuenta cualquier producto de cremación (nuevos y columbarios): cada contrato es 1 venta.</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facturación sin IVA (13%), neta de descuentos; se paga sobre lo cobrado.</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Mismo criterio para call center, contratados y freelancers. Sin bonos adicionales.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Venta compartida (call center agenda, otro cierra): 1 venta para ambos; comisión 30% / 70%.</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cuentan ni comisionan: cuotas de mantenimiento anual (US$ 15 / US$ 24).</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 ventas anuladas no cuentan.</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pago</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Comunique que se paga en hasta 120 meses con intereses; no prometa un valor de cuota.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y el plazo (30 años renovables o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Las Colinas · Vangrupo</w:t>
            </w:r>
          </w:p>
        </w:tc>
      </w:tr>
    </w:tbl>
    <w:sectPr w:rsidR="00FC693F" w:rsidRPr="0006063C" w:rsidSect="00034616">
      <w:footerReference w:type="default" r:id="rId9"/>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Las Colinas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