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1.0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1.0)</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de Mascotas: confirmar si la urna biodegradable está incluida en el precio.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664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664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US$ 400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(nivel 1,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permanente para visitar.</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permanente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Pago único o financiado · Mantenimiento US$ 25/año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Sin plazo de permanencia.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y permanente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permanente de homenaje familiar, sin plazo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sin plazo.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US$ 25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para siempre, y cuesta US$ 500 por espacio,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US$ 400 solo espacio · US$ 550 con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(opción US$ 550)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solo en la opción de US$ 550.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su nombre quede para siempre en el monumento memorial?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placa memorial incluida, para que su nombre quede siempre en el jardín?»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US$ 25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Sin plazo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US$ 25/año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sin plazo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Prenecesidad: hasta 20% según la campaña del mes. Emergencia: máximo 5%. Siempre con autorización del supervisor.</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US$ 25/año.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3 años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Ecológico y Mascotas: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(US$ 750) y en la opción de Mascotas de US$ 550.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9890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98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con placa</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US$ 25).</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Explique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o el plazo de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