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1.0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1.0)</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de Mascotas: confirmar si la urna biodegradable está incluida en el precio.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Pago único o financiado · Mantenimiento US$ 25/año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US$ 400 solo espacio · US$ 550 con placa memorial incluida</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US$ 400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(nivel 1,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permanente para visitar.</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permanente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Pago único o financiado · Mantenimiento US$ 25/año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Sin plazo de permanencia.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y permanente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permanente de homenaje familiar, sin plazo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sin plazo.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US$ 25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para siempre, y cuesta US$ 500 por espacio,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 US$ 550).</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US$ 400 solo espacio · US$ 550 con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(opción US$ 550)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solo en la opción de US$ 550.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su nombre quede para siempre en el monumento memorial?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placa memorial incluida, para que su nombre quede siempre en el jardín?»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US$ 25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Sin plazo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US$ 25/año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sin plazo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Prenecesidad: hasta 20% según la campaña del mes. Emergencia: máximo 5%. Siempre con autorización del supervisor.</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US$ 25/año.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3 años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Ecológico y Mascotas: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(US$ 750) y en la opción de Mascotas de US$ 550.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con placa</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con placa</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US$ 25).</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Explique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o el plazo de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