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line="276" w:lineRule="auto"/>
        <w:jc w:val="center"/>
      </w:pPr>
      <w:r>
        <w:drawing>
          <wp:inline xmlns:a="http://schemas.openxmlformats.org/drawingml/2006/main" xmlns:pic="http://schemas.openxmlformats.org/drawingml/2006/picture">
            <wp:extent cx="5400000" cy="864000"/>
            <wp:docPr id="1" name="Picture 1"/>
            <wp:cNvGraphicFramePr>
              <a:graphicFrameLocks noChangeAspect="1"/>
            </wp:cNvGraphicFramePr>
            <a:graphic>
              <a:graphicData uri="http://schemas.openxmlformats.org/drawingml/2006/picture">
                <pic:pic>
                  <pic:nvPicPr>
                    <pic:cNvPr id="0" name="00_logos.png"/>
                    <pic:cNvPicPr/>
                  </pic:nvPicPr>
                  <pic:blipFill>
                    <a:blip r:embed="rId9"/>
                    <a:stretch>
                      <a:fillRect/>
                    </a:stretch>
                  </pic:blipFill>
                  <pic:spPr>
                    <a:xfrm>
                      <a:off x="0" y="0"/>
                      <a:ext cx="5400000" cy="864000"/>
                    </a:xfrm>
                    <a:prstGeom prst="rect"/>
                  </pic:spPr>
                </pic:pic>
              </a:graphicData>
            </a:graphic>
          </wp:inline>
        </w:drawing>
      </w:r>
    </w:p>
    <w:p>
      <w:pPr>
        <w:spacing w:before="0" w:after="80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510" w:type="dxa"/>
              <w:left w:w="510" w:type="dxa"/>
              <w:bottom w:w="510" w:type="dxa"/>
              <w:right w:w="510" w:type="dxa"/>
            </w:tcMar>
          </w:tcPr>
          <w:p>
            <w:pPr>
              <w:spacing w:after="40"/>
            </w:pPr>
            <w:r>
              <w:rPr>
                <w:rFonts w:ascii="Montserrat" w:hAnsi="Montserrat" w:eastAsia="Montserrat"/>
                <w:b/>
                <w:i w:val="0"/>
                <w:color w:val="C5A059"/>
                <w:sz w:val="20"/>
              </w:rPr>
              <w:t>CAMPAÑA DÍA DE LOS MUERTOS 2026</w:t>
            </w:r>
          </w:p>
          <w:p>
            <w:pPr>
              <w:spacing w:before="200"/>
            </w:pPr>
            <w:r>
              <w:rPr>
                <w:rFonts w:ascii="Playfair Display" w:hAnsi="Playfair Display" w:eastAsia="Playfair Display"/>
                <w:b/>
                <w:i w:val="0"/>
                <w:color w:val="FFFFFF"/>
                <w:sz w:val="80"/>
              </w:rPr>
              <w:t>Playbook Comercial</w:t>
            </w:r>
          </w:p>
          <w:p>
            <w:r>
              <w:rPr>
                <w:rFonts w:ascii="Playfair Display" w:hAnsi="Playfair Display" w:eastAsia="Playfair Display"/>
                <w:b w:val="0"/>
                <w:i w:val="0"/>
                <w:color w:val="E8EDF3"/>
                <w:sz w:val="32"/>
              </w:rPr>
              <w:t>Portafolio de Cremación y Jardines de Cenizas</w:t>
            </w:r>
          </w:p>
          <w:p>
            <w:pPr>
              <w:spacing w:before="360"/>
            </w:pPr>
            <w:r>
              <w:rPr>
                <w:rFonts w:ascii="Montserrat" w:hAnsi="Montserrat" w:eastAsia="Montserrat"/>
                <w:b/>
                <w:i w:val="0"/>
                <w:color w:val="C5A059"/>
                <w:sz w:val="21"/>
              </w:rPr>
              <w:t>La Auxiliadora · Hogar de las Memorias · Vangrupo</w:t>
            </w:r>
          </w:p>
        </w:tc>
      </w:tr>
    </w:tbl>
    <w:p>
      <w:pPr>
        <w:spacing w:before="0" w:after="600" w:line="276" w:lineRule="auto"/>
      </w:pPr>
    </w:p>
    <w:p>
      <w:pPr>
        <w:spacing w:before="0" w:after="1200" w:line="276" w:lineRule="auto"/>
        <w:jc w:val="center"/>
      </w:pPr>
      <w:r>
        <w:rPr>
          <w:rFonts w:ascii="Playfair Display" w:hAnsi="Playfair Display" w:eastAsia="Playfair Display"/>
          <w:b w:val="0"/>
          <w:i/>
          <w:color w:val="1B365D"/>
          <w:sz w:val="30"/>
        </w:rPr>
        <w:t>«Acompañar, no vender: la familia primero, siempre.»</w:t>
      </w:r>
    </w:p>
    <w:p>
      <w:pPr>
        <w:spacing w:before="0" w:after="120" w:line="276" w:lineRule="auto"/>
        <w:jc w:val="center"/>
      </w:pPr>
      <w:r>
        <w:rPr>
          <w:rFonts w:ascii="Montserrat" w:hAnsi="Montserrat" w:eastAsia="Montserrat"/>
          <w:b w:val="0"/>
          <w:i w:val="0"/>
          <w:color w:val="7A8794"/>
          <w:sz w:val="18"/>
        </w:rPr>
        <w:t>Versión 1.0 · Octubre 2026 · Uso interno del equipo comercial</w:t>
      </w:r>
    </w:p>
    <w:p>
      <w:r>
        <w:br w:type="page"/>
      </w:r>
    </w:p>
    <w:p>
      <w:pPr>
        <w:pStyle w:val="Heading2"/>
        <w:spacing w:before="0" w:after="80"/>
      </w:pPr>
      <w:r>
        <w:rPr>
          <w:rFonts w:ascii="Playfair Display" w:hAnsi="Playfair Display" w:eastAsia="Playfair Display"/>
          <w:b/>
          <w:i w:val="0"/>
          <w:color w:val="1B365D"/>
          <w:sz w:val="36"/>
        </w:rPr>
        <w:t>Cómo usar este playbook</w:t>
      </w:r>
    </w:p>
    <w:p>
      <w:pPr>
        <w:spacing w:before="0" w:after="200" w:line="276" w:lineRule="auto"/>
      </w:pPr>
      <w:r>
        <w:rPr>
          <w:rFonts w:ascii="Montserrat" w:hAnsi="Montserrat" w:eastAsia="Montserrat"/>
          <w:b w:val="0"/>
          <w:i w:val="0"/>
          <w:color w:val="2C3E50"/>
          <w:sz w:val="21"/>
        </w:rPr>
        <w:t>Este playbook es la referencia única del equipo comercial para el portafolio de cremación y jardines de cenizas. Reúne reglas, precios, discurso por producto, manejo de objeciones y política de comisiones. Se revisa cada trimestre con la Gerencia Comercial. Si algo cambia en la Ficha Técnica, este documento se actualiza.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PENDIENTES DE VALIDACIÓN (VERSIÓN 1.0)</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Política de comisiones: 8% en todos los productos. Confirmar con el Gerente Comercial antes de aplicar.</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de Mascotas: confirmar si la urna biodegradable está incluida en el precio.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Placas de madera: confirmar el tratamiento de la madera para contacto con el suelo.</w:t>
            </w:r>
          </w:p>
          <w:p>
            <w:pPr>
              <w:spacing w:after="60"/>
            </w:pPr>
            <w:r>
              <w:rPr>
                <w:rFonts w:ascii="Montserrat" w:hAnsi="Montserrat" w:eastAsia="Montserrat"/>
                <w:b w:val="0"/>
                <w:i w:val="0"/>
                <w:color w:val="C5A059"/>
                <w:sz w:val="15"/>
              </w:rPr>
              <w:t xml:space="preserve">■  </w:t>
            </w:r>
            <w:r>
              <w:rPr>
                <w:rFonts w:ascii="Montserrat" w:hAnsi="Montserrat" w:eastAsia="Montserrat"/>
                <w:b w:val="0"/>
                <w:i w:val="0"/>
                <w:color w:val="2C3E50"/>
                <w:sz w:val="20"/>
              </w:rPr>
              <w:t>Jardín Ceremonial: producto en definición. No se vende ni se cotiza todavía.</w:t>
            </w:r>
          </w:p>
        </w:tc>
      </w:tr>
    </w:tbl>
    <w:p>
      <w:pPr>
        <w:spacing w:before="0" w:after="80" w:line="276" w:lineRule="auto"/>
      </w:pPr>
    </w:p>
    <w:p>
      <w:pPr>
        <w:pStyle w:val="Heading2"/>
        <w:spacing w:before="200" w:after="80"/>
      </w:pPr>
      <w:r>
        <w:rPr>
          <w:rFonts w:ascii="Playfair Display" w:hAnsi="Playfair Display" w:eastAsia="Playfair Display"/>
          <w:b/>
          <w:i w:val="0"/>
          <w:color w:val="1B365D"/>
          <w:sz w:val="36"/>
        </w:rPr>
        <w:t>Contenido</w:t>
      </w:r>
    </w:p>
    <w:tbl>
      <w:tblPr>
        <w:tblW w:type="auto" w:w="0"/>
        <w:jc w:val="center"/>
        <w:tblLayout w:type="fixed"/>
        <w:tblLook w:firstColumn="1" w:firstRow="1" w:lastColumn="0" w:lastRow="0" w:noHBand="0" w:noVBand="1" w:val="04A0"/>
      </w:tblPr>
      <w:tblGrid>
        <w:gridCol w:w="4873"/>
        <w:gridCol w:w="4873"/>
      </w:tblGrid>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01</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Quiénes somos y lo que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02</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A quién le vendemos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03</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El proceso de venta</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04</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Producto por producto: speech y reglas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05</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Manejo de objeciones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06</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Precios, reglas y condiciones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07</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Política de comisiones</w:t>
            </w:r>
          </w:p>
        </w:tc>
      </w:tr>
      <w:tr>
        <w:tc>
          <w:tcPr>
            <w:tcW w:type="dxa" w:w="1134"/>
            <w:tcMar>
              <w:top w:w="124" w:type="dxa"/>
              <w:left w:w="124" w:type="dxa"/>
              <w:bottom w:w="124" w:type="dxa"/>
              <w:right w:w="124" w:type="dxa"/>
            </w:tcMar>
            <w:tcBorders>
              <w:top w:val="nil"/>
              <w:left w:val="nil"/>
              <w:bottom w:val="single" w:sz="4" w:color="D9DEE4"/>
              <w:right w:val="nil"/>
            </w:tcBorders>
          </w:tcPr>
          <w:p>
            <w:pPr>
              <w:spacing w:after="40"/>
            </w:pPr>
            <w:r>
              <w:rPr>
                <w:rFonts w:ascii="Playfair Display" w:hAnsi="Playfair Display" w:eastAsia="Playfair Display"/>
                <w:b/>
                <w:i w:val="0"/>
                <w:color w:val="C5A059"/>
                <w:sz w:val="36"/>
              </w:rPr>
              <w:t>08</w:t>
            </w:r>
          </w:p>
        </w:tc>
        <w:tc>
          <w:tcPr>
            <w:tcW w:type="dxa" w:w="850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i w:val="0"/>
                <w:color w:val="1B365D"/>
                <w:sz w:val="24"/>
              </w:rPr>
              <w:t>Herramientas de apoyo</w:t>
            </w:r>
          </w:p>
        </w:tc>
      </w:tr>
    </w:tbl>
    <w:p>
      <w:r>
        <w:br w:type="page"/>
      </w:r>
    </w:p>
    <w:p>
      <w:pPr>
        <w:pStyle w:val="Heading1"/>
        <w:spacing w:before="0" w:after="80"/>
      </w:pPr>
      <w:r>
        <w:rPr>
          <w:rFonts w:ascii="Playfair Display" w:hAnsi="Playfair Display" w:eastAsia="Playfair Display"/>
          <w:b/>
          <w:i w:val="0"/>
          <w:color w:val="C5A059"/>
          <w:sz w:val="52"/>
        </w:rPr>
        <w:t xml:space="preserve">01  </w:t>
      </w:r>
      <w:r>
        <w:rPr>
          <w:rFonts w:ascii="Playfair Display" w:hAnsi="Playfair Display" w:eastAsia="Playfair Display"/>
          <w:b/>
          <w:i w:val="0"/>
          <w:color w:val="1B365D"/>
          <w:sz w:val="48"/>
        </w:rPr>
        <w:t>Quiénes somos y lo que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val="0"/>
          <w:color w:val="2C3E50"/>
          <w:sz w:val="21"/>
        </w:rPr>
        <w:t>En La Auxiliadora y Hogar de las Memorias, empresas de Vangrupo, no vendemos nichos, parcelas ni servicios: acompañamos a las familias salvadoreñas a honrar la memoria de quienes aman. La cremación es una decisión cada vez más elegida, y nuestros nuevos jardines de cenizas responden a una pregunta que muchas familias se hacen y pocas se atreven a decir: «¿y después de la cremación, dónde las visitamos?».</w:t>
      </w:r>
    </w:p>
    <w:p>
      <w:pPr>
        <w:spacing w:before="80" w:after="40" w:line="276" w:lineRule="auto"/>
        <w:jc w:val="center"/>
      </w:pPr>
      <w:r>
        <w:drawing>
          <wp:inline xmlns:a="http://schemas.openxmlformats.org/drawingml/2006/main" xmlns:pic="http://schemas.openxmlformats.org/drawingml/2006/picture">
            <wp:extent cx="6120000" cy="2664750"/>
            <wp:docPr id="2" name="Picture 2"/>
            <wp:cNvGraphicFramePr>
              <a:graphicFrameLocks noChangeAspect="1"/>
            </wp:cNvGraphicFramePr>
            <a:graphic>
              <a:graphicData uri="http://schemas.openxmlformats.org/drawingml/2006/picture">
                <pic:pic>
                  <pic:nvPicPr>
                    <pic:cNvPr id="0" name="01_portafolio.png"/>
                    <pic:cNvPicPr/>
                  </pic:nvPicPr>
                  <pic:blipFill>
                    <a:blip r:embed="rId10"/>
                    <a:stretch>
                      <a:fillRect/>
                    </a:stretch>
                  </pic:blipFill>
                  <pic:spPr>
                    <a:xfrm>
                      <a:off x="0" y="0"/>
                      <a:ext cx="6120000" cy="266475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1 · El portafolio en un vistazo. Precios sugeridos, IVA incluido.</w:t>
      </w:r>
    </w:p>
    <w:p>
      <w:pPr>
        <w:pStyle w:val="Heading2"/>
        <w:spacing w:before="200" w:after="80"/>
      </w:pPr>
      <w:r>
        <w:rPr>
          <w:rFonts w:ascii="Playfair Display" w:hAnsi="Playfair Display" w:eastAsia="Playfair Display"/>
          <w:b/>
          <w:i w:val="0"/>
          <w:color w:val="1B365D"/>
          <w:sz w:val="28"/>
        </w:rPr>
        <w:t>¿Por qué ahora?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Un lugar para volver</w:t>
            </w:r>
          </w:p>
          <w:p>
            <w:r>
              <w:rPr>
                <w:rFonts w:ascii="Montserrat" w:hAnsi="Montserrat" w:eastAsia="Montserrat"/>
                <w:b w:val="0"/>
                <w:i w:val="0"/>
                <w:color w:val="2C3E50"/>
                <w:sz w:val="20"/>
              </w:rPr>
              <w:t>La familia tiene un sitio físico, digno y verde para visitar y recordar.</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Precio accesible</w:t>
            </w:r>
          </w:p>
          <w:p>
            <w:r>
              <w:rPr>
                <w:rFonts w:ascii="Montserrat" w:hAnsi="Montserrat" w:eastAsia="Montserrat"/>
                <w:b w:val="0"/>
                <w:i w:val="0"/>
                <w:color w:val="2C3E50"/>
                <w:sz w:val="20"/>
              </w:rPr>
              <w:t>Desde US$ 400 y con financiamiento: un destino final al alcance de más familias.</w:t>
            </w:r>
          </w:p>
        </w:tc>
      </w:tr>
      <w:tr>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Naturaleza y legado</w:t>
            </w:r>
          </w:p>
          <w:p>
            <w:r>
              <w:rPr>
                <w:rFonts w:ascii="Montserrat" w:hAnsi="Montserrat" w:eastAsia="Montserrat"/>
                <w:b w:val="0"/>
                <w:i w:val="0"/>
                <w:color w:val="2C3E50"/>
                <w:sz w:val="20"/>
              </w:rPr>
              <w:t>Jardines de plantas de sombra, agua corriente y bosque: un homenaje que vive.</w:t>
            </w:r>
          </w:p>
        </w:tc>
        <w:tc>
          <w:tcPr>
            <w:tcW w:type="dxa" w:w="4819"/>
            <w:tcMar>
              <w:top w:w="124" w:type="dxa"/>
              <w:left w:w="124" w:type="dxa"/>
              <w:bottom w:w="124" w:type="dxa"/>
              <w:right w:w="124" w:type="dxa"/>
            </w:tcMar>
            <w:shd w:val="clear" w:color="auto" w:fill="F4F7FA"/>
            <w:tcBorders>
              <w:top w:val="single" w:sz="24" w:color="C5A059"/>
              <w:left w:val="single" w:sz="24" w:color="FFFFFF"/>
              <w:bottom w:val="single" w:sz="24" w:color="FFFFFF"/>
              <w:right w:val="single" w:sz="24" w:color="FFFFFF"/>
            </w:tcBorders>
            <w:tcMar>
              <w:top w:w="198" w:type="dxa"/>
              <w:left w:w="198" w:type="dxa"/>
              <w:bottom w:w="198" w:type="dxa"/>
              <w:right w:w="198" w:type="dxa"/>
            </w:tcMar>
          </w:tcPr>
          <w:p>
            <w:pPr>
              <w:spacing w:after="40"/>
            </w:pPr>
            <w:r>
              <w:rPr>
                <w:rFonts w:ascii="Montserrat" w:hAnsi="Montserrat" w:eastAsia="Montserrat"/>
                <w:b/>
                <w:i w:val="0"/>
                <w:color w:val="1B365D"/>
                <w:sz w:val="23"/>
              </w:rPr>
              <w:t>Sin decisiones bajo presión</w:t>
            </w:r>
          </w:p>
          <w:p>
            <w:r>
              <w:rPr>
                <w:rFonts w:ascii="Montserrat" w:hAnsi="Montserrat" w:eastAsia="Montserrat"/>
                <w:b w:val="0"/>
                <w:i w:val="0"/>
                <w:color w:val="2C3E50"/>
                <w:sz w:val="20"/>
              </w:rPr>
              <w:t>Planificar hoy evita que la familia decida en el peor momento.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Dos momentos de venta</w:t>
      </w:r>
    </w:p>
    <w:p>
      <w:pPr>
        <w:spacing w:before="0" w:after="100" w:line="276" w:lineRule="auto"/>
      </w:pPr>
      <w:r>
        <w:rPr>
          <w:rFonts w:ascii="Montserrat" w:hAnsi="Montserrat" w:eastAsia="Montserrat"/>
          <w:b/>
          <w:i w:val="0"/>
          <w:color w:val="1B365D"/>
          <w:sz w:val="21"/>
        </w:rPr>
        <w:t xml:space="preserve">Prenecesidad (preventiva). </w:t>
      </w:r>
      <w:r>
        <w:rPr>
          <w:rFonts w:ascii="Montserrat" w:hAnsi="Montserrat" w:eastAsia="Montserrat"/>
          <w:b w:val="0"/>
          <w:i w:val="0"/>
          <w:color w:val="2C3E50"/>
          <w:sz w:val="21"/>
        </w:rPr>
        <w:t>Venta planificada, de ciclo largo. La familia contrata hoy para protegerse y pagar en cuotas. Es la venta que conducimos activamente.</w:t>
      </w:r>
    </w:p>
    <w:p>
      <w:pPr>
        <w:spacing w:before="0" w:after="100" w:line="276" w:lineRule="auto"/>
      </w:pPr>
      <w:r>
        <w:rPr>
          <w:rFonts w:ascii="Montserrat" w:hAnsi="Montserrat" w:eastAsia="Montserrat"/>
          <w:b/>
          <w:i w:val="0"/>
          <w:color w:val="1B365D"/>
          <w:sz w:val="21"/>
        </w:rPr>
        <w:t xml:space="preserve">Necesidad inmediata (emergencia). </w:t>
      </w:r>
      <w:r>
        <w:rPr>
          <w:rFonts w:ascii="Montserrat" w:hAnsi="Montserrat" w:eastAsia="Montserrat"/>
          <w:b w:val="0"/>
          <w:i w:val="0"/>
          <w:color w:val="2C3E50"/>
          <w:sz w:val="21"/>
        </w:rPr>
        <w:t>En el momento de la pérdida. Aquí no se «vende»: se acoge, se informa con calma y se resuelve con agilidad y respeto.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C5A059"/>
                <w:sz w:val="18"/>
              </w:rPr>
              <w:t>REGLA DE ORO</w:t>
            </w:r>
          </w:p>
          <w:p>
            <w:pPr>
              <w:spacing w:after="40"/>
            </w:pPr>
            <w:r>
              <w:rPr>
                <w:rFonts w:ascii="Montserrat" w:hAnsi="Montserrat" w:eastAsia="Montserrat"/>
                <w:b w:val="0"/>
                <w:i w:val="0"/>
                <w:color w:val="FFFFFF"/>
                <w:sz w:val="21"/>
              </w:rPr>
              <w:t>Nuestra diferencia no es el precio: es la atención. Antes de cada propuesta, pregúntese: «¿esto acoge a la familia o solo cierra un negocio?».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02  </w:t>
      </w:r>
      <w:r>
        <w:rPr>
          <w:rFonts w:ascii="Playfair Display" w:hAnsi="Playfair Display" w:eastAsia="Playfair Display"/>
          <w:b/>
          <w:i w:val="0"/>
          <w:color w:val="1B365D"/>
          <w:sz w:val="48"/>
        </w:rPr>
        <w:t>A quién le vendemos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Cinco perfiles de cliente. Identifique el perfil en los primeros minutos y adapte el tono.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Perfil</w:t>
            </w:r>
          </w:p>
        </w:tc>
        <w:tc>
          <w:tcPr>
            <w:tcW w:type="dxa" w:w="187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Quién es</w:t>
            </w:r>
          </w:p>
        </w:tc>
        <w:tc>
          <w:tcPr>
            <w:tcW w:type="dxa" w:w="21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Qué busca</w:t>
            </w:r>
          </w:p>
        </w:tc>
        <w:tc>
          <w:tcPr>
            <w:tcW w:type="dxa" w:w="175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Tono</w:t>
            </w:r>
          </w:p>
        </w:tc>
        <w:tc>
          <w:tcPr>
            <w:tcW w:type="dxa" w:w="209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 ideal</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Planificador</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45–65 años, compra para sí mismo.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Tranquilidad y legado. No quiere dejar cargas a su familia.</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Calma, sin prisa, datos claros.</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Individual · Jardín Familiar</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Hijo Cuidador</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25–45 años, compra para sus padres.</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Practicidad, control del presupuesto, evitar improvisar.</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Claro, práctico, comparativo.</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Solución Modular · Jardín Familiar</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La Familia en Urgencia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En el momento de la pérdida.</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Quitar peso, dignidad, agilidad.</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Acogida total, nunca comercial.</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Individual · Jardín Ecológico</w:t>
            </w:r>
          </w:p>
        </w:tc>
      </w:tr>
      <w:tr>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El Consciente Ecológico</w:t>
            </w:r>
          </w:p>
        </w:tc>
        <w:tc>
          <w:tcPr>
            <w:tcW w:type="dxa" w:w="187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30–55 años, valora la naturaleza.</w:t>
            </w:r>
          </w:p>
        </w:tc>
        <w:tc>
          <w:tcPr>
            <w:tcW w:type="dxa" w:w="21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Volver a la tierra, sencillez, sostenibilidad.</w:t>
            </w:r>
          </w:p>
        </w:tc>
        <w:tc>
          <w:tcPr>
            <w:tcW w:type="dxa" w:w="175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Inspirador, natural, sin solemnidad excesiva.</w:t>
            </w:r>
          </w:p>
        </w:tc>
        <w:tc>
          <w:tcPr>
            <w:tcW w:type="dxa" w:w="209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Jardín Ecológico</w:t>
            </w:r>
          </w:p>
        </w:tc>
      </w:tr>
      <w:tr>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El Tutor de Mascota</w:t>
            </w:r>
          </w:p>
        </w:tc>
        <w:tc>
          <w:tcPr>
            <w:tcW w:type="dxa" w:w="187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20–60 años, despide a su compañero.</w:t>
            </w:r>
          </w:p>
        </w:tc>
        <w:tc>
          <w:tcPr>
            <w:tcW w:type="dxa" w:w="21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Respeto al vínculo, un lugar para recordar.</w:t>
            </w:r>
          </w:p>
        </w:tc>
        <w:tc>
          <w:tcPr>
            <w:tcW w:type="dxa" w:w="175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Emocional, cálido y ligero.</w:t>
            </w:r>
          </w:p>
        </w:tc>
        <w:tc>
          <w:tcPr>
            <w:tcW w:type="dxa" w:w="209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Jardín de Mascotas</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FILTRO DE CALIFICACIÓN: N · O · A</w:t>
            </w:r>
          </w:p>
          <w:p>
            <w:pPr>
              <w:spacing w:after="40"/>
            </w:pPr>
            <w:r>
              <w:rPr>
                <w:rFonts w:ascii="Montserrat" w:hAnsi="Montserrat" w:eastAsia="Montserrat"/>
                <w:b w:val="0"/>
                <w:i w:val="0"/>
                <w:color w:val="2C3E50"/>
                <w:sz w:val="21"/>
              </w:rPr>
              <w:t>Antes de invertir energía en un contacto, evalúe tres puntos: Necesidad (¿lo necesita?), Oportunidad (¿es el momento y tiene capacidad de pago?) y Adecuación (¿qué producto encaja con su perfil?). Calificar bien en la entrada evita morosidad en el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03  </w:t>
      </w:r>
      <w:r>
        <w:rPr>
          <w:rFonts w:ascii="Playfair Display" w:hAnsi="Playfair Display" w:eastAsia="Playfair Display"/>
          <w:b/>
          <w:i w:val="0"/>
          <w:color w:val="1B365D"/>
          <w:sz w:val="48"/>
        </w:rPr>
        <w:t>El proceso de venta</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 camino claro, del primer contacto a la posventa. Cada etapa tiene un objetivo.</w:t>
      </w:r>
    </w:p>
    <w:p>
      <w:pPr>
        <w:spacing w:before="80" w:after="40" w:line="276" w:lineRule="auto"/>
        <w:jc w:val="center"/>
      </w:pPr>
      <w:r>
        <w:drawing>
          <wp:inline xmlns:a="http://schemas.openxmlformats.org/drawingml/2006/main" xmlns:pic="http://schemas.openxmlformats.org/drawingml/2006/picture">
            <wp:extent cx="5760000" cy="2634000"/>
            <wp:docPr id="3" name="Picture 3"/>
            <wp:cNvGraphicFramePr>
              <a:graphicFrameLocks noChangeAspect="1"/>
            </wp:cNvGraphicFramePr>
            <a:graphic>
              <a:graphicData uri="http://schemas.openxmlformats.org/drawingml/2006/picture">
                <pic:pic>
                  <pic:nvPicPr>
                    <pic:cNvPr id="0" name="02_embudo.png"/>
                    <pic:cNvPicPr/>
                  </pic:nvPicPr>
                  <pic:blipFill>
                    <a:blip r:embed="rId11"/>
                    <a:stretch>
                      <a:fillRect/>
                    </a:stretch>
                  </pic:blipFill>
                  <pic:spPr>
                    <a:xfrm>
                      <a:off x="0" y="0"/>
                      <a:ext cx="5760000" cy="2634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2 · Las 7 etapas del embudo de prenecesidad.</w:t>
      </w:r>
    </w:p>
    <w:p>
      <w:pPr>
        <w:spacing w:before="80" w:after="40" w:line="276" w:lineRule="auto"/>
        <w:jc w:val="center"/>
      </w:pPr>
      <w:r>
        <w:drawing>
          <wp:inline xmlns:a="http://schemas.openxmlformats.org/drawingml/2006/main" xmlns:pic="http://schemas.openxmlformats.org/drawingml/2006/picture">
            <wp:extent cx="6120000" cy="1284562"/>
            <wp:docPr id="4" name="Picture 4"/>
            <wp:cNvGraphicFramePr>
              <a:graphicFrameLocks noChangeAspect="1"/>
            </wp:cNvGraphicFramePr>
            <a:graphic>
              <a:graphicData uri="http://schemas.openxmlformats.org/drawingml/2006/picture">
                <pic:pic>
                  <pic:nvPicPr>
                    <pic:cNvPr id="0" name="03_conversacion.png"/>
                    <pic:cNvPicPr/>
                  </pic:nvPicPr>
                  <pic:blipFill>
                    <a:blip r:embed="rId12"/>
                    <a:stretch>
                      <a:fillRect/>
                    </a:stretch>
                  </pic:blipFill>
                  <pic:spPr>
                    <a:xfrm>
                      <a:off x="0" y="0"/>
                      <a:ext cx="6120000" cy="128456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3 · Toda conversación sigue cinco pasos.</w:t>
      </w:r>
    </w:p>
    <w:p>
      <w:pPr>
        <w:pStyle w:val="Heading2"/>
        <w:spacing w:before="200" w:after="80"/>
      </w:pPr>
      <w:r>
        <w:rPr>
          <w:rFonts w:ascii="Playfair Display" w:hAnsi="Playfair Display" w:eastAsia="Playfair Display"/>
          <w:b/>
          <w:i w:val="0"/>
          <w:color w:val="1B365D"/>
          <w:sz w:val="28"/>
        </w:rPr>
        <w:t>Qué producto lleva cada equipo</w:t>
      </w:r>
    </w:p>
    <w:p>
      <w:pPr>
        <w:spacing w:before="80" w:after="40" w:line="276" w:lineRule="auto"/>
        <w:jc w:val="center"/>
      </w:pPr>
      <w:r>
        <w:drawing>
          <wp:inline xmlns:a="http://schemas.openxmlformats.org/drawingml/2006/main" xmlns:pic="http://schemas.openxmlformats.org/drawingml/2006/picture">
            <wp:extent cx="6120000" cy="2062312"/>
            <wp:docPr id="5" name="Picture 5"/>
            <wp:cNvGraphicFramePr>
              <a:graphicFrameLocks noChangeAspect="1"/>
            </wp:cNvGraphicFramePr>
            <a:graphic>
              <a:graphicData uri="http://schemas.openxmlformats.org/drawingml/2006/picture">
                <pic:pic>
                  <pic:nvPicPr>
                    <pic:cNvPr id="0" name="07_equipos.png"/>
                    <pic:cNvPicPr/>
                  </pic:nvPicPr>
                  <pic:blipFill>
                    <a:blip r:embed="rId13"/>
                    <a:stretch>
                      <a:fillRect/>
                    </a:stretch>
                  </pic:blipFill>
                  <pic:spPr>
                    <a:xfrm>
                      <a:off x="0" y="0"/>
                      <a:ext cx="6120000" cy="2062312"/>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4 · Enfoque de producto por canal.</w:t>
      </w:r>
    </w:p>
    <w:p>
      <w:pPr>
        <w:pStyle w:val="Heading2"/>
        <w:spacing w:before="200" w:after="80"/>
      </w:pPr>
      <w:r>
        <w:rPr>
          <w:rFonts w:ascii="Playfair Display" w:hAnsi="Playfair Display" w:eastAsia="Playfair Display"/>
          <w:b/>
          <w:i w:val="0"/>
          <w:color w:val="1B365D"/>
          <w:sz w:val="28"/>
        </w:rPr>
        <w:t>Rituales del equipo</w:t>
      </w:r>
    </w:p>
    <w:tbl>
      <w:tblPr>
        <w:tblW w:type="auto" w:w="0"/>
        <w:jc w:val="center"/>
        <w:tblLayout w:type="fixed"/>
        <w:tblLook w:firstColumn="1" w:firstRow="1" w:lastColumn="0" w:lastRow="0" w:noHBand="0" w:noVBand="1" w:val="04A0"/>
      </w:tblPr>
      <w:tblGrid>
        <w:gridCol w:w="4873"/>
        <w:gridCol w:w="4873"/>
      </w:tblGrid>
      <w:tr>
        <w:tc>
          <w:tcPr>
            <w:tcW w:type="dxa" w:w="198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Frecuencia</w:t>
            </w:r>
          </w:p>
        </w:tc>
        <w:tc>
          <w:tcPr>
            <w:tcW w:type="dxa" w:w="765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Ritual</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Diario</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Alineación rápida de 10 minutos: pendientes y bloqueos.</w:t>
            </w:r>
          </w:p>
        </w:tc>
      </w:tr>
      <w:tr>
        <w:tc>
          <w:tcPr>
            <w:tcW w:type="dxa" w:w="198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Semanal</w:t>
            </w:r>
          </w:p>
        </w:tc>
        <w:tc>
          <w:tcPr>
            <w:tcW w:type="dxa" w:w="765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Revisión del embudo: dónde se están quedando los contactos.</w:t>
            </w:r>
          </w:p>
        </w:tc>
      </w:tr>
      <w:tr>
        <w:tc>
          <w:tcPr>
            <w:tcW w:type="dxa" w:w="198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Mensual</w:t>
            </w:r>
          </w:p>
        </w:tc>
        <w:tc>
          <w:tcPr>
            <w:tcW w:type="dxa" w:w="765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Resultado vs. meta, ajuste de ruta y reconocimiento.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04  </w:t>
      </w:r>
      <w:r>
        <w:rPr>
          <w:rFonts w:ascii="Playfair Display" w:hAnsi="Playfair Display" w:eastAsia="Playfair Display"/>
          <w:b/>
          <w:i w:val="0"/>
          <w:color w:val="1B365D"/>
          <w:sz w:val="48"/>
        </w:rPr>
        <w:t>Producto por producto: speech y reglas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Para cada producto: qué es, qué incluye, sus reglas y cómo presentarlo.</w:t>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CREMACIÓN · ADD-ON</w:t>
            </w:r>
          </w:p>
          <w:p>
            <w:r>
              <w:rPr>
                <w:rFonts w:ascii="Playfair Display" w:hAnsi="Playfair Display" w:eastAsia="Playfair Display"/>
                <w:b/>
                <w:i w:val="0"/>
                <w:color w:val="FFFFFF"/>
                <w:sz w:val="36"/>
              </w:rPr>
              <w:t>Solución Modular de Cremación</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US$ 1.000</w:t>
            </w:r>
          </w:p>
        </w:tc>
      </w:tr>
    </w:tbl>
    <w:p>
      <w:pPr>
        <w:spacing w:before="80" w:after="160" w:line="276" w:lineRule="auto"/>
      </w:pPr>
      <w:r>
        <w:rPr>
          <w:rFonts w:ascii="Montserrat" w:hAnsi="Montserrat" w:eastAsia="Montserrat"/>
          <w:b w:val="0"/>
          <w:i/>
          <w:color w:val="7A8794"/>
          <w:sz w:val="19"/>
        </w:rPr>
        <w:t>Hasta 120 cuotas mensuales (≈ US$ 8,50/mes)</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Módulo de cremación que se integra a cualquier plan funerario vigente o nuevo de Vangrupo, sin cambiar de plan.</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Afiliados actuales y nuevos que quieren sumar la cremación con una cuota mínima.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Proceso completo de cremación individual</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Urna cineraria de línea modular</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Trámites legales básicos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Alquiler temporal de columbario por 1 año (nivel 1, Hogar de las Memorias)</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Se vende como adicional a un plan funerario (actual o nuevo).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Cobertura individual: un módulo por titular o beneficiario.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Debe estar pagado en su totalidad para usar la cremación y el columbario.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columbario temporal es por 12 meses; al término, la familia elige destino final (oportunidad para ofrecer un Jardín de Cenizas).</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«Usted ya protegió a su familia con su plan. Por menos de lo que cuesta un refresco a la semana, alrededor de ocho dólares al mes, puede sumar la cremación completa, con urna, trámites y un año de columbario incluido. Así nadie tendrá que decidir ni pagar de golpe en un momento difícil.»</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plan actual incluye la cremación o solo el servicio funerario?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¿Ha conversado en familia qué preferencia tiene usted?</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le preocupa más: el costo o tener que decidir de urgencia?</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lo sumamos a su plan desde este mes, con la primera cuota de hoy?»</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«Mi plan ya es suficiente.» → «Su plan cubre el servicio funerario; la cremación y la urna se pagarían aparte y de una sola vez. Con el módulo queda todo cubierto en cuotas pequeñas.»</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Ofrézcalo siempre junto a un jardín: la familia resuelve cremación y destino final en una sola decisión.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INHUMACIÓN INDIVIDUAL</w:t>
            </w:r>
          </w:p>
          <w:p>
            <w:r>
              <w:rPr>
                <w:rFonts w:ascii="Playfair Display" w:hAnsi="Playfair Display" w:eastAsia="Playfair Display"/>
                <w:b/>
                <w:i w:val="0"/>
                <w:color w:val="FFFFFF"/>
                <w:sz w:val="36"/>
              </w:rPr>
              <w:t>Jardín de Cenizas · Individual</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US$ 600</w:t>
            </w:r>
          </w:p>
        </w:tc>
      </w:tr>
    </w:tbl>
    <w:p>
      <w:pPr>
        <w:spacing w:before="80" w:after="160" w:line="276" w:lineRule="auto"/>
      </w:pPr>
      <w:r>
        <w:rPr>
          <w:rFonts w:ascii="Montserrat" w:hAnsi="Montserrat" w:eastAsia="Montserrat"/>
          <w:b w:val="0"/>
          <w:i/>
          <w:color w:val="7A8794"/>
          <w:sz w:val="19"/>
        </w:rPr>
        <w:t>Pago único o financiado · Mantenimiento US$ 15/año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de la urna en un contenedor enterrado con tapa de granito grabada, en un jardín de plantas de sombra: un lugar permanente para visitar.</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quieren un lugar permanente para visitar, con una inversión moderada.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la urna en contenedor individual (Ø 32 × 40 cm)</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con los datos del ser querido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Camino en gravilla y espacio de contemplación con banco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US$ 15.</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El contenedor queda con 20 cm a la vista; la tapa de granito es la identificación.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«Después de la cremación, muchas familias se preguntan dónde dejar las cenizas. En nuestro Jardín 1, su ser querido descansa bajo una tapa de granito con su nombre, rodeado de plantas y con un banco para sentarse a recordar. Es un lugar para volver, con la dignidad que merece.»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¿Dónde le gustaría poder visitar a su ser querido?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¿Tienen hoy las cenizas en casa o en un columbario temporal?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¿Quién más de la familia participaría en las visitas?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gustaría conocer el jardín esta semana para elegir el lugar con calma?»</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«Prefiero tener las cenizas en casa.» → «Es comprensible querer tenerlas cerca. En el jardín, toda la familia puede visitarlas, y las cenizas quedan protegidas si algún día hay mudanzas o cambios en el hogar.»</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El jardín vende solo: priorice siempre la visita.</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1 · PARCELA FAMILIAR</w:t>
            </w:r>
          </w:p>
          <w:p>
            <w:r>
              <w:rPr>
                <w:rFonts w:ascii="Playfair Display" w:hAnsi="Playfair Display" w:eastAsia="Playfair Display"/>
                <w:b/>
                <w:i w:val="0"/>
                <w:color w:val="FFFFFF"/>
                <w:sz w:val="36"/>
              </w:rPr>
              <w:t>Jardín de Cenizas · Familiar</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US$ 2.000</w:t>
            </w:r>
          </w:p>
        </w:tc>
      </w:tr>
    </w:tbl>
    <w:p>
      <w:pPr>
        <w:spacing w:before="80" w:after="160" w:line="276" w:lineRule="auto"/>
      </w:pPr>
      <w:r>
        <w:rPr>
          <w:rFonts w:ascii="Montserrat" w:hAnsi="Montserrat" w:eastAsia="Montserrat"/>
          <w:b w:val="0"/>
          <w:i/>
          <w:color w:val="7A8794"/>
          <w:sz w:val="19"/>
        </w:rPr>
        <w:t>Pago único o financiado · Mantenimiento US$ 25/año</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Parcela familiar en el Jardín 1 con cuatro contenedores agrupados, cada uno con tapa de granito grabada. Sin plazo de permanencia.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buscan un espacio propio y permanente para varias generaciones.</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hasta 4 urnas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Tapa de granito grabada para cada espacio</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Ubicación en el Jardín 1, con paisajismo de plantas de sombra</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Lugar permanente de homenaje familiar, sin plazo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hasta 4 espacios.</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sin plazo.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Cuota de mantenimiento anual: US$ 25 por parcela.</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«Así como una familia comparte una casa, también puede compartir un lugar de memoria. La parcela familiar reúne hasta cuatro seres queridos en un mismo espacio, para siempre, y cuesta US$ 500 por espacio, menos que comprarlos por separado.»</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la familia esté reunida en un mismo lugar?</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¿Cuántas personas de la familia considerarían este destino?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¿Prefieren pagarlo de una vez o en cuotas?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«¿Reservamos hoy la parcela para su familia y la pagan en cuotas cómodas?»</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mucho dinero.» → «Son US$ 500 por cada espacio, con financiamiento. Y es una decisión que se toma una sola vez para toda la familia.»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Use el argumento por espacio (US$ 500) y no el total.</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2 · BOSQUE DE LAS ORQUÍDEAS</w:t>
            </w:r>
          </w:p>
          <w:p>
            <w:r>
              <w:rPr>
                <w:rFonts w:ascii="Playfair Display" w:hAnsi="Playfair Display" w:eastAsia="Playfair Display"/>
                <w:b/>
                <w:i w:val="0"/>
                <w:color w:val="FFFFFF"/>
                <w:sz w:val="36"/>
              </w:rPr>
              <w:t>Jardín de Cenizas · Ecológico</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US$ 750</w:t>
            </w:r>
          </w:p>
        </w:tc>
      </w:tr>
    </w:tbl>
    <w:p>
      <w:pPr>
        <w:spacing w:before="80" w:after="160" w:line="276" w:lineRule="auto"/>
      </w:pPr>
      <w:r>
        <w:rPr>
          <w:rFonts w:ascii="Montserrat" w:hAnsi="Montserrat" w:eastAsia="Montserrat"/>
          <w:b w:val="0"/>
          <w:i/>
          <w:color w:val="7A8794"/>
          <w:sz w:val="19"/>
        </w:rPr>
        <w:t>Pago único o financiado ·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La urna biodegradable se entierra directamente en el suelo y se integra a la naturaleza. Jardín con agua corriente, en el Jardín 2 o en el Bosque de las Orquídeas.</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Personas con conciencia ambiental que desean que sus cenizas vuelvan a la tierra.</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con urna biodegradable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identificación (madera en el Jardín 2 · mármol en el Bosque)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Entorno natural con agua corriente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 luego, nombre en la placa memorial del monumento (incluida)</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urna. Espacio de 30 × 30 cm, 40 cm de profundidad.</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en el precio de US$ 750.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Explique el plazo de 3 años con total transparencia desde la primera conversación.</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«Para quienes aman la naturaleza, el Jardín Ecológico es volver a la tierra. La urna se integra al suelo del bosque, junto al agua, y durante tres años la familia tiene un lugar señalado para visitar. Después, el nombre queda para siempre en el monumento memorial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¿Su ser querido tenía un vínculo especial con la naturaleza?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¿Qué significa para ustedes «volver a la tierra»?</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¿Es importante para la familia un lugar con nombre para siempre?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«¿Le parece si visitamos el Bosque de las Orquídeas y elegimos juntos el lugar?»</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«¿Y después de 3 años?» → «La urna ya se habrá integrado a la tierra, como era el deseo. El nombre pasa a la placa memorial del monumento, que queda para siempre en el jardín.»</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Para familias católicas, enfatice que las cenizas reposan en el cementerio, un lugar dedicado a la memoria.</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479000"/>
            <wp:docPr id="6" name="Picture 6"/>
            <wp:cNvGraphicFramePr>
              <a:graphicFrameLocks noChangeAspect="1"/>
            </wp:cNvGraphicFramePr>
            <a:graphic>
              <a:graphicData uri="http://schemas.openxmlformats.org/drawingml/2006/picture">
                <pic:pic>
                  <pic:nvPicPr>
                    <pic:cNvPr id="0" name="06_ciclo_ecologico.png"/>
                    <pic:cNvPicPr/>
                  </pic:nvPicPr>
                  <pic:blipFill>
                    <a:blip r:embed="rId14"/>
                    <a:stretch>
                      <a:fillRect/>
                    </a:stretch>
                  </pic:blipFill>
                  <pic:spPr>
                    <a:xfrm>
                      <a:off x="0" y="0"/>
                      <a:ext cx="6120000" cy="147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5 · El ciclo de 3 años del Jardín Ecológico y de Mascotas, explicado al cliente.</w:t>
      </w: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MASCOTAS · INHUMACIÓN ECOLÓGICA</w:t>
            </w:r>
          </w:p>
          <w:p>
            <w:r>
              <w:rPr>
                <w:rFonts w:ascii="Playfair Display" w:hAnsi="Playfair Display" w:eastAsia="Playfair Display"/>
                <w:b/>
                <w:i w:val="0"/>
                <w:color w:val="FFFFFF"/>
                <w:sz w:val="36"/>
              </w:rPr>
              <w:t>Jardín de Mascotas</w:t>
            </w:r>
          </w:p>
        </w:tc>
        <w:tc>
          <w:tcPr>
            <w:tcW w:type="dxa" w:w="3118"/>
            <w:tcMar>
              <w:top w:w="124" w:type="dxa"/>
              <w:left w:w="124" w:type="dxa"/>
              <w:bottom w:w="124" w:type="dxa"/>
              <w:right w:w="124" w:type="dxa"/>
            </w:tcMar>
            <w:shd w:val="clear" w:color="auto" w:fill="1B365D"/>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PRECIO SUGERIDO</w:t>
            </w:r>
          </w:p>
          <w:p>
            <w:pPr>
              <w:jc w:val="right"/>
            </w:pPr>
            <w:r>
              <w:rPr>
                <w:rFonts w:ascii="Montserrat" w:hAnsi="Montserrat" w:eastAsia="Montserrat"/>
                <w:b/>
                <w:i w:val="0"/>
                <w:color w:val="FFFFFF"/>
                <w:sz w:val="36"/>
              </w:rPr>
              <w:t>US$ 400 / US$ 550</w:t>
            </w:r>
          </w:p>
        </w:tc>
      </w:tr>
    </w:tbl>
    <w:p>
      <w:pPr>
        <w:spacing w:before="80" w:after="160" w:line="276" w:lineRule="auto"/>
      </w:pPr>
      <w:r>
        <w:rPr>
          <w:rFonts w:ascii="Montserrat" w:hAnsi="Montserrat" w:eastAsia="Montserrat"/>
          <w:b w:val="0"/>
          <w:i/>
          <w:color w:val="7A8794"/>
          <w:sz w:val="19"/>
        </w:rPr>
        <w:t>US$ 400 solo espacio · US$ 550 con placa memorial incluida</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Inhumación ecológica de las cenizas de la mascota: la urna biodegradable se entierra en el jardín y se identifica con una placa de madera.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consideran a su mascota parte del hogar y desean un cierre digno.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ecológica en el jardín de mascotas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de madera de 20 cm para identificación</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Permanencia de 3 años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Placa memorial en el monumento al término del plazo (opción US$ 550)</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Capacidad: 1 mascota por servicio.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Permanencia: 3 años. Después, el espacio se reutiliza.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Placa memorial en el monumento: incluida solo en la opción de US$ 550.</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Pago único; puede contratarse como adicional al plan funerario.</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«Su compañero fue parte de la familia, y merece una despedida a la altura. En nuestro Jardín de Mascotas descansa con su nombre, en un lugar verde donde ustedes pueden volver a recordarlo. Y con la placa memorial, su nombre queda para siempre en el monumento del jardín.»</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¿Cómo se llamaba su compañero?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que su nombre quede para siempre en el monumento memorial?</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¿Les gustaría un lugar para visitarlo con los niños?</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«¿Prefieren la opción con placa memorial incluida, para que su nombre quede siempre en el jardín?»</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«Es solo una mascota.» → No discuta el vínculo de la familia. Si el cliente minimiza, respete y ofrezca la información por escrito para que decida con calma.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Llame a la mascota por su nombre durante toda la conversación.</w:t>
            </w:r>
          </w:p>
        </w:tc>
      </w:tr>
    </w:tbl>
    <w:p>
      <w:pPr>
        <w:spacing w:before="0" w:after="80" w:line="276" w:lineRule="auto"/>
      </w:pPr>
    </w:p>
    <w:p>
      <w:r>
        <w:br w:type="page"/>
      </w:r>
    </w:p>
    <w:tbl>
      <w:tblPr>
        <w:tblW w:type="auto" w:w="0"/>
        <w:jc w:val="center"/>
        <w:tblLayout w:type="fixed"/>
        <w:tblLook w:firstColumn="1" w:firstRow="1" w:lastColumn="0" w:lastRow="0" w:noHBand="0" w:noVBand="1" w:val="04A0"/>
      </w:tblPr>
      <w:tblGrid>
        <w:gridCol w:w="4873"/>
        <w:gridCol w:w="4873"/>
      </w:tblGrid>
      <w:tr>
        <w:tc>
          <w:tcPr>
            <w:tcW w:type="dxa" w:w="6520"/>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pPr>
            <w:r>
              <w:rPr>
                <w:rFonts w:ascii="Montserrat" w:hAnsi="Montserrat" w:eastAsia="Montserrat"/>
                <w:b/>
                <w:i w:val="0"/>
                <w:color w:val="C5A059"/>
                <w:sz w:val="17"/>
              </w:rPr>
              <w:t>JARDÍN 3 · PRÓXIMO LANZAMIENTO</w:t>
            </w:r>
          </w:p>
          <w:p>
            <w:r>
              <w:rPr>
                <w:rFonts w:ascii="Playfair Display" w:hAnsi="Playfair Display" w:eastAsia="Playfair Display"/>
                <w:b/>
                <w:i w:val="0"/>
                <w:color w:val="FFFFFF"/>
                <w:sz w:val="36"/>
              </w:rPr>
              <w:t>Jardín de Cenizas · Ceremonial</w:t>
            </w:r>
          </w:p>
        </w:tc>
        <w:tc>
          <w:tcPr>
            <w:tcW w:type="dxa" w:w="3118"/>
            <w:tcMar>
              <w:top w:w="124" w:type="dxa"/>
              <w:left w:w="124" w:type="dxa"/>
              <w:bottom w:w="124" w:type="dxa"/>
              <w:right w:w="124" w:type="dxa"/>
            </w:tcMar>
            <w:shd w:val="clear" w:color="auto" w:fill="8A8F98"/>
            <w:tcBorders>
              <w:top w:val="nil"/>
              <w:left w:val="nil"/>
              <w:bottom w:val="single" w:sz="36" w:color="C5A059"/>
              <w:right w:val="nil"/>
            </w:tcBorders>
            <w:tcMar>
              <w:top w:w="226" w:type="dxa"/>
              <w:left w:w="226" w:type="dxa"/>
              <w:bottom w:w="226" w:type="dxa"/>
              <w:right w:w="226" w:type="dxa"/>
            </w:tcMar>
          </w:tcPr>
          <w:p>
            <w:pPr>
              <w:spacing w:after="40"/>
              <w:jc w:val="right"/>
            </w:pPr>
            <w:r>
              <w:rPr>
                <w:rFonts w:ascii="Montserrat" w:hAnsi="Montserrat" w:eastAsia="Montserrat"/>
                <w:b/>
                <w:i w:val="0"/>
                <w:color w:val="C5A059"/>
                <w:sz w:val="17"/>
              </w:rPr>
              <w:t>PRÓXIMO LANZAMIENTO</w:t>
            </w:r>
          </w:p>
          <w:p>
            <w:pPr>
              <w:jc w:val="right"/>
            </w:pPr>
            <w:r>
              <w:rPr>
                <w:rFonts w:ascii="Montserrat" w:hAnsi="Montserrat" w:eastAsia="Montserrat"/>
                <w:b/>
                <w:i w:val="0"/>
                <w:color w:val="FFFFFF"/>
                <w:sz w:val="36"/>
              </w:rPr>
              <w:t>A definir</w:t>
            </w:r>
          </w:p>
        </w:tc>
      </w:tr>
    </w:tbl>
    <w:p>
      <w:pPr>
        <w:spacing w:before="80" w:after="160" w:line="276" w:lineRule="auto"/>
      </w:pPr>
      <w:r>
        <w:rPr>
          <w:rFonts w:ascii="Montserrat" w:hAnsi="Montserrat" w:eastAsia="Montserrat"/>
          <w:b w:val="0"/>
          <w:i/>
          <w:color w:val="7A8794"/>
          <w:sz w:val="19"/>
        </w:rPr>
        <w:t>A definir</w:t>
      </w:r>
    </w:p>
    <w:p>
      <w:pPr>
        <w:spacing w:before="0" w:after="120" w:line="276" w:lineRule="auto"/>
      </w:pPr>
      <w:r>
        <w:rPr>
          <w:rFonts w:ascii="Montserrat" w:hAnsi="Montserrat" w:eastAsia="Montserrat"/>
          <w:b/>
          <w:i w:val="0"/>
          <w:color w:val="1B365D"/>
          <w:sz w:val="21"/>
        </w:rPr>
        <w:t xml:space="preserve">Qué es. </w:t>
      </w:r>
      <w:r>
        <w:rPr>
          <w:rFonts w:ascii="Montserrat" w:hAnsi="Montserrat" w:eastAsia="Montserrat"/>
          <w:b w:val="0"/>
          <w:i w:val="0"/>
          <w:color w:val="2C3E50"/>
          <w:sz w:val="21"/>
        </w:rPr>
        <w:t>Jardín para inhumación de urnas con ceremonia de agua, con fuentes como elemento central del rito de despedida.</w:t>
      </w:r>
    </w:p>
    <w:p>
      <w:pPr>
        <w:spacing w:before="0" w:after="160" w:line="276" w:lineRule="auto"/>
      </w:pPr>
      <w:r>
        <w:rPr>
          <w:rFonts w:ascii="Montserrat" w:hAnsi="Montserrat" w:eastAsia="Montserrat"/>
          <w:b/>
          <w:i w:val="0"/>
          <w:color w:val="1B365D"/>
          <w:sz w:val="21"/>
        </w:rPr>
        <w:t xml:space="preserve">Para quién. </w:t>
      </w:r>
      <w:r>
        <w:rPr>
          <w:rFonts w:ascii="Montserrat" w:hAnsi="Montserrat" w:eastAsia="Montserrat"/>
          <w:b w:val="0"/>
          <w:i w:val="0"/>
          <w:color w:val="2C3E50"/>
          <w:sz w:val="21"/>
        </w:rPr>
        <w:t>Familias que valoran un rito de despedida simbólico y un entorno contemplativo.</w:t>
      </w:r>
    </w:p>
    <w:tbl>
      <w:tblPr>
        <w:tblW w:type="auto" w:w="0"/>
        <w:jc w:val="center"/>
        <w:tblLayout w:type="fixed"/>
        <w:tblLook w:firstColumn="1" w:firstRow="1" w:lastColumn="0" w:lastRow="0" w:noHBand="0" w:noVBand="1" w:val="04A0"/>
      </w:tblPr>
      <w:tblGrid>
        <w:gridCol w:w="4873"/>
        <w:gridCol w:w="4873"/>
      </w:tblGrid>
      <w:tr>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QUÉ INCLUYE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Inhumación de urnas de cenizas</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Ceremonia con agua en fuente</w:t>
            </w:r>
          </w:p>
          <w:p>
            <w:pPr>
              <w:spacing w:after="40"/>
              <w:ind w:left="255" w:hanging="255"/>
            </w:pPr>
            <w:r>
              <w:rPr>
                <w:rFonts w:ascii="Montserrat" w:hAnsi="Montserrat" w:eastAsia="Montserrat"/>
                <w:b/>
                <w:i w:val="0"/>
                <w:color w:val="4F7A5A"/>
                <w:sz w:val="18"/>
              </w:rPr>
              <w:t xml:space="preserve">✓  </w:t>
            </w:r>
            <w:r>
              <w:rPr>
                <w:rFonts w:ascii="Montserrat" w:hAnsi="Montserrat" w:eastAsia="Montserrat"/>
                <w:b w:val="0"/>
                <w:i w:val="0"/>
                <w:color w:val="2C3E50"/>
                <w:sz w:val="19"/>
              </w:rPr>
              <w:t>Barrera visual que separa el jardín del crematorio</w:t>
            </w:r>
          </w:p>
        </w:tc>
        <w:tc>
          <w:tcPr>
            <w:tcW w:type="dxa" w:w="4819"/>
            <w:tcMar>
              <w:top w:w="124" w:type="dxa"/>
              <w:left w:w="124" w:type="dxa"/>
              <w:bottom w:w="124" w:type="dxa"/>
              <w:right w:w="124" w:type="dxa"/>
            </w:tcMar>
            <w:shd w:val="clear" w:color="auto" w:fill="F4F7FA"/>
            <w:tcBorders>
              <w:top w:val="single" w:sz="24" w:color="C5A059"/>
              <w:left w:val="single" w:sz="24" w:color="FFFFFF"/>
              <w:bottom w:val="nil"/>
              <w:right w:val="single" w:sz="24" w:color="FFFFFF"/>
            </w:tcBorders>
            <w:tcMar>
              <w:top w:w="170" w:type="dxa"/>
              <w:left w:w="170" w:type="dxa"/>
              <w:bottom w:w="170" w:type="dxa"/>
              <w:right w:w="170" w:type="dxa"/>
            </w:tcMar>
          </w:tcPr>
          <w:p>
            <w:pPr>
              <w:spacing w:after="40"/>
            </w:pPr>
            <w:r>
              <w:rPr>
                <w:rFonts w:ascii="Montserrat" w:hAnsi="Montserrat" w:eastAsia="Montserrat"/>
                <w:b/>
                <w:i w:val="0"/>
                <w:color w:val="1B365D"/>
                <w:sz w:val="17"/>
              </w:rPr>
              <w:t>REGLAS DEL PRODUCTO</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PRÓXIMO LANZAMIENTO: no se vende ni se cotiza todavía.</w:t>
            </w:r>
          </w:p>
          <w:p>
            <w:pPr>
              <w:spacing w:after="40"/>
              <w:ind w:left="255" w:hanging="255"/>
            </w:pPr>
            <w:r>
              <w:rPr>
                <w:rFonts w:ascii="Montserrat" w:hAnsi="Montserrat" w:eastAsia="Montserrat"/>
                <w:b/>
                <w:i w:val="0"/>
                <w:color w:val="C5A059"/>
                <w:sz w:val="18"/>
              </w:rPr>
              <w:t xml:space="preserve">■  </w:t>
            </w:r>
            <w:r>
              <w:rPr>
                <w:rFonts w:ascii="Montserrat" w:hAnsi="Montserrat" w:eastAsia="Montserrat"/>
                <w:b w:val="0"/>
                <w:i w:val="0"/>
                <w:color w:val="2C3E50"/>
                <w:sz w:val="19"/>
              </w:rPr>
              <w:t>Si un cliente muestra interés, registre su contacto como «interesado Ceremonial».</w:t>
            </w:r>
          </w:p>
        </w:tc>
      </w:tr>
    </w:tbl>
    <w:p>
      <w:pPr>
        <w:spacing w:before="0" w:after="80" w:line="276" w:lineRule="auto"/>
      </w:pPr>
    </w:p>
    <w:p>
      <w:pPr>
        <w:spacing w:before="120" w:after="40" w:line="276" w:lineRule="auto"/>
      </w:pPr>
      <w:r>
        <w:rPr>
          <w:rFonts w:ascii="Montserrat" w:hAnsi="Montserrat" w:eastAsia="Montserrat"/>
          <w:b/>
          <w:i w:val="0"/>
          <w:color w:val="C5A059"/>
          <w:sz w:val="17"/>
        </w:rPr>
        <w:t>SPEECH SUGERIDO</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val="0"/>
                <w:i w:val="0"/>
                <w:color w:val="2C3E50"/>
                <w:sz w:val="21"/>
              </w:rPr>
              <w:t>«Estamos preparando un nuevo jardín con una ceremonia de agua muy especial. Si le interesa, con gusto le aviso apenas esté disponible.»</w:t>
            </w:r>
          </w:p>
        </w:tc>
      </w:tr>
    </w:tbl>
    <w:p>
      <w:pPr>
        <w:spacing w:before="0" w:after="80" w:line="276" w:lineRule="auto"/>
      </w:pPr>
    </w:p>
    <w:p>
      <w:pPr>
        <w:spacing w:before="120" w:after="40" w:line="276" w:lineRule="auto"/>
      </w:pPr>
      <w:r>
        <w:rPr>
          <w:rFonts w:ascii="Montserrat" w:hAnsi="Montserrat" w:eastAsia="Montserrat"/>
          <w:b/>
          <w:i w:val="0"/>
          <w:color w:val="C5A059"/>
          <w:sz w:val="17"/>
        </w:rPr>
        <w:t>PREGUNTAS DE DESCUBRIMIENTO</w:t>
      </w:r>
    </w:p>
    <w:p>
      <w:pPr>
        <w:spacing w:before="0" w:after="60" w:line="276" w:lineRule="auto"/>
        <w:ind w:left="340" w:hanging="340"/>
      </w:pPr>
      <w:r>
        <w:rPr>
          <w:rFonts w:ascii="Montserrat" w:hAnsi="Montserrat" w:eastAsia="Montserrat"/>
          <w:b w:val="0"/>
          <w:i w:val="0"/>
          <w:color w:val="C5A059"/>
          <w:sz w:val="14"/>
        </w:rPr>
        <w:t xml:space="preserve">?  </w:t>
      </w:r>
      <w:r>
        <w:rPr>
          <w:rFonts w:ascii="Montserrat" w:hAnsi="Montserrat" w:eastAsia="Montserrat"/>
          <w:b w:val="0"/>
          <w:i w:val="0"/>
          <w:color w:val="2C3E50"/>
          <w:sz w:val="20"/>
        </w:rPr>
        <w:t>¿Le gustaría que le avisemos cuando esté disponible?</w:t>
      </w:r>
    </w:p>
    <w:p>
      <w:pPr>
        <w:spacing w:before="120" w:after="40" w:line="276" w:lineRule="auto"/>
      </w:pPr>
      <w:r>
        <w:rPr>
          <w:rFonts w:ascii="Montserrat" w:hAnsi="Montserrat" w:eastAsia="Montserrat"/>
          <w:b/>
          <w:i w:val="0"/>
          <w:color w:val="C5A059"/>
          <w:sz w:val="17"/>
        </w:rPr>
        <w:t>FRASE DE CIERRE</w:t>
      </w:r>
    </w:p>
    <w:p>
      <w:pPr>
        <w:spacing w:before="0" w:after="120" w:line="276" w:lineRule="auto"/>
      </w:pPr>
      <w:r>
        <w:rPr>
          <w:rFonts w:ascii="Montserrat" w:hAnsi="Montserrat" w:eastAsia="Montserrat"/>
          <w:b w:val="0"/>
          <w:i/>
          <w:color w:val="1B365D"/>
          <w:sz w:val="21"/>
        </w:rPr>
        <w:t>Registrar el interés y ofrecer, mientras tanto, el Jardín Individual o el Ecológico.</w:t>
      </w:r>
    </w:p>
    <w:p>
      <w:pPr>
        <w:spacing w:before="120" w:after="40" w:line="276" w:lineRule="auto"/>
      </w:pPr>
      <w:r>
        <w:rPr>
          <w:rFonts w:ascii="Montserrat" w:hAnsi="Montserrat" w:eastAsia="Montserrat"/>
          <w:b/>
          <w:i w:val="0"/>
          <w:color w:val="C5A059"/>
          <w:sz w:val="17"/>
        </w:rPr>
        <w:t>OBJECIÓN TÍPICA</w:t>
      </w:r>
    </w:p>
    <w:p>
      <w:pPr>
        <w:spacing w:before="0" w:after="120" w:line="276" w:lineRule="auto"/>
      </w:pPr>
      <w:r>
        <w:rPr>
          <w:rFonts w:ascii="Montserrat" w:hAnsi="Montserrat" w:eastAsia="Montserrat"/>
          <w:b w:val="0"/>
          <w:i w:val="0"/>
          <w:color w:val="2C3E50"/>
          <w:sz w:val="20"/>
        </w:rPr>
        <w:t>No aplica todavía.</w:t>
      </w: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4F7A5A"/>
              <w:bottom w:val="nil"/>
              <w:right w:val="nil"/>
            </w:tcBorders>
            <w:tcMar>
              <w:top w:w="198" w:type="dxa"/>
              <w:left w:w="198" w:type="dxa"/>
              <w:bottom w:w="198" w:type="dxa"/>
              <w:right w:w="198" w:type="dxa"/>
            </w:tcMar>
          </w:tcPr>
          <w:p>
            <w:pPr>
              <w:spacing w:after="40"/>
            </w:pPr>
            <w:r>
              <w:rPr>
                <w:rFonts w:ascii="Montserrat" w:hAnsi="Montserrat" w:eastAsia="Montserrat"/>
                <w:b/>
                <w:i w:val="0"/>
                <w:color w:val="4F7A5A"/>
                <w:sz w:val="18"/>
              </w:rPr>
              <w:t>TIP DEL ASESOR</w:t>
            </w:r>
          </w:p>
          <w:p>
            <w:pPr>
              <w:spacing w:after="40"/>
            </w:pPr>
            <w:r>
              <w:rPr>
                <w:rFonts w:ascii="Montserrat" w:hAnsi="Montserrat" w:eastAsia="Montserrat"/>
                <w:b w:val="0"/>
                <w:i w:val="0"/>
                <w:color w:val="2C3E50"/>
                <w:sz w:val="21"/>
              </w:rPr>
              <w:t>No prometa fechas ni precios.</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05  </w:t>
      </w:r>
      <w:r>
        <w:rPr>
          <w:rFonts w:ascii="Playfair Display" w:hAnsi="Playfair Display" w:eastAsia="Playfair Display"/>
          <w:b/>
          <w:i w:val="0"/>
          <w:color w:val="1B365D"/>
          <w:sz w:val="48"/>
        </w:rPr>
        <w:t>Manejo de objeciones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Una objeción no es un «no»: es una duda que aún no resolvimos.</w:t>
      </w:r>
    </w:p>
    <w:p>
      <w:pPr>
        <w:spacing w:before="80" w:after="40" w:line="276" w:lineRule="auto"/>
        <w:jc w:val="center"/>
      </w:pPr>
      <w:r>
        <w:drawing>
          <wp:inline xmlns:a="http://schemas.openxmlformats.org/drawingml/2006/main" xmlns:pic="http://schemas.openxmlformats.org/drawingml/2006/picture">
            <wp:extent cx="6120000" cy="1877438"/>
            <wp:docPr id="7" name="Picture 7"/>
            <wp:cNvGraphicFramePr>
              <a:graphicFrameLocks noChangeAspect="1"/>
            </wp:cNvGraphicFramePr>
            <a:graphic>
              <a:graphicData uri="http://schemas.openxmlformats.org/drawingml/2006/picture">
                <pic:pic>
                  <pic:nvPicPr>
                    <pic:cNvPr id="0" name="04_objeciones.png"/>
                    <pic:cNvPicPr/>
                  </pic:nvPicPr>
                  <pic:blipFill>
                    <a:blip r:embed="rId15"/>
                    <a:stretch>
                      <a:fillRect/>
                    </a:stretch>
                  </pic:blipFill>
                  <pic:spPr>
                    <a:xfrm>
                      <a:off x="0" y="0"/>
                      <a:ext cx="6120000" cy="1877438"/>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6 · Método V·R·A: Validar, Reposicionar, Avanzar.</w:t>
      </w: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1.  «No quiero pensar en eso, es de mala suerte.»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«Entiendo, a nadie le gusta hablar de este tema.»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Planificar con calma es justamente lo que evita que su familia tenga que decidir en el peor momento. Es un acto de cuidado, no de pesimismo.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dejo la información para que la conversen en casa?»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2.  «Soy católico, la cremación no está permitida.»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«Su fe es muy importante y la respetamos.»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Iglesia Católica permite la cremación desde 1963. Lo que pide es que las cenizas reposen en un lugar dedicado, como el cementerio, y no en casa ni dispersas. Nuestros jardines cumplen exactamente con eso.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conocer el jardín y ver cómo es el lugar?»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3.  «Prefiero la sepultura tradicional.»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tradición muy valiosa.»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El jardín conserva lo esencial de la sepultura: un lugar con nombre para visitar, con un costo mucho menor y en un entorno natural.</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muestro la diferencia de inversión entre ambas opciones?»</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4.  «Está caro.»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«Comprendo, es una inversión.»</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la urgencia los costos son mayores y se pagan de golpe. Hoy fija el precio y lo paga en cuotas: la Solución Modular cuesta alrededor de US$ 8,50 al mes.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«¿Qué cuota mensual le resultaría cómoda?»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5.  «Tengo que hablarlo con mi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«Claro, es una decisión de familia.»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Facilite esa conversación: ofrezca un resumen simple y quedar disponible para resolver dudas de todos juntos.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«¿Puedo llamarle el [día] para ver si quedó alguna pregunta?»</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6.  «Prefiero tener las cenizas en casa.»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natural querer tenerlas cerca.»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En el jardín toda la familia puede visitarlas, quedan protegidas ante mudanzas o cambios, y tienen un lugar con su nombre.</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gustaría visitar el jardín antes de decidir?»</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7.  «¿Por qué pagar mantenimiento cada año?»</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pregunta muy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La cuota (US$ 15 o US$ 25 al año) mantiene el jardín siempre cuidado: poda, riego y limpieza. Es lo que garantiza que el lugar luzca digno en cada visita.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«¿Le explico qué incluye el cuidado del jardín?»</w:t>
            </w:r>
          </w:p>
        </w:tc>
      </w:tr>
    </w:tbl>
    <w:p>
      <w:pPr>
        <w:spacing w:before="0" w:after="120" w:line="276" w:lineRule="auto"/>
      </w:pPr>
    </w:p>
    <w:tbl>
      <w:tblPr>
        <w:tblW w:type="auto" w:w="0"/>
        <w:jc w:val="center"/>
        <w:tblLayout w:type="fixed"/>
        <w:tblLook w:firstColumn="1" w:firstRow="1" w:lastColumn="0" w:lastRow="0" w:noHBand="0" w:noVBand="1" w:val="04A0"/>
      </w:tblPr>
      <w:tblGrid>
        <w:gridCol w:w="4873"/>
        <w:gridCol w:w="4873"/>
      </w:tblGrid>
      <w:tr>
        <w:tc>
          <w:tcPr>
            <w:tcW w:type="dxa" w:w="9638"/>
            <w:gridSpan w:val="2"/>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22"/>
              </w:rPr>
              <w:t>8.  «No confío en estos planes.»</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V  </w:t>
            </w:r>
            <w:r>
              <w:rPr>
                <w:rFonts w:ascii="Montserrat" w:hAnsi="Montserrat" w:eastAsia="Montserrat"/>
                <w:b/>
                <w:i w:val="0"/>
                <w:color w:val="1B365D"/>
                <w:sz w:val="18"/>
              </w:rPr>
              <w:t>Validar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«Es una preocupación válida.»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R  </w:t>
            </w:r>
            <w:r>
              <w:rPr>
                <w:rFonts w:ascii="Montserrat" w:hAnsi="Montserrat" w:eastAsia="Montserrat"/>
                <w:b/>
                <w:i w:val="0"/>
                <w:color w:val="1B365D"/>
                <w:sz w:val="18"/>
              </w:rPr>
              <w:t>Reposicionar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val="0"/>
                <w:color w:val="2C3E50"/>
                <w:sz w:val="20"/>
              </w:rPr>
              <w:t>Somos La Auxiliadora y Hogar de las Memorias, empresas de Vangrupo con trayectoria en El Salvador. El contrato es transparente y puede visitar el jardín cuando quiera.</w:t>
            </w:r>
          </w:p>
        </w:tc>
      </w:tr>
      <w:tr>
        <w:tc>
          <w:tcPr>
            <w:tcW w:type="dxa" w:w="181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Playfair Display" w:hAnsi="Playfair Display" w:eastAsia="Playfair Display"/>
                <w:b/>
                <w:i w:val="0"/>
                <w:color w:val="C5A059"/>
                <w:sz w:val="24"/>
              </w:rPr>
              <w:t xml:space="preserve">A  </w:t>
            </w:r>
            <w:r>
              <w:rPr>
                <w:rFonts w:ascii="Montserrat" w:hAnsi="Montserrat" w:eastAsia="Montserrat"/>
                <w:b/>
                <w:i w:val="0"/>
                <w:color w:val="1B365D"/>
                <w:sz w:val="18"/>
              </w:rPr>
              <w:t>Avanzar</w:t>
            </w:r>
          </w:p>
        </w:tc>
        <w:tc>
          <w:tcPr>
            <w:tcW w:type="dxa" w:w="7824"/>
            <w:tcMar>
              <w:top w:w="124" w:type="dxa"/>
              <w:left w:w="124" w:type="dxa"/>
              <w:bottom w:w="124" w:type="dxa"/>
              <w:right w:w="124" w:type="dxa"/>
            </w:tcMar>
            <w:tcBorders>
              <w:top w:val="nil"/>
              <w:left w:val="nil"/>
              <w:bottom w:val="single" w:sz="4" w:color="D9DEE4"/>
              <w:right w:val="nil"/>
            </w:tcBorders>
          </w:tcPr>
          <w:p>
            <w:pPr>
              <w:spacing w:after="40"/>
            </w:pPr>
            <w:r>
              <w:rPr>
                <w:rFonts w:ascii="Montserrat" w:hAnsi="Montserrat" w:eastAsia="Montserrat"/>
                <w:b w:val="0"/>
                <w:i/>
                <w:color w:val="2C3E50"/>
                <w:sz w:val="20"/>
              </w:rPr>
              <w:t>«¿Agendamos una visita sin compromiso?»</w:t>
            </w:r>
          </w:p>
        </w:tc>
      </w:tr>
    </w:tbl>
    <w:p>
      <w:pPr>
        <w:spacing w:before="0" w:after="120" w:line="276" w:lineRule="auto"/>
      </w:pPr>
    </w:p>
    <w:p>
      <w:r>
        <w:br w:type="page"/>
      </w:r>
    </w:p>
    <w:p>
      <w:pPr>
        <w:pStyle w:val="Heading1"/>
        <w:spacing w:before="0" w:after="80"/>
      </w:pPr>
      <w:r>
        <w:rPr>
          <w:rFonts w:ascii="Playfair Display" w:hAnsi="Playfair Display" w:eastAsia="Playfair Display"/>
          <w:b/>
          <w:i w:val="0"/>
          <w:color w:val="C5A059"/>
          <w:sz w:val="52"/>
        </w:rPr>
        <w:t xml:space="preserve">06  </w:t>
      </w:r>
      <w:r>
        <w:rPr>
          <w:rFonts w:ascii="Playfair Display" w:hAnsi="Playfair Display" w:eastAsia="Playfair Display"/>
          <w:b/>
          <w:i w:val="0"/>
          <w:color w:val="1B365D"/>
          <w:sz w:val="48"/>
        </w:rPr>
        <w:t>Precios, reglas y condiciones</w:t>
      </w:r>
    </w:p>
    <w:p>
      <w:pPr>
        <w:spacing w:before="0" w:after="200" w:line="276" w:lineRule="auto"/>
        <w:pBdr>
          <w:bottom w:val="single" w:sz="12" w:color="C5A059" w:space="1"/>
        </w:pBdr>
      </w:pPr>
    </w:p>
    <w:p>
      <w:pPr>
        <w:spacing w:before="0" w:after="200" w:line="276" w:lineRule="auto"/>
      </w:pPr>
      <w:r>
        <w:rPr>
          <w:rFonts w:ascii="Montserrat" w:hAnsi="Montserrat" w:eastAsia="Montserrat"/>
          <w:b w:val="0"/>
          <w:i/>
          <w:color w:val="7A8794"/>
          <w:sz w:val="22"/>
        </w:rPr>
        <w:t>Fuente oficial: Ficha Técnica de Cremación vigente. Precios en US$ con IVA incluido.</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Precio</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Forma de pago</w:t>
            </w:r>
          </w:p>
        </w:tc>
        <w:tc>
          <w:tcPr>
            <w:tcW w:type="dxa" w:w="1587"/>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Mantenimiento</w:t>
            </w:r>
          </w:p>
        </w:tc>
        <w:tc>
          <w:tcPr>
            <w:tcW w:type="dxa" w:w="2381"/>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Plazo / condición</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120 cuotas (≈ US$ 8,50/mes)</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Columbario 1 año incluido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US$ 600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US$ 15/año</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Sin plazo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US$ 2.000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US$ 25/año</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Hasta 4 espacios, sin plazo</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US$ 750</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Único o financiado</w:t>
            </w:r>
          </w:p>
        </w:tc>
        <w:tc>
          <w:tcPr>
            <w:tcW w:type="dxa" w:w="1587"/>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3 años · placa memorial incluida</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de Mascotas</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US$ 400 / 550</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w:t>
            </w:r>
          </w:p>
        </w:tc>
        <w:tc>
          <w:tcPr>
            <w:tcW w:type="dxa" w:w="1587"/>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381"/>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3 años · placa incluida en la opción de US$ 550</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587"/>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2381"/>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Próximo lanzamiento</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comerciales</w:t>
      </w:r>
    </w:p>
    <w:tbl>
      <w:tblPr>
        <w:tblW w:type="auto" w:w="0"/>
        <w:jc w:val="center"/>
        <w:tblLayout w:type="fixed"/>
        <w:tblLook w:firstColumn="1" w:firstRow="1" w:lastColumn="0" w:lastRow="0" w:noHBand="0" w:noVBand="1" w:val="04A0"/>
      </w:tblPr>
      <w:tblGrid>
        <w:gridCol w:w="4873"/>
        <w:gridCol w:w="4873"/>
      </w:tblGrid>
      <w:tr>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Tema</w:t>
            </w:r>
          </w:p>
        </w:tc>
        <w:tc>
          <w:tcPr>
            <w:tcW w:type="dxa" w:w="7370"/>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Regla</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Precios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sugeridos en US$ con IVA incluido. Consulte siempre la Ficha Técnica vigente.</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Descuentos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Prenecesidad: hasta 20% según la campaña del mes. Emergencia: máximo 5%. Siempre con autorización del supervisor.</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Mantenimiento</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Individual US$ 15/año y Familiar US$ 25/año. No es opcional: se explica antes de firmar.</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Plazo de 3 años</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Ecológico y Mascotas: se explica con total transparencia en la primera conversación.</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Placas memoriales</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Incluida en el Jardín Ecológico (US$ 750) y en la opción de Mascotas de US$ 550.</w:t>
            </w:r>
          </w:p>
        </w:tc>
      </w:tr>
      <w:tr>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Dueño del contacto</w:t>
            </w:r>
          </w:p>
        </w:tc>
        <w:tc>
          <w:tcPr>
            <w:tcW w:type="dxa" w:w="7370"/>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Quien registra primero. Sin interacción en 15 días, el contacto puede reasignarse.</w:t>
            </w:r>
          </w:p>
        </w:tc>
      </w:tr>
      <w:tr>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Lo que NO se promete</w:t>
            </w:r>
          </w:p>
        </w:tc>
        <w:tc>
          <w:tcPr>
            <w:tcW w:type="dxa" w:w="7370"/>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Fechas o precios del Jardín Ceremonial; descuentos fuera de política; ubicaciones específicas sin confirmar disponibilidad.</w:t>
            </w:r>
          </w:p>
        </w:tc>
      </w:tr>
    </w:tbl>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EL DESCUENTO NO ES LA SALIDA</w:t>
            </w:r>
          </w:p>
          <w:p>
            <w:pPr>
              <w:spacing w:after="40"/>
            </w:pPr>
            <w:r>
              <w:rPr>
                <w:rFonts w:ascii="Montserrat" w:hAnsi="Montserrat" w:eastAsia="Montserrat"/>
                <w:b w:val="0"/>
                <w:i w:val="0"/>
                <w:color w:val="2C3E50"/>
                <w:sz w:val="21"/>
              </w:rPr>
              <w:t>Competimos por valor, no por precio. Antes de ofrecer un descuento, refuerce lo que está incluido y la calidad del jardín. Un descuento fácil enseña al cliente a dudar del valor.</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07  </w:t>
      </w:r>
      <w:r>
        <w:rPr>
          <w:rFonts w:ascii="Playfair Display" w:hAnsi="Playfair Display" w:eastAsia="Playfair Display"/>
          <w:b/>
          <w:i w:val="0"/>
          <w:color w:val="1B365D"/>
          <w:sz w:val="48"/>
        </w:rPr>
        <w:t>Política de comisiones</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BF3E1"/>
            <w:tcBorders>
              <w:top w:val="nil"/>
              <w:left w:val="single" w:sz="36" w:color="B8860B"/>
              <w:bottom w:val="nil"/>
              <w:right w:val="nil"/>
            </w:tcBorders>
            <w:tcMar>
              <w:top w:w="198" w:type="dxa"/>
              <w:left w:w="198" w:type="dxa"/>
              <w:bottom w:w="198" w:type="dxa"/>
              <w:right w:w="198" w:type="dxa"/>
            </w:tcMar>
          </w:tcPr>
          <w:p>
            <w:pPr>
              <w:spacing w:after="40"/>
            </w:pPr>
            <w:r>
              <w:rPr>
                <w:rFonts w:ascii="Montserrat" w:hAnsi="Montserrat" w:eastAsia="Montserrat"/>
                <w:b/>
                <w:i w:val="0"/>
                <w:color w:val="B8860B"/>
                <w:sz w:val="18"/>
              </w:rPr>
              <w:t>COMISIÓN ÚNICA DE 8%</w:t>
            </w:r>
          </w:p>
          <w:p>
            <w:pPr>
              <w:spacing w:after="40"/>
            </w:pPr>
            <w:r>
              <w:rPr>
                <w:rFonts w:ascii="Montserrat" w:hAnsi="Montserrat" w:eastAsia="Montserrat"/>
                <w:b w:val="0"/>
                <w:i w:val="0"/>
                <w:color w:val="2C3E50"/>
                <w:sz w:val="21"/>
              </w:rPr>
              <w:t>Todos los productos comisionan 8% sobre el precio sin IVA. Confirmar con la Gerencia Comercial antes de aplicar.</w:t>
            </w:r>
          </w:p>
        </w:tc>
      </w:tr>
    </w:tbl>
    <w:p>
      <w:pPr>
        <w:spacing w:before="0" w:after="80" w:line="276" w:lineRule="auto"/>
      </w:pPr>
    </w:p>
    <w:p>
      <w:pPr>
        <w:spacing w:before="80" w:after="40" w:line="276" w:lineRule="auto"/>
        <w:jc w:val="center"/>
      </w:pPr>
      <w:r>
        <w:drawing>
          <wp:inline xmlns:a="http://schemas.openxmlformats.org/drawingml/2006/main" xmlns:pic="http://schemas.openxmlformats.org/drawingml/2006/picture">
            <wp:extent cx="6120000" cy="1989000"/>
            <wp:docPr id="8" name="Picture 8"/>
            <wp:cNvGraphicFramePr>
              <a:graphicFrameLocks noChangeAspect="1"/>
            </wp:cNvGraphicFramePr>
            <a:graphic>
              <a:graphicData uri="http://schemas.openxmlformats.org/drawingml/2006/picture">
                <pic:pic>
                  <pic:nvPicPr>
                    <pic:cNvPr id="0" name="05_comisiones.png"/>
                    <pic:cNvPicPr/>
                  </pic:nvPicPr>
                  <pic:blipFill>
                    <a:blip r:embed="rId16"/>
                    <a:stretch>
                      <a:fillRect/>
                    </a:stretch>
                  </pic:blipFill>
                  <pic:spPr>
                    <a:xfrm>
                      <a:off x="0" y="0"/>
                      <a:ext cx="6120000" cy="1989000"/>
                    </a:xfrm>
                    <a:prstGeom prst="rect"/>
                  </pic:spPr>
                </pic:pic>
              </a:graphicData>
            </a:graphic>
          </wp:inline>
        </w:drawing>
      </w:r>
    </w:p>
    <w:p>
      <w:pPr>
        <w:spacing w:before="0" w:after="200" w:line="276" w:lineRule="auto"/>
        <w:jc w:val="center"/>
      </w:pPr>
      <w:r>
        <w:rPr>
          <w:rFonts w:ascii="Montserrat" w:hAnsi="Montserrat" w:eastAsia="Montserrat"/>
          <w:b w:val="0"/>
          <w:i/>
          <w:color w:val="7A8794"/>
          <w:sz w:val="17"/>
        </w:rPr>
        <w:t>Figura 7 · Comisión por venta (8% sobre el precio sin IVA).</w:t>
      </w:r>
    </w:p>
    <w:tbl>
      <w:tblPr>
        <w:tblW w:type="auto" w:w="0"/>
        <w:jc w:val="center"/>
        <w:tblLayout w:type="fixed"/>
        <w:tblLook w:firstColumn="1" w:firstRow="1" w:lastColumn="0" w:lastRow="0" w:noHBand="0" w:noVBand="1" w:val="04A0"/>
      </w:tblPr>
      <w:tblGrid>
        <w:gridCol w:w="1949"/>
        <w:gridCol w:w="1949"/>
        <w:gridCol w:w="1949"/>
        <w:gridCol w:w="1949"/>
        <w:gridCol w:w="1949"/>
      </w:tblGrid>
      <w:tr>
        <w:tc>
          <w:tcPr>
            <w:tcW w:type="dxa" w:w="192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Producto</w:t>
            </w:r>
          </w:p>
        </w:tc>
        <w:tc>
          <w:tcPr>
            <w:tcW w:type="dxa" w:w="79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w:t>
            </w:r>
          </w:p>
        </w:tc>
        <w:tc>
          <w:tcPr>
            <w:tcW w:type="dxa" w:w="1474"/>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Comisión (sin IVA)</w:t>
            </w:r>
          </w:p>
        </w:tc>
        <w:tc>
          <w:tcPr>
            <w:tcW w:type="dxa" w:w="317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Cuándo se paga</w:t>
            </w:r>
          </w:p>
        </w:tc>
        <w:tc>
          <w:tcPr>
            <w:tcW w:type="dxa" w:w="2268"/>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Estorno</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Solución Modular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US$ 70,80</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Pago único al pagar el cliente la 3ª cuota</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Si cancela antes de la 12ª cuota</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Individual</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US$ 42,48</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Jardín Familiar</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US$ 141,59</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Jardín Ecológico</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US$ 53,10</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Contado: mes siguiente · Financiado: proporcional a lo cobrado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Mascotas · solo espacio</w:t>
            </w:r>
          </w:p>
        </w:tc>
        <w:tc>
          <w:tcPr>
            <w:tcW w:type="dxa" w:w="79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US$ 28,32</w:t>
            </w:r>
          </w:p>
        </w:tc>
        <w:tc>
          <w:tcPr>
            <w:tcW w:type="dxa" w:w="317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Mascotas · con placa</w:t>
            </w:r>
          </w:p>
        </w:tc>
        <w:tc>
          <w:tcPr>
            <w:tcW w:type="dxa" w:w="79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8%</w:t>
            </w:r>
          </w:p>
        </w:tc>
        <w:tc>
          <w:tcPr>
            <w:tcW w:type="dxa" w:w="1474"/>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US$ 38,94</w:t>
            </w:r>
          </w:p>
        </w:tc>
        <w:tc>
          <w:tcPr>
            <w:tcW w:type="dxa" w:w="317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Mes siguiente al pago</w:t>
            </w:r>
          </w:p>
        </w:tc>
        <w:tc>
          <w:tcPr>
            <w:tcW w:type="dxa" w:w="2268"/>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Cancelación en 90 días</w:t>
            </w:r>
          </w:p>
        </w:tc>
      </w:tr>
      <w:tr>
        <w:tc>
          <w:tcPr>
            <w:tcW w:type="dxa" w:w="192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i w:val="0"/>
                <w:color w:val="1B365D"/>
                <w:sz w:val="19"/>
              </w:rPr>
              <w:t>Jardín Ceremonial</w:t>
            </w:r>
          </w:p>
        </w:tc>
        <w:tc>
          <w:tcPr>
            <w:tcW w:type="dxa" w:w="79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A definir</w:t>
            </w:r>
          </w:p>
        </w:tc>
        <w:tc>
          <w:tcPr>
            <w:tcW w:type="dxa" w:w="1474"/>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3175"/>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c>
          <w:tcPr>
            <w:tcW w:type="dxa" w:w="2268"/>
            <w:tcMar>
              <w:top w:w="124" w:type="dxa"/>
              <w:left w:w="124" w:type="dxa"/>
              <w:bottom w:w="124" w:type="dxa"/>
              <w:right w:w="124" w:type="dxa"/>
            </w:tcMar>
            <w:shd w:val="clear" w:color="auto" w:fill="FBF3E1"/>
            <w:tcBorders>
              <w:top w:val="nil"/>
              <w:left w:val="nil"/>
              <w:bottom w:val="single" w:sz="4" w:color="D9DEE4"/>
              <w:right w:val="nil"/>
            </w:tcBorders>
          </w:tcPr>
          <w:p>
            <w:pPr>
              <w:spacing w:after="40"/>
            </w:pPr>
            <w:r>
              <w:rPr>
                <w:rFonts w:ascii="Montserrat" w:hAnsi="Montserrat" w:eastAsia="Montserrat"/>
                <w:b w:val="0"/>
                <w:i w:val="0"/>
                <w:color w:val="2C3E50"/>
                <w:sz w:val="19"/>
              </w:rPr>
              <w:t>—</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Reglas de comisión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Base de cálculo: valor efectivamente cobrado al cliente, sin IVA (13%).</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Comisión única de 8% para todos los productos.</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No generan comisión: cuotas de mantenimiento anual (US$ 15 / US$ 25).</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Bono de venta combinada: US$ 15 al vender la Solución Modular junto con cualquier jardín.</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Acelerador Día de los Muertos (opcional): +2 pp en Individual y Ecológico hasta el 30/11/2026.</w:t>
      </w:r>
    </w:p>
    <w:p>
      <w:pPr>
        <w:spacing w:before="0" w:after="60" w:line="276" w:lineRule="auto"/>
        <w:ind w:left="340" w:hanging="340"/>
      </w:pPr>
      <w:r>
        <w:rPr>
          <w:rFonts w:ascii="Montserrat" w:hAnsi="Montserrat" w:eastAsia="Montserrat"/>
          <w:b w:val="0"/>
          <w:i w:val="0"/>
          <w:color w:val="C5A059"/>
          <w:sz w:val="15"/>
        </w:rPr>
        <w:t xml:space="preserve">■  </w:t>
      </w:r>
      <w:r>
        <w:rPr>
          <w:rFonts w:ascii="Montserrat" w:hAnsi="Montserrat" w:eastAsia="Montserrat"/>
          <w:b w:val="0"/>
          <w:i w:val="0"/>
          <w:color w:val="2C3E50"/>
          <w:sz w:val="21"/>
        </w:rPr>
        <w:t>Estorno: la comisión se descuenta de los pagos siguientes al asesor.</w:t>
      </w:r>
    </w:p>
    <w:p>
      <w:pPr>
        <w:spacing w:before="0" w:after="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F4F7FA"/>
            <w:tcBorders>
              <w:top w:val="nil"/>
              <w:left w:val="single" w:sz="36" w:color="C5A059"/>
              <w:bottom w:val="nil"/>
              <w:right w:val="nil"/>
            </w:tcBorders>
            <w:tcMar>
              <w:top w:w="198" w:type="dxa"/>
              <w:left w:w="198" w:type="dxa"/>
              <w:bottom w:w="198" w:type="dxa"/>
              <w:right w:w="198" w:type="dxa"/>
            </w:tcMar>
          </w:tcPr>
          <w:p>
            <w:pPr>
              <w:spacing w:after="40"/>
            </w:pPr>
            <w:r>
              <w:rPr>
                <w:rFonts w:ascii="Montserrat" w:hAnsi="Montserrat" w:eastAsia="Montserrat"/>
                <w:b/>
                <w:i w:val="0"/>
                <w:color w:val="1B365D"/>
                <w:sz w:val="18"/>
              </w:rPr>
              <w:t>POR QUÉ LA COMISIÓN ESTÁ LIGADA AL COBRO</w:t>
            </w:r>
          </w:p>
          <w:p>
            <w:pPr>
              <w:spacing w:after="40"/>
            </w:pPr>
            <w:r>
              <w:rPr>
                <w:rFonts w:ascii="Montserrat" w:hAnsi="Montserrat" w:eastAsia="Montserrat"/>
                <w:b w:val="0"/>
                <w:i w:val="0"/>
                <w:color w:val="2C3E50"/>
                <w:sz w:val="21"/>
              </w:rPr>
              <w:t>La comisión premia la venta buena, no solo la venta: una familia que paga a tiempo vale más que un contrato que se cancela. Por eso el pago está ligado al cobro.</w:t>
            </w:r>
          </w:p>
        </w:tc>
      </w:tr>
    </w:tbl>
    <w:p>
      <w:pPr>
        <w:spacing w:before="0" w:after="80" w:line="276" w:lineRule="auto"/>
      </w:pPr>
    </w:p>
    <w:p>
      <w:r>
        <w:br w:type="page"/>
      </w:r>
    </w:p>
    <w:p>
      <w:pPr>
        <w:pStyle w:val="Heading1"/>
        <w:spacing w:before="0" w:after="80"/>
      </w:pPr>
      <w:r>
        <w:rPr>
          <w:rFonts w:ascii="Playfair Display" w:hAnsi="Playfair Display" w:eastAsia="Playfair Display"/>
          <w:b/>
          <w:i w:val="0"/>
          <w:color w:val="C5A059"/>
          <w:sz w:val="52"/>
        </w:rPr>
        <w:t xml:space="preserve">08  </w:t>
      </w:r>
      <w:r>
        <w:rPr>
          <w:rFonts w:ascii="Playfair Display" w:hAnsi="Playfair Display" w:eastAsia="Playfair Display"/>
          <w:b/>
          <w:i w:val="0"/>
          <w:color w:val="1B365D"/>
          <w:sz w:val="48"/>
        </w:rPr>
        <w:t>Herramientas de apoyo</w:t>
      </w:r>
    </w:p>
    <w:p>
      <w:pPr>
        <w:spacing w:before="0" w:after="200" w:line="276" w:lineRule="auto"/>
        <w:pBdr>
          <w:bottom w:val="single" w:sz="12" w:color="C5A059" w:space="1"/>
        </w:pBdr>
      </w:pPr>
    </w:p>
    <w:tbl>
      <w:tblPr>
        <w:tblW w:type="auto" w:w="0"/>
        <w:jc w:val="center"/>
        <w:tblLayout w:type="fixed"/>
        <w:tblLook w:firstColumn="1" w:firstRow="1" w:lastColumn="0" w:lastRow="0" w:noHBand="0" w:noVBand="1" w:val="04A0"/>
      </w:tblPr>
      <w:tblGrid>
        <w:gridCol w:w="4873"/>
        <w:gridCol w:w="4873"/>
      </w:tblGrid>
      <w:tr>
        <w:tc>
          <w:tcPr>
            <w:tcW w:type="dxa" w:w="2835"/>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Herramienta</w:t>
            </w:r>
          </w:p>
        </w:tc>
        <w:tc>
          <w:tcPr>
            <w:tcW w:type="dxa" w:w="6803"/>
            <w:tcMar>
              <w:top w:w="124" w:type="dxa"/>
              <w:left w:w="124" w:type="dxa"/>
              <w:bottom w:w="124" w:type="dxa"/>
              <w:right w:w="124" w:type="dxa"/>
            </w:tcMar>
            <w:shd w:val="clear" w:color="auto" w:fill="1B365D"/>
          </w:tcPr>
          <w:p>
            <w:pPr>
              <w:spacing w:after="40"/>
            </w:pPr>
            <w:r>
              <w:rPr>
                <w:rFonts w:ascii="Montserrat" w:hAnsi="Montserrat" w:eastAsia="Montserrat"/>
                <w:b/>
                <w:i w:val="0"/>
                <w:color w:val="FFFFFF"/>
                <w:sz w:val="18"/>
              </w:rPr>
              <w:t>Para qué sirve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Ficha Técnica de Cremación</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Precios, especificaciones y condiciones vigentes de cada producto.</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Visita al jardín</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La herramienta de venta más poderosa. Agende siempre que sea posible.</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Presentación «Jardines de Cenizas»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Fotos y medidas de cada jardín para mostrar en la visita o en la casa.</w:t>
            </w:r>
          </w:p>
        </w:tc>
      </w:tr>
      <w:tr>
        <w:tc>
          <w:tcPr>
            <w:tcW w:type="dxa" w:w="2835"/>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i w:val="0"/>
                <w:color w:val="1B365D"/>
                <w:sz w:val="19"/>
              </w:rPr>
              <w:t>Simulación de cuotas</w:t>
            </w:r>
          </w:p>
        </w:tc>
        <w:tc>
          <w:tcPr>
            <w:tcW w:type="dxa" w:w="6803"/>
            <w:tcMar>
              <w:top w:w="124" w:type="dxa"/>
              <w:left w:w="124" w:type="dxa"/>
              <w:bottom w:w="124" w:type="dxa"/>
              <w:right w:w="124" w:type="dxa"/>
            </w:tcMar>
            <w:shd w:val="clear" w:color="auto" w:fill="F4F7FA"/>
            <w:tcBorders>
              <w:top w:val="nil"/>
              <w:left w:val="nil"/>
              <w:bottom w:val="single" w:sz="4" w:color="D9DEE4"/>
              <w:right w:val="nil"/>
            </w:tcBorders>
          </w:tcPr>
          <w:p>
            <w:pPr>
              <w:spacing w:after="40"/>
            </w:pPr>
            <w:r>
              <w:rPr>
                <w:rFonts w:ascii="Montserrat" w:hAnsi="Montserrat" w:eastAsia="Montserrat"/>
                <w:b w:val="0"/>
                <w:i w:val="0"/>
                <w:color w:val="2C3E50"/>
                <w:sz w:val="19"/>
              </w:rPr>
              <w:t>Calcule la cuota con el cliente: transparencia genera confianza.</w:t>
            </w:r>
          </w:p>
        </w:tc>
      </w:tr>
      <w:tr>
        <w:tc>
          <w:tcPr>
            <w:tcW w:type="dxa" w:w="2835"/>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i w:val="0"/>
                <w:color w:val="1B365D"/>
                <w:sz w:val="19"/>
              </w:rPr>
              <w:t>Registro de contactos</w:t>
            </w:r>
          </w:p>
        </w:tc>
        <w:tc>
          <w:tcPr>
            <w:tcW w:type="dxa" w:w="6803"/>
            <w:tcMar>
              <w:top w:w="124" w:type="dxa"/>
              <w:left w:w="124" w:type="dxa"/>
              <w:bottom w:w="124" w:type="dxa"/>
              <w:right w:w="124" w:type="dxa"/>
            </w:tcMar>
            <w:shd w:val="clear" w:color="auto" w:fill="FFFFFF"/>
            <w:tcBorders>
              <w:top w:val="nil"/>
              <w:left w:val="nil"/>
              <w:bottom w:val="single" w:sz="4" w:color="D9DEE4"/>
              <w:right w:val="nil"/>
            </w:tcBorders>
          </w:tcPr>
          <w:p>
            <w:pPr>
              <w:spacing w:after="40"/>
            </w:pPr>
            <w:r>
              <w:rPr>
                <w:rFonts w:ascii="Montserrat" w:hAnsi="Montserrat" w:eastAsia="Montserrat"/>
                <w:b w:val="0"/>
                <w:i w:val="0"/>
                <w:color w:val="2C3E50"/>
                <w:sz w:val="19"/>
              </w:rPr>
              <w:t>Un contacto no registrado no existe: sin datos no hay gestión ni comisión.</w:t>
            </w:r>
          </w:p>
        </w:tc>
      </w:tr>
    </w:tbl>
    <w:p>
      <w:pPr>
        <w:spacing w:before="0" w:after="80" w:line="276" w:lineRule="auto"/>
      </w:pPr>
    </w:p>
    <w:p>
      <w:pPr>
        <w:pStyle w:val="Heading2"/>
        <w:spacing w:before="200" w:after="80"/>
      </w:pPr>
      <w:r>
        <w:rPr>
          <w:rFonts w:ascii="Playfair Display" w:hAnsi="Playfair Display" w:eastAsia="Playfair Display"/>
          <w:b/>
          <w:i w:val="0"/>
          <w:color w:val="1B365D"/>
          <w:sz w:val="28"/>
        </w:rPr>
        <w:t>Checklist antes de cerrar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qué incluye el producto y qué no incluye.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Expliqué la cuota de mantenimiento o el plazo de 3 años, según el caso.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Confirmé el precio y la forma de pago con la Ficha Técnica vigente.</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descuento, si lo hubo, está dentro de la política y autorizado.</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El cliente recibió copia del contrato y el contacto de su asesor.</w:t>
      </w:r>
    </w:p>
    <w:p>
      <w:pPr>
        <w:spacing w:before="0" w:after="80" w:line="276" w:lineRule="auto"/>
      </w:pPr>
      <w:r>
        <w:rPr>
          <w:rFonts w:ascii="Montserrat" w:hAnsi="Montserrat" w:eastAsia="Montserrat"/>
          <w:b w:val="0"/>
          <w:i w:val="0"/>
          <w:color w:val="1B365D"/>
          <w:sz w:val="24"/>
        </w:rPr>
        <w:t xml:space="preserve">☐  </w:t>
      </w:r>
      <w:r>
        <w:rPr>
          <w:rFonts w:ascii="Montserrat" w:hAnsi="Montserrat" w:eastAsia="Montserrat"/>
          <w:b w:val="0"/>
          <w:i w:val="0"/>
          <w:color w:val="2C3E50"/>
          <w:sz w:val="21"/>
        </w:rPr>
        <w:t>Registré la venta completa el mismo día.</w:t>
      </w:r>
    </w:p>
    <w:p>
      <w:pPr>
        <w:spacing w:before="0" w:after="480" w:line="276" w:lineRule="auto"/>
      </w:pPr>
    </w:p>
    <w:tbl>
      <w:tblPr>
        <w:tblW w:type="auto" w:w="0"/>
        <w:jc w:val="center"/>
        <w:tblLayout w:type="fixed"/>
        <w:tblLook w:firstColumn="1" w:firstRow="1" w:lastColumn="0" w:lastRow="0" w:noHBand="0" w:noVBand="1" w:val="04A0"/>
      </w:tblPr>
      <w:tblGrid>
        <w:gridCol w:w="9746"/>
      </w:tblGrid>
      <w:tr>
        <w:tc>
          <w:tcPr>
            <w:tcW w:type="dxa" w:w="9638"/>
            <w:tcMar>
              <w:top w:w="124" w:type="dxa"/>
              <w:left w:w="124" w:type="dxa"/>
              <w:bottom w:w="124" w:type="dxa"/>
              <w:right w:w="124" w:type="dxa"/>
            </w:tcMar>
            <w:shd w:val="clear" w:color="auto" w:fill="1B365D"/>
            <w:tcBorders>
              <w:top w:val="nil"/>
              <w:left w:val="nil"/>
              <w:bottom w:val="single" w:sz="48" w:color="C5A059"/>
              <w:right w:val="nil"/>
            </w:tcBorders>
            <w:tcMar>
              <w:top w:w="453" w:type="dxa"/>
              <w:left w:w="453" w:type="dxa"/>
              <w:bottom w:w="453" w:type="dxa"/>
              <w:right w:w="453" w:type="dxa"/>
            </w:tcMar>
          </w:tcPr>
          <w:p>
            <w:pPr>
              <w:spacing w:after="40"/>
              <w:jc w:val="center"/>
            </w:pPr>
            <w:r>
              <w:rPr>
                <w:rFonts w:ascii="Playfair Display" w:hAnsi="Playfair Display" w:eastAsia="Playfair Display"/>
                <w:b w:val="0"/>
                <w:i/>
                <w:color w:val="FFFFFF"/>
                <w:sz w:val="28"/>
              </w:rPr>
              <w:t>Cada familia que atendemos recordará cómo la tratamos en uno de los momentos más sensibles de su vida. Ese es nuestro verdadero producto.</w:t>
            </w:r>
          </w:p>
          <w:p>
            <w:pPr>
              <w:spacing w:before="200"/>
              <w:jc w:val="center"/>
            </w:pPr>
            <w:r>
              <w:rPr>
                <w:rFonts w:ascii="Montserrat" w:hAnsi="Montserrat" w:eastAsia="Montserrat"/>
                <w:b/>
                <w:i w:val="0"/>
                <w:color w:val="C5A059"/>
                <w:sz w:val="19"/>
              </w:rPr>
              <w:t>La Auxiliadora · Hogar de las Memorias · Vangrupo</w:t>
            </w:r>
          </w:p>
        </w:tc>
      </w:tr>
    </w:tbl>
    <w:sectPr w:rsidR="00FC693F" w:rsidRPr="0006063C" w:rsidSect="00034616">
      <w:footerReference w:type="default" r:id="rId17"/>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b w:val="0"/>
        <w:i w:val="0"/>
        <w:color w:val="7A8794"/>
        <w:sz w:val="16"/>
      </w:rPr>
      <w:t>Playbook Comercial · La Auxiliadora · Hogar de las Memorias · Vangrupo · Uso interno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ontserrat" w:hAnsi="Montserrat" w:eastAsia="Montserrat"/>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layfair Display" w:hAnsi="Playfair Display"/>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Playfair Display" w:hAnsi="Playfair Display"/>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