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1.0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1.0)</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de Mascotas: confirmar si la urna biodegradable está incluida en el precio.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664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664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US$ 400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Hasta 120 cuotas mensuales (≈ US$ 8,50/mes)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(nivel 1,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Por menos de lo que cuesta un refresco a la semana, alrededor de ocho dólares al mes,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permanente para visitar.</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permanente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Pago único o financiado · Mantenimiento US$ 25/año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Sin plazo de permanencia.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y permanente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permanente de homenaje familiar, sin plazo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sin plazo.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US$ 25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para siempre, y cuesta US$ 500 por espacio,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US$ 400 solo espacio · US$ 550 con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(opción US$ 550)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solo en la opción de US$ 550.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su nombre quede para siempre en el monumento memorial?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placa memorial incluida, para que su nombre quede siempre en el jardín?»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cuesta alrededor de US$ 8,50 al mes.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«¿Qué cuota mensual le resultaría cómoda?»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US$ 25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cuotas (≈ US$ 8,50/mes)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Sin plazo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US$ 25/año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sin plazo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Prenecesidad: hasta 20% según la campaña del mes. Emergencia: máximo 5%. Siempre con autorización del supervisor.</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US$ 25/año.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3 años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Ecológico y Mascotas: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(US$ 750) y en la opción de Mascotas de US$ 550.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con placa</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US$ 25).</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Simulación de cuotas</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Calcule la cuota con el cliente: transparencia genera confianza.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o el plazo de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