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Affective</w:t>
      </w:r>
      <w:r>
        <w:t xml:space="preserve"> </w:t>
      </w:r>
      <w:r>
        <w:t xml:space="preserve">Risk</w:t>
      </w:r>
      <w:r>
        <w:t xml:space="preserve"> </w:t>
      </w:r>
      <w:r>
        <w:t xml:space="preserve">Perception</w:t>
      </w:r>
      <w:r>
        <w:t xml:space="preserve"> </w:t>
      </w:r>
      <w:r>
        <w:t xml:space="preserve">Networks</w:t>
      </w:r>
    </w:p>
    <w:p>
      <w:pPr>
        <w:pStyle w:val="Subtitle"/>
      </w:pPr>
      <w:r>
        <w:t xml:space="preserve">Draft</w:t>
      </w:r>
      <w:r>
        <w:t xml:space="preserve"> </w:t>
      </w:r>
      <w:r>
        <w:t xml:space="preserve">article</w:t>
      </w:r>
      <w:r>
        <w:t xml:space="preserve"> </w:t>
      </w:r>
      <w:r>
        <w:t xml:space="preserve">for</w:t>
      </w:r>
      <w:r>
        <w:t xml:space="preserve"> </w:t>
      </w:r>
      <w:r>
        <w:t xml:space="preserve">ÅAU</w:t>
      </w:r>
      <w:r>
        <w:t xml:space="preserve"> </w:t>
      </w:r>
      <w:r>
        <w:t xml:space="preserve">Sociology</w:t>
      </w:r>
      <w:r>
        <w:t xml:space="preserve"> </w:t>
      </w:r>
      <w:r>
        <w:t xml:space="preserve">summer</w:t>
      </w:r>
      <w:r>
        <w:t xml:space="preserve"> </w:t>
      </w:r>
      <w:r>
        <w:t xml:space="preserve">seminar</w:t>
      </w:r>
      <w:r>
        <w:t xml:space="preserve"> </w:t>
      </w:r>
      <w:r>
        <w:t xml:space="preserve">1-2</w:t>
      </w:r>
      <w:r>
        <w:t xml:space="preserve"> </w:t>
      </w:r>
      <w:r>
        <w:t xml:space="preserve">June</w:t>
      </w:r>
      <w:r>
        <w:t xml:space="preserve"> </w:t>
      </w:r>
      <w:r>
        <w:t xml:space="preserve">2023</w:t>
      </w:r>
    </w:p>
    <w:p>
      <w:pPr>
        <w:pStyle w:val="Author"/>
      </w:pPr>
      <w:r>
        <w:t xml:space="preserve">Jan-Erik</w:t>
      </w:r>
      <w:r>
        <w:t xml:space="preserve"> </w:t>
      </w:r>
      <w:r>
        <w:t xml:space="preserve">Johanson,</w:t>
      </w:r>
      <w:r>
        <w:t xml:space="preserve"> </w:t>
      </w:r>
      <w:r>
        <w:t xml:space="preserve">Alisa</w:t>
      </w:r>
      <w:r>
        <w:t xml:space="preserve"> </w:t>
      </w:r>
      <w:r>
        <w:t xml:space="preserve">Puustinen</w:t>
      </w:r>
      <w:r>
        <w:t xml:space="preserve"> </w:t>
      </w:r>
      <w:r>
        <w:t xml:space="preserve">&amp;</w:t>
      </w:r>
      <w:r>
        <w:t xml:space="preserve"> </w:t>
      </w:r>
      <w:r>
        <w:t xml:space="preserve">Oliver</w:t>
      </w:r>
      <w:r>
        <w:t xml:space="preserve"> </w:t>
      </w:r>
      <w:r>
        <w:t xml:space="preserve">Saal</w:t>
      </w:r>
    </w:p>
    <w:p>
      <w:pPr>
        <w:pStyle w:val="Date"/>
      </w:pPr>
      <w:r>
        <w:t xml:space="preserve">May</w:t>
      </w:r>
      <w:r>
        <w:t xml:space="preserve"> </w:t>
      </w:r>
      <w:r>
        <w:t xml:space="preserve">26,</w:t>
      </w:r>
      <w:r>
        <w:t xml:space="preserve"> </w:t>
      </w:r>
      <w:r>
        <w:t xml:space="preserve">2023</w:t>
      </w:r>
    </w:p>
    <w:p>
      <w:pPr>
        <w:pStyle w:val="Abstract"/>
      </w:pPr>
      <w:r>
        <w:t xml:space="preserve">This</w:t>
      </w:r>
      <w:r>
        <w:t xml:space="preserve"> </w:t>
      </w:r>
      <w:r>
        <w:t xml:space="preserve">is</w:t>
      </w:r>
      <w:r>
        <w:t xml:space="preserve"> </w:t>
      </w:r>
      <w:r>
        <w:t xml:space="preserve">an</w:t>
      </w:r>
      <w:r>
        <w:t xml:space="preserve"> </w:t>
      </w:r>
      <w:r>
        <w:t xml:space="preserve">early</w:t>
      </w:r>
      <w:r>
        <w:t xml:space="preserve"> </w:t>
      </w:r>
      <w:r>
        <w:t xml:space="preserve">draft</w:t>
      </w:r>
      <w:r>
        <w:t xml:space="preserve"> </w:t>
      </w:r>
      <w:r>
        <w:t xml:space="preserve">version</w:t>
      </w:r>
      <w:r>
        <w:t xml:space="preserve"> </w:t>
      </w:r>
      <w:r>
        <w:t xml:space="preserve">on</w:t>
      </w:r>
      <w:r>
        <w:t xml:space="preserve"> </w:t>
      </w:r>
      <w:r>
        <w:t xml:space="preserve">a</w:t>
      </w:r>
      <w:r>
        <w:t xml:space="preserve"> </w:t>
      </w:r>
      <w:r>
        <w:t xml:space="preserve">research</w:t>
      </w:r>
      <w:r>
        <w:t xml:space="preserve"> </w:t>
      </w:r>
      <w:r>
        <w:t xml:space="preserve">project</w:t>
      </w:r>
      <w:r>
        <w:t xml:space="preserve"> </w:t>
      </w:r>
      <w:r>
        <w:t xml:space="preserve">I,</w:t>
      </w:r>
      <w:r>
        <w:t xml:space="preserve"> </w:t>
      </w:r>
      <w:r>
        <w:t xml:space="preserve">senior</w:t>
      </w:r>
      <w:r>
        <w:t xml:space="preserve"> </w:t>
      </w:r>
      <w:r>
        <w:t xml:space="preserve">researcher</w:t>
      </w:r>
      <w:r>
        <w:t xml:space="preserve"> </w:t>
      </w:r>
      <w:r>
        <w:t xml:space="preserve">Alisa</w:t>
      </w:r>
      <w:r>
        <w:t xml:space="preserve"> </w:t>
      </w:r>
      <w:r>
        <w:t xml:space="preserve">Puustinen</w:t>
      </w:r>
      <w:r>
        <w:t xml:space="preserve"> </w:t>
      </w:r>
      <w:r>
        <w:t xml:space="preserve">at</w:t>
      </w:r>
      <w:r>
        <w:t xml:space="preserve"> </w:t>
      </w:r>
      <w:r>
        <w:t xml:space="preserve">Pelastusopisto</w:t>
      </w:r>
      <w:r>
        <w:t xml:space="preserve"> </w:t>
      </w:r>
      <w:r>
        <w:t xml:space="preserve">and</w:t>
      </w:r>
      <w:r>
        <w:t xml:space="preserve"> </w:t>
      </w:r>
      <w:r>
        <w:t xml:space="preserve">professor</w:t>
      </w:r>
      <w:r>
        <w:t xml:space="preserve"> </w:t>
      </w:r>
      <w:r>
        <w:t xml:space="preserve">Jan-Erik</w:t>
      </w:r>
      <w:r>
        <w:t xml:space="preserve"> </w:t>
      </w:r>
      <w:r>
        <w:t xml:space="preserve">Anderson</w:t>
      </w:r>
      <w:r>
        <w:t xml:space="preserve"> </w:t>
      </w:r>
      <w:r>
        <w:t xml:space="preserve">at</w:t>
      </w:r>
      <w:r>
        <w:t xml:space="preserve"> </w:t>
      </w:r>
      <w:r>
        <w:t xml:space="preserve">University</w:t>
      </w:r>
      <w:r>
        <w:t xml:space="preserve"> </w:t>
      </w:r>
      <w:r>
        <w:t xml:space="preserve">of</w:t>
      </w:r>
      <w:r>
        <w:t xml:space="preserve"> </w:t>
      </w:r>
      <w:r>
        <w:t xml:space="preserve">Tampere</w:t>
      </w:r>
      <w:r>
        <w:t xml:space="preserve"> </w:t>
      </w:r>
      <w:r>
        <w:t xml:space="preserve">have</w:t>
      </w:r>
      <w:r>
        <w:t xml:space="preserve"> </w:t>
      </w:r>
      <w:r>
        <w:t xml:space="preserve">been</w:t>
      </w:r>
      <w:r>
        <w:t xml:space="preserve"> </w:t>
      </w:r>
      <w:r>
        <w:t xml:space="preserve">working</w:t>
      </w:r>
      <w:r>
        <w:t xml:space="preserve"> </w:t>
      </w:r>
      <w:r>
        <w:t xml:space="preserve">on.</w:t>
      </w:r>
      <w:r>
        <w:t xml:space="preserve"> </w:t>
      </w:r>
      <w:r>
        <w:t xml:space="preserve">Its</w:t>
      </w:r>
      <w:r>
        <w:t xml:space="preserve"> </w:t>
      </w:r>
      <w:r>
        <w:t xml:space="preserve">main</w:t>
      </w:r>
      <w:r>
        <w:t xml:space="preserve"> </w:t>
      </w:r>
      <w:r>
        <w:t xml:space="preserve">point</w:t>
      </w:r>
      <w:r>
        <w:t xml:space="preserve"> </w:t>
      </w:r>
      <w:r>
        <w:t xml:space="preserve">is</w:t>
      </w:r>
      <w:r>
        <w:t xml:space="preserve"> </w:t>
      </w:r>
      <w:r>
        <w:t xml:space="preserve">to</w:t>
      </w:r>
      <w:r>
        <w:t xml:space="preserve"> </w:t>
      </w:r>
      <w:r>
        <w:t xml:space="preserve">argue</w:t>
      </w:r>
      <w:r>
        <w:t xml:space="preserve"> </w:t>
      </w:r>
      <w:r>
        <w:t xml:space="preserve">for</w:t>
      </w:r>
      <w:r>
        <w:t xml:space="preserve"> </w:t>
      </w:r>
      <w:r>
        <w:t xml:space="preserve">a</w:t>
      </w:r>
      <w:r>
        <w:t xml:space="preserve"> </w:t>
      </w:r>
      <w:r>
        <w:t xml:space="preserve">network</w:t>
      </w:r>
      <w:r>
        <w:t xml:space="preserve"> </w:t>
      </w:r>
      <w:r>
        <w:t xml:space="preserve">conception</w:t>
      </w:r>
      <w:r>
        <w:t xml:space="preserve"> </w:t>
      </w:r>
      <w:r>
        <w:t xml:space="preserve">of</w:t>
      </w:r>
      <w:r>
        <w:t xml:space="preserve"> </w:t>
      </w:r>
      <w:r>
        <w:t xml:space="preserve">risk</w:t>
      </w:r>
      <w:r>
        <w:t xml:space="preserve"> </w:t>
      </w:r>
      <w:r>
        <w:t xml:space="preserve">perception,</w:t>
      </w:r>
      <w:r>
        <w:t xml:space="preserve"> </w:t>
      </w:r>
      <w:r>
        <w:t xml:space="preserve">i.e.,</w:t>
      </w:r>
      <w:r>
        <w:t xml:space="preserve"> </w:t>
      </w:r>
      <w:r>
        <w:t xml:space="preserve">that</w:t>
      </w:r>
      <w:r>
        <w:t xml:space="preserve"> </w:t>
      </w:r>
      <w:r>
        <w:t xml:space="preserve">individuals’</w:t>
      </w:r>
      <w:r>
        <w:t xml:space="preserve"> </w:t>
      </w:r>
      <w:r>
        <w:t xml:space="preserve">perceptions</w:t>
      </w:r>
      <w:r>
        <w:t xml:space="preserve"> </w:t>
      </w:r>
      <w:r>
        <w:t xml:space="preserve">of</w:t>
      </w:r>
      <w:r>
        <w:t xml:space="preserve"> </w:t>
      </w:r>
      <w:r>
        <w:t xml:space="preserve">hazards</w:t>
      </w:r>
      <w:r>
        <w:t xml:space="preserve"> </w:t>
      </w:r>
      <w:r>
        <w:t xml:space="preserve">and</w:t>
      </w:r>
      <w:r>
        <w:t xml:space="preserve"> </w:t>
      </w:r>
      <w:r>
        <w:t xml:space="preserve">risks</w:t>
      </w:r>
      <w:r>
        <w:t xml:space="preserve"> </w:t>
      </w:r>
      <w:r>
        <w:t xml:space="preserve">are</w:t>
      </w:r>
      <w:r>
        <w:t xml:space="preserve"> </w:t>
      </w:r>
      <w:r>
        <w:t xml:space="preserve">constructed</w:t>
      </w:r>
      <w:r>
        <w:t xml:space="preserve"> </w:t>
      </w:r>
      <w:r>
        <w:t xml:space="preserve">through</w:t>
      </w:r>
      <w:r>
        <w:t xml:space="preserve"> </w:t>
      </w:r>
      <w:r>
        <w:t xml:space="preserve">a</w:t>
      </w:r>
      <w:r>
        <w:t xml:space="preserve"> </w:t>
      </w:r>
      <w:r>
        <w:t xml:space="preserve">complex</w:t>
      </w:r>
      <w:r>
        <w:t xml:space="preserve"> </w:t>
      </w:r>
      <w:r>
        <w:t xml:space="preserve">system</w:t>
      </w:r>
      <w:r>
        <w:t xml:space="preserve"> </w:t>
      </w:r>
      <w:r>
        <w:t xml:space="preserve">of</w:t>
      </w:r>
      <w:r>
        <w:t xml:space="preserve"> </w:t>
      </w:r>
      <w:r>
        <w:t xml:space="preserve">interactions,</w:t>
      </w:r>
      <w:r>
        <w:t xml:space="preserve"> </w:t>
      </w:r>
      <w:r>
        <w:t xml:space="preserve">as</w:t>
      </w:r>
      <w:r>
        <w:t xml:space="preserve"> </w:t>
      </w:r>
      <w:r>
        <w:t xml:space="preserve">opposed</w:t>
      </w:r>
      <w:r>
        <w:t xml:space="preserve"> </w:t>
      </w:r>
      <w:r>
        <w:t xml:space="preserve">to</w:t>
      </w:r>
      <w:r>
        <w:t xml:space="preserve"> </w:t>
      </w:r>
      <w:r>
        <w:t xml:space="preserve">direct</w:t>
      </w:r>
      <w:r>
        <w:t xml:space="preserve"> </w:t>
      </w:r>
      <w:r>
        <w:t xml:space="preserve">perception</w:t>
      </w:r>
      <w:r>
        <w:t xml:space="preserve"> </w:t>
      </w:r>
      <w:r>
        <w:t xml:space="preserve">and</w:t>
      </w:r>
      <w:r>
        <w:t xml:space="preserve"> </w:t>
      </w:r>
      <w:r>
        <w:t xml:space="preserve">evaluation</w:t>
      </w:r>
      <w:r>
        <w:t xml:space="preserve"> </w:t>
      </w:r>
      <w:r>
        <w:t xml:space="preserve">of</w:t>
      </w:r>
      <w:r>
        <w:t xml:space="preserve"> </w:t>
      </w:r>
      <w:r>
        <w:t xml:space="preserve">singular</w:t>
      </w:r>
      <w:r>
        <w:t xml:space="preserve"> </w:t>
      </w:r>
      <w:r>
        <w:t xml:space="preserve">risk</w:t>
      </w:r>
      <w:r>
        <w:t xml:space="preserve"> </w:t>
      </w:r>
      <w:r>
        <w:t xml:space="preserve">events.</w:t>
      </w:r>
    </w:p>
    <w:p>
      <w:pPr>
        <w:pStyle w:val="Abstract"/>
      </w:pPr>
      <w:r>
        <w:t xml:space="preserve">We</w:t>
      </w:r>
      <w:r>
        <w:t xml:space="preserve"> </w:t>
      </w:r>
      <w:r>
        <w:t xml:space="preserve">recently</w:t>
      </w:r>
      <w:r>
        <w:t xml:space="preserve"> </w:t>
      </w:r>
      <w:r>
        <w:t xml:space="preserve">decided</w:t>
      </w:r>
      <w:r>
        <w:t xml:space="preserve"> </w:t>
      </w:r>
      <w:r>
        <w:t xml:space="preserve">to</w:t>
      </w:r>
      <w:r>
        <w:t xml:space="preserve"> </w:t>
      </w:r>
      <w:r>
        <w:t xml:space="preserve">divide</w:t>
      </w:r>
      <w:r>
        <w:t xml:space="preserve"> </w:t>
      </w:r>
      <w:r>
        <w:t xml:space="preserve">the</w:t>
      </w:r>
      <w:r>
        <w:t xml:space="preserve"> </w:t>
      </w:r>
      <w:r>
        <w:t xml:space="preserve">paper</w:t>
      </w:r>
      <w:r>
        <w:t xml:space="preserve"> </w:t>
      </w:r>
      <w:r>
        <w:t xml:space="preserve">into</w:t>
      </w:r>
      <w:r>
        <w:t xml:space="preserve"> </w:t>
      </w:r>
      <w:r>
        <w:t xml:space="preserve">two:</w:t>
      </w:r>
      <w:r>
        <w:t xml:space="preserve"> </w:t>
      </w:r>
      <w:r>
        <w:t xml:space="preserve">one</w:t>
      </w:r>
      <w:r>
        <w:t xml:space="preserve"> </w:t>
      </w:r>
      <w:r>
        <w:t xml:space="preserve">empirical</w:t>
      </w:r>
      <w:r>
        <w:t xml:space="preserve"> </w:t>
      </w:r>
      <w:r>
        <w:t xml:space="preserve">section</w:t>
      </w:r>
      <w:r>
        <w:t xml:space="preserve"> </w:t>
      </w:r>
      <w:r>
        <w:t xml:space="preserve">for</w:t>
      </w:r>
      <w:r>
        <w:t xml:space="preserve"> </w:t>
      </w:r>
      <w:r>
        <w:t xml:space="preserve">a</w:t>
      </w:r>
      <w:r>
        <w:t xml:space="preserve"> </w:t>
      </w:r>
      <w:r>
        <w:t xml:space="preserve">journal,</w:t>
      </w:r>
      <w:r>
        <w:t xml:space="preserve"> </w:t>
      </w:r>
      <w:r>
        <w:t xml:space="preserve">and</w:t>
      </w:r>
      <w:r>
        <w:t xml:space="preserve"> </w:t>
      </w:r>
      <w:r>
        <w:t xml:space="preserve">one</w:t>
      </w:r>
      <w:r>
        <w:t xml:space="preserve"> </w:t>
      </w:r>
      <w:r>
        <w:t xml:space="preserve">theoretical</w:t>
      </w:r>
      <w:r>
        <w:t xml:space="preserve"> </w:t>
      </w:r>
      <w:r>
        <w:t xml:space="preserve">discussion</w:t>
      </w:r>
      <w:r>
        <w:t xml:space="preserve"> </w:t>
      </w:r>
      <w:r>
        <w:t xml:space="preserve">for</w:t>
      </w:r>
      <w:r>
        <w:t xml:space="preserve"> </w:t>
      </w:r>
      <w:r>
        <w:t xml:space="preserve">an</w:t>
      </w:r>
      <w:r>
        <w:t xml:space="preserve"> </w:t>
      </w:r>
      <w:r>
        <w:t xml:space="preserve">invited</w:t>
      </w:r>
      <w:r>
        <w:t xml:space="preserve"> </w:t>
      </w:r>
      <w:r>
        <w:t xml:space="preserve">book</w:t>
      </w:r>
      <w:r>
        <w:t xml:space="preserve"> </w:t>
      </w:r>
      <w:r>
        <w:t xml:space="preserve">chapter.</w:t>
      </w:r>
      <w:r>
        <w:t xml:space="preserve"> </w:t>
      </w:r>
      <w:r>
        <w:t xml:space="preserve">The</w:t>
      </w:r>
      <w:r>
        <w:t xml:space="preserve"> </w:t>
      </w:r>
      <w:r>
        <w:t xml:space="preserve">formatting</w:t>
      </w:r>
      <w:r>
        <w:t xml:space="preserve"> </w:t>
      </w:r>
      <w:r>
        <w:t xml:space="preserve">is</w:t>
      </w:r>
      <w:r>
        <w:t xml:space="preserve"> </w:t>
      </w:r>
      <w:r>
        <w:t xml:space="preserve">still</w:t>
      </w:r>
      <w:r>
        <w:t xml:space="preserve"> </w:t>
      </w:r>
      <w:r>
        <w:t xml:space="preserve">very</w:t>
      </w:r>
      <w:r>
        <w:t xml:space="preserve"> </w:t>
      </w:r>
      <w:r>
        <w:t xml:space="preserve">all-over-the-place,</w:t>
      </w:r>
      <w:r>
        <w:t xml:space="preserve"> </w:t>
      </w:r>
      <w:r>
        <w:t xml:space="preserve">I</w:t>
      </w:r>
      <w:r>
        <w:t xml:space="preserve"> </w:t>
      </w:r>
      <w:r>
        <w:t xml:space="preserve">apologize</w:t>
      </w:r>
      <w:r>
        <w:t xml:space="preserve"> </w:t>
      </w:r>
      <w:r>
        <w:t xml:space="preserve">for</w:t>
      </w:r>
      <w:r>
        <w:t xml:space="preserve"> </w:t>
      </w:r>
      <w:r>
        <w:t xml:space="preserve">any</w:t>
      </w:r>
      <w:r>
        <w:t xml:space="preserve"> </w:t>
      </w:r>
      <w:r>
        <w:t xml:space="preserve">illegible</w:t>
      </w:r>
      <w:r>
        <w:t xml:space="preserve"> </w:t>
      </w:r>
      <w:r>
        <w:t xml:space="preserve">graphics!</w:t>
      </w:r>
    </w:p>
    <w:p>
      <w:pPr>
        <w:pStyle w:val="Abstract"/>
      </w:pPr>
      <w:r>
        <w:t xml:space="preserve">A</w:t>
      </w:r>
      <w:r>
        <w:t xml:space="preserve"> </w:t>
      </w:r>
      <w:r>
        <w:t xml:space="preserve">legible</w:t>
      </w:r>
      <w:r>
        <w:t xml:space="preserve"> </w:t>
      </w:r>
      <w:r>
        <w:t xml:space="preserve">online</w:t>
      </w:r>
      <w:r>
        <w:t xml:space="preserve"> </w:t>
      </w:r>
      <w:r>
        <w:t xml:space="preserve">version</w:t>
      </w:r>
      <w:r>
        <w:t xml:space="preserve"> </w:t>
      </w:r>
      <w:r>
        <w:t xml:space="preserve">is</w:t>
      </w:r>
      <w:r>
        <w:t xml:space="preserve"> </w:t>
      </w:r>
      <w:r>
        <w:t xml:space="preserve">temporarily</w:t>
      </w:r>
      <w:r>
        <w:t xml:space="preserve"> </w:t>
      </w:r>
      <w:r>
        <w:t xml:space="preserve">available</w:t>
      </w:r>
      <w:r>
        <w:t xml:space="preserve"> </w:t>
      </w:r>
      <w:r>
        <w:t xml:space="preserve">at</w:t>
      </w:r>
      <w:r>
        <w:t xml:space="preserve"> </w:t>
      </w:r>
      <w:r>
        <w:t xml:space="preserve">my</w:t>
      </w:r>
      <w:r>
        <w:t xml:space="preserve"> </w:t>
      </w:r>
      <w:r>
        <w:t xml:space="preserve">website:</w:t>
      </w:r>
    </w:p>
    <w:p>
      <w:pPr>
        <w:pStyle w:val="Abstract"/>
      </w:pPr>
      <w:r>
        <w:t xml:space="preserve">osaal.github.io/affectiveriskperceptionnetworks</w:t>
      </w:r>
    </w:p>
    <w:bookmarkStart w:id="20" w:name="sec-introduction"/>
    <w:p>
      <w:pPr>
        <w:pStyle w:val="Heading1"/>
      </w:pPr>
      <w:r>
        <w:t xml:space="preserve">Introduction</w:t>
      </w:r>
    </w:p>
    <w:bookmarkEnd w:id="20"/>
    <w:bookmarkStart w:id="26" w:name="sec-previous"/>
    <w:p>
      <w:pPr>
        <w:pStyle w:val="Heading1"/>
      </w:pPr>
      <w:r>
        <w:t xml:space="preserve">Previous Research and Theory</w:t>
      </w:r>
    </w:p>
    <w:bookmarkStart w:id="21" w:name="X18c12827043f9ccfaff1ff593cbd40c3c5f142e"/>
    <w:p>
      <w:pPr>
        <w:pStyle w:val="Heading2"/>
      </w:pPr>
      <w:r>
        <w:t xml:space="preserve">A Preliminary Definition of Risk, Risk Perception, and Resilience</w:t>
      </w:r>
    </w:p>
    <w:p>
      <w:pPr>
        <w:pStyle w:val="FirstParagraph"/>
      </w:pPr>
      <w:r>
        <w:t xml:space="preserve">The usage of the three key words (risk, risk perception, and resilience) in the research literature is varied. Some attempts have been made at collating these divergent definitions, notably by Aven</w:t>
      </w:r>
      <w:r>
        <w:t xml:space="preserve"> </w:t>
      </w:r>
      <w:r>
        <w:t xml:space="preserve">(2022)</w:t>
      </w:r>
      <w:r>
        <w:t xml:space="preserve">. They present six distinct perspectives, roughly named the disjunct, broader disjunct, event, consequence, undesirable potentials, and combination perspectives. Depending on the perspective, risks are defined variably as reduction in functionality, events, consequences, and/or uncertainties related to consequences. Similarly, resilience is variably defined as recovering ability, reaction ability, or even not defined at all</w:t>
      </w:r>
      <w:r>
        <w:t xml:space="preserve"> </w:t>
      </w:r>
      <w:r>
        <w:t xml:space="preserve">(Aven, 2022)</w:t>
      </w:r>
      <w:r>
        <w:t xml:space="preserve">.</w:t>
      </w:r>
    </w:p>
    <w:p>
      <w:pPr>
        <w:pStyle w:val="BodyText"/>
      </w:pPr>
      <w:r>
        <w:t xml:space="preserve">The problems with most of these perspectives, according to Aven</w:t>
      </w:r>
      <w:r>
        <w:t xml:space="preserve"> </w:t>
      </w:r>
      <w:r>
        <w:t xml:space="preserve">(2022)</w:t>
      </w:r>
      <w:r>
        <w:t xml:space="preserve">, is that they distinctly draw lines between risks and resilience. Particularly in the two disjunct perspectives as well as the event perspective, the risk ends once the event is declared over and the recovery phase as begun - the two stages are incommensurable.</w:t>
      </w:r>
    </w:p>
    <w:bookmarkEnd w:id="21"/>
    <w:bookmarkStart w:id="22" w:name="risk-and-systems"/>
    <w:p>
      <w:pPr>
        <w:pStyle w:val="Heading2"/>
      </w:pPr>
      <w:r>
        <w:t xml:space="preserve">Risk and Systems</w:t>
      </w:r>
    </w:p>
    <w:p>
      <w:pPr>
        <w:pStyle w:val="FirstParagraph"/>
      </w:pPr>
      <w:r>
        <w:t xml:space="preserve">Perceptions of flood risk in particular have been found to correlate with perceptions of other technological risks</w:t>
      </w:r>
      <w:r>
        <w:t xml:space="preserve"> </w:t>
      </w:r>
      <w:r>
        <w:t xml:space="preserve">(Zhai &amp; Ikeda, 2008)</w:t>
      </w:r>
      <w:r>
        <w:t xml:space="preserve">.</w:t>
      </w:r>
    </w:p>
    <w:p>
      <w:pPr>
        <w:pStyle w:val="BodyText"/>
      </w:pPr>
      <w:r>
        <w:t xml:space="preserve">It is important to distinguish between the ontology and the perception of risks. The former refers to the contents, dynamics, and structure of the risk itself, while the latter refers to individual’s meaning-makings of risks.</w:t>
      </w:r>
    </w:p>
    <w:p>
      <w:pPr>
        <w:pStyle w:val="BodyText"/>
      </w:pPr>
      <w:r>
        <w:t xml:space="preserve">In the space of risk ontology, research has suggested that risks can be divided into global systemic risks (GSR) and conventional risks</w:t>
      </w:r>
      <w:r>
        <w:t xml:space="preserve"> </w:t>
      </w:r>
      <w:r>
        <w:t xml:space="preserve">(Renn et al., 2019; Renn, 2021; Renn et al., 2022)</w:t>
      </w:r>
      <w:r>
        <w:t xml:space="preserve">. Summarily, GSR’s transgress traditional social and scientific boundaries, are intertwined and interconnected with one another, present non-linear causality in their structure, and have non-deterministic effects</w:t>
      </w:r>
      <w:r>
        <w:t xml:space="preserve"> </w:t>
      </w:r>
      <w:r>
        <w:t xml:space="preserve">(Haas et al., 2022)</w:t>
      </w:r>
      <w:r>
        <w:t xml:space="preserve">.</w:t>
      </w:r>
    </w:p>
    <w:p>
      <w:pPr>
        <w:pStyle w:val="BodyText"/>
      </w:pPr>
      <w:r>
        <w:t xml:space="preserve">Non-deterministic effects cannot be adequately reduced to deterministic models.</w:t>
      </w:r>
    </w:p>
    <w:p>
      <w:pPr>
        <w:pStyle w:val="BodyText"/>
      </w:pPr>
      <w:r>
        <w:t xml:space="preserve">However, risk ontology is not the same as risk perception.</w:t>
      </w:r>
    </w:p>
    <w:bookmarkEnd w:id="22"/>
    <w:bookmarkStart w:id="23" w:name="risk-perception"/>
    <w:p>
      <w:pPr>
        <w:pStyle w:val="Heading2"/>
      </w:pPr>
      <w:r>
        <w:t xml:space="preserve">Risk Perception</w:t>
      </w:r>
    </w:p>
    <w:p>
      <w:pPr>
        <w:pStyle w:val="FirstParagraph"/>
      </w:pPr>
      <w:r>
        <w:t xml:space="preserve">Risk perception has been widely studied in the past two decades, but is still lacking a coherent theoretical framework</w:t>
      </w:r>
      <w:r>
        <w:t xml:space="preserve"> </w:t>
      </w:r>
      <w:r>
        <w:t xml:space="preserve">(Kellens et al., 2013)</w:t>
      </w:r>
      <w:r>
        <w:t xml:space="preserve">. Generally speaking, perception has been found to be related to both hazard experiences and reactive behaviour.</w:t>
      </w:r>
    </w:p>
    <w:p>
      <w:pPr>
        <w:pStyle w:val="BodyText"/>
      </w:pPr>
      <w:r>
        <w:t xml:space="preserve">Perception is related to behaviour in some way, but the causal connection is unclear</w:t>
      </w:r>
      <w:r>
        <w:t xml:space="preserve"> </w:t>
      </w:r>
      <w:r>
        <w:t xml:space="preserve">(Koning et al., 2017)</w:t>
      </w:r>
      <w:r>
        <w:t xml:space="preserve">. It has been shown that post-event risk decision-making is drastically reactive to the event</w:t>
      </w:r>
      <w:r>
        <w:t xml:space="preserve"> </w:t>
      </w:r>
      <w:r>
        <w:t xml:space="preserve">(Gallagher, 2014; Slovic et al., 2004)</w:t>
      </w:r>
      <w:r>
        <w:t xml:space="preserve">. The time after event is also very relevant, with post-event risk perception not only falling, but falling at a speed derivative of the time post-event</w:t>
      </w:r>
      <w:r>
        <w:t xml:space="preserve"> </w:t>
      </w:r>
      <w:r>
        <w:t xml:space="preserve">(Atreya et al., 2013; Bin &amp; Landry, 2013; Gallagher, 2014)</w:t>
      </w:r>
      <w:r>
        <w:t xml:space="preserve">. One study found that storm risk perception drops below objective risk probabilities given enough time between events, but rises rapidly upon the following event</w:t>
      </w:r>
      <w:r>
        <w:t xml:space="preserve"> </w:t>
      </w:r>
      <w:r>
        <w:t xml:space="preserve">(Magliocca &amp; Walls, 2018)</w:t>
      </w:r>
      <w:r>
        <w:t xml:space="preserve">.</w:t>
      </w:r>
    </w:p>
    <w:bookmarkEnd w:id="23"/>
    <w:bookmarkStart w:id="25" w:name="experiences-and-perception"/>
    <w:p>
      <w:pPr>
        <w:pStyle w:val="Heading2"/>
      </w:pPr>
      <w:r>
        <w:t xml:space="preserve">Experiences and Perception</w:t>
      </w:r>
    </w:p>
    <w:p>
      <w:pPr>
        <w:pStyle w:val="FirstParagraph"/>
      </w:pPr>
      <w:r>
        <w:t xml:space="preserve">The previous literature generally distinguishes between two types of experience:</w:t>
      </w:r>
      <w:r>
        <w:t xml:space="preserve"> </w:t>
      </w:r>
      <w:r>
        <w:rPr>
          <w:bCs/>
          <w:b/>
        </w:rPr>
        <w:t xml:space="preserve">direct</w:t>
      </w:r>
      <w:r>
        <w:t xml:space="preserve"> </w:t>
      </w:r>
      <w:r>
        <w:t xml:space="preserve">and</w:t>
      </w:r>
      <w:r>
        <w:t xml:space="preserve"> </w:t>
      </w:r>
      <w:r>
        <w:rPr>
          <w:bCs/>
          <w:b/>
        </w:rPr>
        <w:t xml:space="preserve">near-miss</w:t>
      </w:r>
      <w:r>
        <w:t xml:space="preserve"> </w:t>
      </w:r>
      <w:r>
        <w:t xml:space="preserve">experiences. Direct experiences are, as the name implies, directly and non-mediately experienced, while near-miss experiences are situations that could have resulted in the expression of the hazard event, but did not. As an example, a direct experience of a fire could be a stove fire in the individual’s kitchen, while a near-miss experience of a fire could be a situation where the individual noticed that they had left flammable materials on an active stove-top, but managed to remove the materials prior to them catching fire.</w:t>
      </w:r>
    </w:p>
    <w:p>
      <w:pPr>
        <w:pStyle w:val="BodyText"/>
      </w:pPr>
      <w:r>
        <w:t xml:space="preserve">However, we propose that risk experiences are much more varied than this. We suggest five distinct forms, borrowed from and inspired by inter-group contact theory</w:t>
      </w:r>
      <w:r>
        <w:t xml:space="preserve"> </w:t>
      </w:r>
      <w:r>
        <w:t xml:space="preserve">(ICT, Zhou, 2020)</w:t>
      </w:r>
      <w:r>
        <w:t xml:space="preserve">.</w:t>
      </w:r>
    </w:p>
    <w:p>
      <w:pPr>
        <w:numPr>
          <w:ilvl w:val="0"/>
          <w:numId w:val="1001"/>
        </w:numPr>
        <w:pStyle w:val="Compact"/>
      </w:pPr>
      <w:r>
        <w:t xml:space="preserve">Direct non-intensive experience</w:t>
      </w:r>
    </w:p>
    <w:p>
      <w:pPr>
        <w:numPr>
          <w:ilvl w:val="0"/>
          <w:numId w:val="1001"/>
        </w:numPr>
        <w:pStyle w:val="Compact"/>
      </w:pPr>
      <w:r>
        <w:t xml:space="preserve">Direct intensive experience</w:t>
      </w:r>
    </w:p>
    <w:p>
      <w:pPr>
        <w:numPr>
          <w:ilvl w:val="0"/>
          <w:numId w:val="1001"/>
        </w:numPr>
        <w:pStyle w:val="Compact"/>
      </w:pPr>
      <w:r>
        <w:t xml:space="preserve">Extended experience</w:t>
      </w:r>
    </w:p>
    <w:p>
      <w:pPr>
        <w:numPr>
          <w:ilvl w:val="0"/>
          <w:numId w:val="1001"/>
        </w:numPr>
        <w:pStyle w:val="Compact"/>
      </w:pPr>
      <w:r>
        <w:t xml:space="preserve">Imagined experience</w:t>
      </w:r>
    </w:p>
    <w:p>
      <w:pPr>
        <w:numPr>
          <w:ilvl w:val="0"/>
          <w:numId w:val="1001"/>
        </w:numPr>
        <w:pStyle w:val="Compact"/>
      </w:pPr>
      <w:r>
        <w:t xml:space="preserve">Mediated experience</w:t>
      </w:r>
    </w:p>
    <w:p>
      <w:pPr>
        <w:pStyle w:val="FirstParagraph"/>
      </w:pPr>
      <w:r>
        <w:t xml:space="preserve">The first two experiences represent the regular direct experience, with a clear distinction: the intensity in the experience is much greater in type (2) than in type (1). Burning food on the stove-top is an example of a direct non-intensive experience, while surviving a house fire is a direct intensive experience.</w:t>
      </w:r>
      <w:r>
        <w:rPr>
          <w:rStyle w:val="FootnoteReference"/>
        </w:rPr>
        <w:footnoteReference w:id="24"/>
      </w:r>
    </w:p>
    <w:p>
      <w:pPr>
        <w:pStyle w:val="BodyText"/>
      </w:pPr>
      <w:r>
        <w:t xml:space="preserve">If extended contact in ICT is</w:t>
      </w:r>
      <w:r>
        <w:t xml:space="preserve"> </w:t>
      </w:r>
      <w:r>
        <w:t xml:space="preserve">“</w:t>
      </w:r>
      <w:r>
        <w:t xml:space="preserve">knowing that another ingroup member has at least one cross-group friend</w:t>
      </w:r>
      <w:r>
        <w:t xml:space="preserve">”</w:t>
      </w:r>
      <w:r>
        <w:t xml:space="preserve"> </w:t>
      </w:r>
      <w:r>
        <w:t xml:space="preserve">(Zhou, 2020, p. 9)</w:t>
      </w:r>
      <w:r>
        <w:t xml:space="preserve">, then extended risk experiences is knowing that a significant other has experienced the hazard event in question.</w:t>
      </w:r>
    </w:p>
    <w:p>
      <w:pPr>
        <w:pStyle w:val="BodyText"/>
      </w:pPr>
      <w:r>
        <w:t xml:space="preserve">Imagined experience represents near misses, but with an emphasis on the imaginative part. In this perspective, the causally empowered aspect is not how the experience is</w:t>
      </w:r>
      <w:r>
        <w:t xml:space="preserve"> </w:t>
      </w:r>
      <w:r>
        <w:t xml:space="preserve">‘</w:t>
      </w:r>
      <w:r>
        <w:t xml:space="preserve">almost like a risk</w:t>
      </w:r>
      <w:r>
        <w:t xml:space="preserve">’</w:t>
      </w:r>
      <w:r>
        <w:t xml:space="preserve"> </w:t>
      </w:r>
      <w:r>
        <w:t xml:space="preserve">(i.e., risk resemblance), but the near-miss as a trigger for considering a potential risk realisation. In other words: the near-miss triggers the individual to consider what the risk could have looked like and how it could have played out, which itself triggers a reconsideration of the probabilities attached to the risk event.</w:t>
      </w:r>
    </w:p>
    <w:p>
      <w:pPr>
        <w:pStyle w:val="BodyText"/>
      </w:pPr>
      <w:r>
        <w:t xml:space="preserve">Mediated experience is the experiencing the risk as portrayed in media</w:t>
      </w:r>
      <w:r>
        <w:t xml:space="preserve"> </w:t>
      </w:r>
      <w:r>
        <w:t xml:space="preserve">(cf. Zhou, 2020, p. 15)</w:t>
      </w:r>
      <w:r>
        <w:t xml:space="preserve">. This differs from the extended experience in that the originator of the message is not a significant other of the individual. Risks are experienced mediated all the time: from COVID-19 discussions on social media to news events of the war in Ukraine, individuals are constantly exposed to mediated experiences. In risk perception research, this topic has been studied under the sub-topic of risk communication studies.</w:t>
      </w:r>
    </w:p>
    <w:p>
      <w:pPr>
        <w:pStyle w:val="BodyText"/>
      </w:pPr>
      <w:r>
        <w:t xml:space="preserve">One motivation for using these distinctive forms of experience may be drawn from social phenomenology.</w:t>
      </w:r>
    </w:p>
    <w:p>
      <w:pPr>
        <w:numPr>
          <w:ilvl w:val="0"/>
          <w:numId w:val="1002"/>
        </w:numPr>
        <w:pStyle w:val="Compact"/>
      </w:pPr>
      <w:r>
        <w:t xml:space="preserve">The base world of work and the doxic position</w:t>
      </w:r>
      <w:r>
        <w:t xml:space="preserve"> </w:t>
      </w:r>
      <w:r>
        <w:t xml:space="preserve">(Bégout, 2007; Heidegger, 1962, pp. (56–57); Schütz, 1962, p. 227)</w:t>
      </w:r>
      <w:r>
        <w:t xml:space="preserve">.</w:t>
      </w:r>
    </w:p>
    <w:p>
      <w:pPr>
        <w:numPr>
          <w:ilvl w:val="0"/>
          <w:numId w:val="1002"/>
        </w:numPr>
        <w:pStyle w:val="Compact"/>
      </w:pPr>
      <w:r>
        <w:t xml:space="preserve">Action oriented towards goals or projects</w:t>
      </w:r>
      <w:r>
        <w:t xml:space="preserve"> </w:t>
      </w:r>
      <w:r>
        <w:t xml:space="preserve">(Heidegger, 1962, p. (145); Schütz, 1967, pp. 59–64)</w:t>
      </w:r>
      <w:r>
        <w:t xml:space="preserve">.</w:t>
      </w:r>
    </w:p>
    <w:p>
      <w:pPr>
        <w:numPr>
          <w:ilvl w:val="0"/>
          <w:numId w:val="1002"/>
        </w:numPr>
        <w:pStyle w:val="Compact"/>
      </w:pPr>
      <w:r>
        <w:t xml:space="preserve">Ideal-typical projection requires familiarity and typicality</w:t>
      </w:r>
      <w:r>
        <w:t xml:space="preserve"> </w:t>
      </w:r>
      <w:r>
        <w:t xml:space="preserve">(Schütz, 2011, pp. 126–128)</w:t>
      </w:r>
      <w:r>
        <w:t xml:space="preserve">.</w:t>
      </w:r>
    </w:p>
    <w:p>
      <w:pPr>
        <w:numPr>
          <w:ilvl w:val="0"/>
          <w:numId w:val="1002"/>
        </w:numPr>
        <w:pStyle w:val="Compact"/>
      </w:pPr>
      <w:r>
        <w:t xml:space="preserve">Recognition of familiarity/typicality occurs through relevance systems: topical, interpretational, and motivational relevance</w:t>
      </w:r>
      <w:r>
        <w:t xml:space="preserve"> </w:t>
      </w:r>
      <w:r>
        <w:t xml:space="preserve">(Schütz, 2011, pp. 94–95, 108, 113, 119)</w:t>
      </w:r>
      <w:r>
        <w:t xml:space="preserve">.</w:t>
      </w:r>
    </w:p>
    <w:bookmarkEnd w:id="25"/>
    <w:bookmarkEnd w:id="26"/>
    <w:bookmarkStart w:id="27" w:name="sec-hypotheses"/>
    <w:p>
      <w:pPr>
        <w:pStyle w:val="Heading1"/>
      </w:pPr>
      <w:r>
        <w:t xml:space="preserve">Hypotheses</w:t>
      </w:r>
    </w:p>
    <w:p>
      <w:pPr>
        <w:pStyle w:val="FirstParagraph"/>
      </w:pPr>
      <w:r>
        <w:t xml:space="preserve">There are two main findings in the previous literature:</w:t>
      </w:r>
    </w:p>
    <w:p>
      <w:pPr>
        <w:numPr>
          <w:ilvl w:val="0"/>
          <w:numId w:val="1003"/>
        </w:numPr>
        <w:pStyle w:val="Compact"/>
      </w:pPr>
      <w:r>
        <w:t xml:space="preserve">Direct hazard experiences lead to a decrease in perception of risk probability.</w:t>
      </w:r>
    </w:p>
    <w:p>
      <w:pPr>
        <w:numPr>
          <w:ilvl w:val="0"/>
          <w:numId w:val="1003"/>
        </w:numPr>
        <w:pStyle w:val="Compact"/>
      </w:pPr>
      <w:r>
        <w:t xml:space="preserve">Near-miss hazard experiences lead to an increase in perception of risk probability.</w:t>
      </w:r>
    </w:p>
    <w:p>
      <w:pPr>
        <w:pStyle w:val="FirstParagraph"/>
      </w:pPr>
      <w:r>
        <w:t xml:space="preserve">To investigate the support for these findings, we apply network analysis. Because networks can be analysed on both system and node levels, we thus divide each finding into two distinct propositions:</w:t>
      </w:r>
    </w:p>
    <w:p>
      <w:pPr>
        <w:numPr>
          <w:ilvl w:val="0"/>
          <w:numId w:val="1004"/>
        </w:numPr>
        <w:pStyle w:val="Compact"/>
      </w:pPr>
      <w:r>
        <w:t xml:space="preserve">Direct hazard experiences lead to a decrease in perception of risk probability on the:</w:t>
      </w:r>
    </w:p>
    <w:p>
      <w:pPr>
        <w:numPr>
          <w:ilvl w:val="1"/>
          <w:numId w:val="1005"/>
        </w:numPr>
        <w:pStyle w:val="Compact"/>
      </w:pPr>
      <w:r>
        <w:t xml:space="preserve">System level, and the</w:t>
      </w:r>
    </w:p>
    <w:p>
      <w:pPr>
        <w:numPr>
          <w:ilvl w:val="1"/>
          <w:numId w:val="1005"/>
        </w:numPr>
        <w:pStyle w:val="Compact"/>
      </w:pPr>
      <w:r>
        <w:t xml:space="preserve">Node level.</w:t>
      </w:r>
    </w:p>
    <w:p>
      <w:pPr>
        <w:numPr>
          <w:ilvl w:val="0"/>
          <w:numId w:val="1004"/>
        </w:numPr>
        <w:pStyle w:val="Compact"/>
      </w:pPr>
      <w:r>
        <w:t xml:space="preserve">Near-miss hazard experiences lead to an increase in perception of risk probability on the:</w:t>
      </w:r>
    </w:p>
    <w:p>
      <w:pPr>
        <w:numPr>
          <w:ilvl w:val="1"/>
          <w:numId w:val="1006"/>
        </w:numPr>
        <w:pStyle w:val="Compact"/>
      </w:pPr>
      <w:r>
        <w:t xml:space="preserve">System level, and the</w:t>
      </w:r>
    </w:p>
    <w:p>
      <w:pPr>
        <w:numPr>
          <w:ilvl w:val="1"/>
          <w:numId w:val="1006"/>
        </w:numPr>
        <w:pStyle w:val="Compact"/>
      </w:pPr>
      <w:r>
        <w:t xml:space="preserve">Node level.</w:t>
      </w:r>
    </w:p>
    <w:p>
      <w:pPr>
        <w:pStyle w:val="FirstParagraph"/>
      </w:pPr>
      <w:r>
        <w:t xml:space="preserve">The system level test cannot distinguish between different objects of perception, as we are testing a whole network composed of multiple modes. Thus, the system level test judges a more general causality: that the experience (whether near-miss or direct) causally affects the system of risk perception.</w:t>
      </w:r>
    </w:p>
    <w:p>
      <w:pPr>
        <w:pStyle w:val="BodyText"/>
      </w:pPr>
      <w:r>
        <w:t xml:space="preserve">The system- and node-level hypotheses are independent. Because of the complex causal mechanisms of networks, the cumulative effects on the system level of any given input need not match up with a singular node-level effect. Just because the risk perception network changes does not automatically mean that a particular node changes, and vice versa. Whether a node affects system structure or system changes affect singular nodes is dependent on the relations between nodes within the system. As an example of this: networks have two structural properties that researchers can compare using psychometric network tools, global strength and network variance. Global strength simply refers to the sum of the absolute node connection weights in the network, while network variance refers to changes in</w:t>
      </w:r>
      <w:r>
        <w:t xml:space="preserve"> </w:t>
      </w:r>
      <w:r>
        <w:rPr>
          <w:iCs/>
          <w:i/>
        </w:rPr>
        <w:t xml:space="preserve">any</w:t>
      </w:r>
      <w:r>
        <w:t xml:space="preserve"> </w:t>
      </w:r>
      <w:r>
        <w:t xml:space="preserve">connection weight. As van Borkulo and colleagues</w:t>
      </w:r>
      <w:r>
        <w:t xml:space="preserve"> </w:t>
      </w:r>
      <w:r>
        <w:t xml:space="preserve">(2022)</w:t>
      </w:r>
      <w:r>
        <w:t xml:space="preserve"> </w:t>
      </w:r>
      <w:r>
        <w:t xml:space="preserve">show, either measure can vary independently of the other given certain change configurations between compared networks.</w:t>
      </w:r>
    </w:p>
    <w:p>
      <w:pPr>
        <w:pStyle w:val="BodyText"/>
      </w:pPr>
      <w:r>
        <w:t xml:space="preserve">In a similar vein, we suggest that the risk perception network and its constituent nodes may vary independently, giving rise to potential difference in structural and constituent effects. Thus, we divide the hypotheses into two categories.</w:t>
      </w:r>
    </w:p>
    <w:p>
      <w:pPr>
        <w:pStyle w:val="BodyText"/>
      </w:pPr>
      <w:r>
        <w:t xml:space="preserve">Further, we introduce a proxy variable measuring direct effect, whether an individual works in the emergency services.</w:t>
      </w:r>
    </w:p>
    <w:p>
      <w:pPr>
        <w:pStyle w:val="BodyText"/>
      </w:pPr>
      <w:r>
        <w:t xml:space="preserve">Thus, we have two groups with three hypotheses each:</w:t>
      </w:r>
    </w:p>
    <w:p>
      <w:pPr>
        <w:numPr>
          <w:ilvl w:val="0"/>
          <w:numId w:val="1007"/>
        </w:numPr>
        <w:pStyle w:val="Compact"/>
      </w:pPr>
      <w:r>
        <w:t xml:space="preserve">System level:</w:t>
      </w:r>
    </w:p>
    <w:p>
      <w:pPr>
        <w:numPr>
          <w:ilvl w:val="1"/>
          <w:numId w:val="1008"/>
        </w:numPr>
        <w:pStyle w:val="Compact"/>
      </w:pPr>
      <w:r>
        <w:t xml:space="preserve">Experiencing a fire leads to a sparser risk perception network</w:t>
      </w:r>
    </w:p>
    <w:p>
      <w:pPr>
        <w:numPr>
          <w:ilvl w:val="1"/>
          <w:numId w:val="1008"/>
        </w:numPr>
        <w:pStyle w:val="Compact"/>
      </w:pPr>
      <w:r>
        <w:t xml:space="preserve">Experiencing a near-miss leads to a denser risk perception network</w:t>
      </w:r>
    </w:p>
    <w:p>
      <w:pPr>
        <w:numPr>
          <w:ilvl w:val="1"/>
          <w:numId w:val="1008"/>
        </w:numPr>
        <w:pStyle w:val="Compact"/>
      </w:pPr>
      <w:r>
        <w:t xml:space="preserve">Working in emergency services leads to a sparser risk perception network</w:t>
      </w:r>
    </w:p>
    <w:p>
      <w:pPr>
        <w:numPr>
          <w:ilvl w:val="0"/>
          <w:numId w:val="1007"/>
        </w:numPr>
        <w:pStyle w:val="Compact"/>
      </w:pPr>
      <w:r>
        <w:t xml:space="preserve">Node level:</w:t>
      </w:r>
    </w:p>
    <w:p>
      <w:pPr>
        <w:numPr>
          <w:ilvl w:val="1"/>
          <w:numId w:val="1009"/>
        </w:numPr>
        <w:pStyle w:val="Compact"/>
      </w:pPr>
      <w:r>
        <w:t xml:space="preserve">Experiencing a fire leads to a decrease in the centrality of fire in the risk perception network</w:t>
      </w:r>
    </w:p>
    <w:p>
      <w:pPr>
        <w:numPr>
          <w:ilvl w:val="1"/>
          <w:numId w:val="1009"/>
        </w:numPr>
        <w:pStyle w:val="Compact"/>
      </w:pPr>
      <w:r>
        <w:t xml:space="preserve">Experiencing a near-miss leads to an increase in the centrality of fire in the risk perception network</w:t>
      </w:r>
    </w:p>
    <w:p>
      <w:pPr>
        <w:numPr>
          <w:ilvl w:val="1"/>
          <w:numId w:val="1009"/>
        </w:numPr>
        <w:pStyle w:val="Compact"/>
      </w:pPr>
      <w:r>
        <w:t xml:space="preserve">Working in emergency services leads to a decrease in the the centrality of fire in the risk perception network</w:t>
      </w:r>
    </w:p>
    <w:bookmarkEnd w:id="27"/>
    <w:bookmarkStart w:id="53" w:name="sec-materialsandmethods"/>
    <w:p>
      <w:pPr>
        <w:pStyle w:val="Heading1"/>
      </w:pPr>
      <w:r>
        <w:t xml:space="preserve">Materials and Methods</w:t>
      </w:r>
    </w:p>
    <w:bookmarkStart w:id="51" w:name="sec-materials"/>
    <w:p>
      <w:pPr>
        <w:pStyle w:val="Heading2"/>
      </w:pPr>
      <w:r>
        <w:t xml:space="preserve">Materials</w:t>
      </w:r>
    </w:p>
    <w:bookmarkStart w:id="28" w:name="sec-datacollection"/>
    <w:p>
      <w:pPr>
        <w:pStyle w:val="Heading3"/>
      </w:pPr>
      <w:r>
        <w:t xml:space="preserve">Data Collection</w:t>
      </w:r>
    </w:p>
    <w:p>
      <w:pPr>
        <w:pStyle w:val="FirstParagraph"/>
      </w:pPr>
      <w:r>
        <w:t xml:space="preserve">We used the Finnish Emergency Services Attitudes 2023 material, consisting of N = 3055 survey respondents. The survey was collected between 17 January and 2 February 2023 as an on-line panel study, with sampling corresponding to central geographical, gender, and age distributions of the mainland Finnish population aged 18-79 years. Participation was voluntary and informed consent was retrieved.</w:t>
      </w:r>
    </w:p>
    <w:bookmarkEnd w:id="28"/>
    <w:bookmarkStart w:id="45" w:name="sec-dependentvariables"/>
    <w:p>
      <w:pPr>
        <w:pStyle w:val="Heading3"/>
      </w:pPr>
      <w:r>
        <w:t xml:space="preserve">Dependent Variables</w:t>
      </w:r>
    </w:p>
    <w:p>
      <w:pPr>
        <w:pStyle w:val="FirstParagraph"/>
      </w:pPr>
      <w:r>
        <w:rPr>
          <w:bCs/>
          <w:b/>
        </w:rPr>
        <w:t xml:space="preserve">Comment: Move descriptive statistics into Results?</w:t>
      </w:r>
    </w:p>
    <w:p>
      <w:pPr>
        <w:pStyle w:val="BodyText"/>
      </w:pPr>
      <w:r>
        <w:t xml:space="preserve">In the survey, respondents were asked to gauge the probability that they would encounter any of fourteen listed risks or threats in their personal lives. The risks are listed below, with short-hand names in brackets.</w:t>
      </w:r>
    </w:p>
    <w:p>
      <w:pPr>
        <w:numPr>
          <w:ilvl w:val="0"/>
          <w:numId w:val="1010"/>
        </w:numPr>
        <w:pStyle w:val="Compact"/>
      </w:pPr>
      <w:r>
        <w:t xml:space="preserve">“</w:t>
      </w:r>
      <w:r>
        <w:t xml:space="preserve">Extreme weather phenomena (flood, drought, storm etc.)</w:t>
      </w:r>
      <w:r>
        <w:t xml:space="preserve">”</w:t>
      </w:r>
      <w:r>
        <w:t xml:space="preserve"> </w:t>
      </w:r>
      <w:r>
        <w:t xml:space="preserve">[Weather]</w:t>
      </w:r>
    </w:p>
    <w:p>
      <w:pPr>
        <w:numPr>
          <w:ilvl w:val="0"/>
          <w:numId w:val="1010"/>
        </w:numPr>
        <w:pStyle w:val="Compact"/>
      </w:pPr>
      <w:r>
        <w:t xml:space="preserve">“</w:t>
      </w:r>
      <w:r>
        <w:t xml:space="preserve">Traffic accident</w:t>
      </w:r>
      <w:r>
        <w:t xml:space="preserve">”</w:t>
      </w:r>
      <w:r>
        <w:t xml:space="preserve"> </w:t>
      </w:r>
      <w:r>
        <w:t xml:space="preserve">[Traffic]</w:t>
      </w:r>
    </w:p>
    <w:p>
      <w:pPr>
        <w:numPr>
          <w:ilvl w:val="0"/>
          <w:numId w:val="1010"/>
        </w:numPr>
        <w:pStyle w:val="Compact"/>
      </w:pPr>
      <w:r>
        <w:t xml:space="preserve">“</w:t>
      </w:r>
      <w:r>
        <w:t xml:space="preserve">Fire</w:t>
      </w:r>
      <w:r>
        <w:t xml:space="preserve">”</w:t>
      </w:r>
      <w:r>
        <w:t xml:space="preserve"> </w:t>
      </w:r>
      <w:r>
        <w:t xml:space="preserve">[Fire]</w:t>
      </w:r>
    </w:p>
    <w:p>
      <w:pPr>
        <w:numPr>
          <w:ilvl w:val="0"/>
          <w:numId w:val="1010"/>
        </w:numPr>
        <w:pStyle w:val="Compact"/>
      </w:pPr>
      <w:r>
        <w:t xml:space="preserve">“</w:t>
      </w:r>
      <w:r>
        <w:t xml:space="preserve">Nuclear power plant disaster</w:t>
      </w:r>
      <w:r>
        <w:t xml:space="preserve">”</w:t>
      </w:r>
      <w:r>
        <w:t xml:space="preserve"> </w:t>
      </w:r>
      <w:r>
        <w:t xml:space="preserve">[Nuclear]</w:t>
      </w:r>
    </w:p>
    <w:p>
      <w:pPr>
        <w:numPr>
          <w:ilvl w:val="0"/>
          <w:numId w:val="1010"/>
        </w:numPr>
        <w:pStyle w:val="Compact"/>
      </w:pPr>
      <w:r>
        <w:t xml:space="preserve">“</w:t>
      </w:r>
      <w:r>
        <w:t xml:space="preserve">Workplace accident</w:t>
      </w:r>
      <w:r>
        <w:t xml:space="preserve">”</w:t>
      </w:r>
      <w:r>
        <w:t xml:space="preserve"> </w:t>
      </w:r>
      <w:r>
        <w:t xml:space="preserve">[Work]</w:t>
      </w:r>
    </w:p>
    <w:p>
      <w:pPr>
        <w:numPr>
          <w:ilvl w:val="0"/>
          <w:numId w:val="1010"/>
        </w:numPr>
        <w:pStyle w:val="Compact"/>
      </w:pPr>
      <w:r>
        <w:t xml:space="preserve">“</w:t>
      </w:r>
      <w:r>
        <w:t xml:space="preserve">Leisure-time accident (at home/at hobbies etc.)</w:t>
      </w:r>
      <w:r>
        <w:t xml:space="preserve">”</w:t>
      </w:r>
      <w:r>
        <w:t xml:space="preserve"> </w:t>
      </w:r>
      <w:r>
        <w:t xml:space="preserve">[Leisure]</w:t>
      </w:r>
    </w:p>
    <w:p>
      <w:pPr>
        <w:numPr>
          <w:ilvl w:val="0"/>
          <w:numId w:val="1010"/>
        </w:numPr>
        <w:pStyle w:val="Compact"/>
      </w:pPr>
      <w:r>
        <w:t xml:space="preserve">“</w:t>
      </w:r>
      <w:r>
        <w:t xml:space="preserve">Attack with weapons directed at the Finnish state</w:t>
      </w:r>
      <w:r>
        <w:t xml:space="preserve">”</w:t>
      </w:r>
      <w:r>
        <w:t xml:space="preserve"> </w:t>
      </w:r>
      <w:r>
        <w:t xml:space="preserve">[War]</w:t>
      </w:r>
    </w:p>
    <w:p>
      <w:pPr>
        <w:numPr>
          <w:ilvl w:val="0"/>
          <w:numId w:val="1010"/>
        </w:numPr>
        <w:pStyle w:val="Compact"/>
      </w:pPr>
      <w:r>
        <w:t xml:space="preserve">“</w:t>
      </w:r>
      <w:r>
        <w:t xml:space="preserve">Great environmental accident, such as an oil catastrophe</w:t>
      </w:r>
      <w:r>
        <w:t xml:space="preserve">”</w:t>
      </w:r>
      <w:r>
        <w:t xml:space="preserve"> </w:t>
      </w:r>
      <w:r>
        <w:t xml:space="preserve">[Environmental]</w:t>
      </w:r>
    </w:p>
    <w:p>
      <w:pPr>
        <w:numPr>
          <w:ilvl w:val="0"/>
          <w:numId w:val="1010"/>
        </w:numPr>
        <w:pStyle w:val="Compact"/>
      </w:pPr>
      <w:r>
        <w:t xml:space="preserve">“</w:t>
      </w:r>
      <w:r>
        <w:t xml:space="preserve">Dangerous transmittable disease, pandemic</w:t>
      </w:r>
      <w:r>
        <w:t xml:space="preserve">”</w:t>
      </w:r>
      <w:r>
        <w:t xml:space="preserve"> </w:t>
      </w:r>
      <w:r>
        <w:t xml:space="preserve">[Pandemic]</w:t>
      </w:r>
    </w:p>
    <w:p>
      <w:pPr>
        <w:numPr>
          <w:ilvl w:val="0"/>
          <w:numId w:val="1010"/>
        </w:numPr>
        <w:pStyle w:val="Compact"/>
      </w:pPr>
      <w:r>
        <w:t xml:space="preserve">“</w:t>
      </w:r>
      <w:r>
        <w:t xml:space="preserve">Illness, severely falling ill (e.g., life-threatening cancer)</w:t>
      </w:r>
      <w:r>
        <w:t xml:space="preserve">”</w:t>
      </w:r>
      <w:r>
        <w:t xml:space="preserve"> </w:t>
      </w:r>
      <w:r>
        <w:t xml:space="preserve">[Illness]</w:t>
      </w:r>
    </w:p>
    <w:p>
      <w:pPr>
        <w:numPr>
          <w:ilvl w:val="0"/>
          <w:numId w:val="1010"/>
        </w:numPr>
        <w:pStyle w:val="Compact"/>
      </w:pPr>
      <w:r>
        <w:t xml:space="preserve">“</w:t>
      </w:r>
      <w:r>
        <w:t xml:space="preserve">Act of violence</w:t>
      </w:r>
      <w:r>
        <w:t xml:space="preserve">”</w:t>
      </w:r>
      <w:r>
        <w:t xml:space="preserve"> </w:t>
      </w:r>
      <w:r>
        <w:t xml:space="preserve">[Violence]</w:t>
      </w:r>
    </w:p>
    <w:p>
      <w:pPr>
        <w:numPr>
          <w:ilvl w:val="0"/>
          <w:numId w:val="1010"/>
        </w:numPr>
        <w:pStyle w:val="Compact"/>
      </w:pPr>
      <w:r>
        <w:t xml:space="preserve">“</w:t>
      </w:r>
      <w:r>
        <w:t xml:space="preserve">Operational failure directed at e.g., electrical, water, or food supply, information traffic or the informational system</w:t>
      </w:r>
      <w:r>
        <w:t xml:space="preserve">”</w:t>
      </w:r>
      <w:r>
        <w:t xml:space="preserve"> </w:t>
      </w:r>
      <w:r>
        <w:t xml:space="preserve">[Operational]</w:t>
      </w:r>
    </w:p>
    <w:p>
      <w:pPr>
        <w:numPr>
          <w:ilvl w:val="0"/>
          <w:numId w:val="1010"/>
        </w:numPr>
        <w:pStyle w:val="Compact"/>
      </w:pPr>
      <w:r>
        <w:t xml:space="preserve">“</w:t>
      </w:r>
      <w:r>
        <w:t xml:space="preserve">Influencing through information, fake news, other so-called hybrid threats</w:t>
      </w:r>
      <w:r>
        <w:t xml:space="preserve">”</w:t>
      </w:r>
      <w:r>
        <w:t xml:space="preserve"> </w:t>
      </w:r>
      <w:r>
        <w:t xml:space="preserve">[Hybrid]</w:t>
      </w:r>
    </w:p>
    <w:p>
      <w:pPr>
        <w:numPr>
          <w:ilvl w:val="0"/>
          <w:numId w:val="1010"/>
        </w:numPr>
        <w:pStyle w:val="Compact"/>
      </w:pPr>
      <w:r>
        <w:t xml:space="preserve">“</w:t>
      </w:r>
      <w:r>
        <w:t xml:space="preserve">Growth of tensions between social groups, polarization</w:t>
      </w:r>
      <w:r>
        <w:t xml:space="preserve">”</w:t>
      </w:r>
      <w:r>
        <w:t xml:space="preserve"> </w:t>
      </w:r>
      <w:r>
        <w:t xml:space="preserve">[Polarization]</w:t>
      </w:r>
    </w:p>
    <w:p>
      <w:pPr>
        <w:pStyle w:val="FirstParagraph"/>
      </w:pPr>
      <w:r>
        <w:t xml:space="preserve">For each variable, respondents judged their perceived subjective probability on a four-point scale as</w:t>
      </w:r>
      <w:r>
        <w:t xml:space="preserve"> </w:t>
      </w:r>
      <w:r>
        <w:rPr>
          <w:iCs/>
          <w:i/>
        </w:rPr>
        <w:t xml:space="preserve">very probable</w:t>
      </w:r>
      <w:r>
        <w:t xml:space="preserve">,</w:t>
      </w:r>
      <w:r>
        <w:t xml:space="preserve"> </w:t>
      </w:r>
      <w:r>
        <w:rPr>
          <w:iCs/>
          <w:i/>
        </w:rPr>
        <w:t xml:space="preserve">somewhat probable</w:t>
      </w:r>
      <w:r>
        <w:t xml:space="preserve">,</w:t>
      </w:r>
      <w:r>
        <w:t xml:space="preserve"> </w:t>
      </w:r>
      <w:r>
        <w:rPr>
          <w:iCs/>
          <w:i/>
        </w:rPr>
        <w:t xml:space="preserve">somewhat improbable</w:t>
      </w:r>
      <w:r>
        <w:t xml:space="preserve">,</w:t>
      </w:r>
      <w:r>
        <w:t xml:space="preserve"> </w:t>
      </w:r>
      <w:r>
        <w:rPr>
          <w:iCs/>
          <w:i/>
        </w:rPr>
        <w:t xml:space="preserve">very improbable</w:t>
      </w:r>
      <w:r>
        <w:t xml:space="preserve"> </w:t>
      </w:r>
      <w:r>
        <w:t xml:space="preserve">and</w:t>
      </w:r>
      <w:r>
        <w:t xml:space="preserve"> </w:t>
      </w:r>
      <w:r>
        <w:rPr>
          <w:iCs/>
          <w:i/>
        </w:rPr>
        <w:t xml:space="preserve">cannot say</w:t>
      </w:r>
      <w:r>
        <w:t xml:space="preserve">. These variables are later referred to as</w:t>
      </w:r>
      <w:r>
        <w:t xml:space="preserve"> </w:t>
      </w:r>
      <w:r>
        <w:rPr>
          <w:iCs/>
          <w:i/>
        </w:rPr>
        <w:t xml:space="preserve">risk perception variables</w:t>
      </w:r>
      <w:r>
        <w:t xml:space="preserve">. Excluding the uncertain responses as missing values, the distributions are presented in</w:t>
      </w:r>
      <w:r>
        <w:t xml:space="preserve"> </w:t>
      </w:r>
      <w:hyperlink w:anchor="fig-dependents">
        <w:r>
          <w:rPr>
            <w:rStyle w:val="Hyperlink"/>
          </w:rPr>
          <w:t xml:space="preserve">Figure 1</w:t>
        </w:r>
      </w:hyperlink>
      <w:r>
        <w:t xml:space="preserve">.</w:t>
      </w:r>
    </w:p>
    <w:tbl>
      <w:tblPr>
        <w:tblStyle w:val="Table"/>
        <w:tblW w:type="pct" w:w="5000"/>
        <w:tblLook w:firstRow="0" w:lastRow="0" w:firstColumn="0" w:lastColumn="0" w:noHBand="0" w:noVBand="0" w:val="0000"/>
        <w:jc w:val="start"/>
      </w:tblPr>
      <w:tblGrid>
        <w:gridCol w:w="7920"/>
      </w:tblGrid>
      <w:tr>
        <w:tc>
          <w:tcPr/>
          <w:bookmarkStart w:id="43" w:name="fig-dependents"/>
          <w:tbl>
            <w:tblPr>
              <w:tblStyle w:val="Table"/>
              <w:tblW w:type="pct" w:w="4995"/>
              <w:tblLook w:firstRow="0" w:lastRow="0" w:firstColumn="0" w:lastColumn="0" w:noHBand="0" w:noVBand="0" w:val="0000"/>
              <w:jc w:val="start"/>
            </w:tblPr>
            <w:tblGrid>
              <w:gridCol w:w="2637"/>
              <w:gridCol w:w="2637"/>
              <w:gridCol w:w="2637"/>
            </w:tblGrid>
            <w:tr>
              <w:tc>
                <w:tcPr/>
                <w:tbl>
                  <w:tblPr>
                    <w:tblStyle w:val="Table"/>
                    <w:tblW w:type="pct" w:w="5000"/>
                    <w:tblLook w:firstRow="0" w:lastRow="0" w:firstColumn="0" w:lastColumn="0" w:noHBand="0" w:noVBand="0" w:val="0000"/>
                    <w:jc w:val="start"/>
                  </w:tblPr>
                  <w:tblGrid>
                    <w:gridCol w:w="7920"/>
                  </w:tblGrid>
                  <w:tr>
                    <w:tc>
                      <w:tcPr/>
                      <w:bookmarkStart w:id="29" w:name="fig-dependents-1"/>
                      <w:p>
                        <w:pPr>
                          <w:jc w:val="center"/>
                          <w:jc w:val="center"/>
                          <w:jc w:val="center"/>
                        </w:pPr>
                      </w:p>
                      <w:p>
                        <w:pPr>
                          <w:jc w:val="center"/>
                          <w:jc w:val="center"/>
                          <w:jc w:val="center"/>
                        </w:pPr>
                        <w:pPr>
                          <w:jc w:val="start"/>
                          <w:spacing w:before="200"/>
                          <w:pStyle w:val="ImageCaption"/>
                        </w:pPr>
                        <w:r>
                          <w:t xml:space="preserve">(a) Weather</w:t>
                        </w:r>
                      </w:p>
                      <w:bookmarkEnd w:id="29"/>
                    </w:tc>
                  </w:tr>
                </w:tbl>
                <w:p/>
              </w:tc>
              <w:tc>
                <w:tcPr/>
                <w:tbl>
                  <w:tblPr>
                    <w:tblStyle w:val="Table"/>
                    <w:tblW w:type="pct" w:w="5000"/>
                    <w:tblLook w:firstRow="0" w:lastRow="0" w:firstColumn="0" w:lastColumn="0" w:noHBand="0" w:noVBand="0" w:val="0000"/>
                    <w:jc w:val="start"/>
                  </w:tblPr>
                  <w:tblGrid>
                    <w:gridCol w:w="7920"/>
                  </w:tblGrid>
                  <w:tr>
                    <w:tc>
                      <w:tcPr/>
                      <w:bookmarkStart w:id="30" w:name="fig-dependents-2"/>
                      <w:p>
                        <w:pPr>
                          <w:jc w:val="center"/>
                          <w:jc w:val="center"/>
                          <w:jc w:val="center"/>
                        </w:pPr>
                      </w:p>
                      <w:p>
                        <w:pPr>
                          <w:jc w:val="center"/>
                          <w:jc w:val="center"/>
                          <w:jc w:val="center"/>
                        </w:pPr>
                        <w:pPr>
                          <w:jc w:val="start"/>
                          <w:spacing w:before="200"/>
                          <w:pStyle w:val="ImageCaption"/>
                        </w:pPr>
                        <w:r>
                          <w:t xml:space="preserve">(b) Traffic</w:t>
                        </w:r>
                      </w:p>
                      <w:bookmarkEnd w:id="30"/>
                    </w:tc>
                  </w:tr>
                </w:tbl>
                <w:p/>
              </w:tc>
              <w:tc>
                <w:tcPr/>
                <w:tbl>
                  <w:tblPr>
                    <w:tblStyle w:val="Table"/>
                    <w:tblW w:type="pct" w:w="5000"/>
                    <w:tblLook w:firstRow="0" w:lastRow="0" w:firstColumn="0" w:lastColumn="0" w:noHBand="0" w:noVBand="0" w:val="0000"/>
                    <w:jc w:val="start"/>
                  </w:tblPr>
                  <w:tblGrid>
                    <w:gridCol w:w="7920"/>
                  </w:tblGrid>
                  <w:tr>
                    <w:tc>
                      <w:tcPr/>
                      <w:bookmarkStart w:id="31" w:name="fig-dependents-3"/>
                      <w:p>
                        <w:pPr>
                          <w:jc w:val="center"/>
                          <w:jc w:val="center"/>
                          <w:jc w:val="center"/>
                        </w:pPr>
                      </w:p>
                      <w:p>
                        <w:pPr>
                          <w:jc w:val="center"/>
                          <w:jc w:val="center"/>
                          <w:jc w:val="center"/>
                        </w:pPr>
                        <w:pPr>
                          <w:jc w:val="start"/>
                          <w:spacing w:before="200"/>
                          <w:pStyle w:val="ImageCaption"/>
                        </w:pPr>
                        <w:r>
                          <w:t xml:space="preserve">(c) Fire</w:t>
                        </w:r>
                      </w:p>
                      <w:bookmarkEnd w:id="31"/>
                    </w:tc>
                  </w:tr>
                </w:tbl>
                <w:p/>
              </w:tc>
            </w:tr>
          </w:tbl>
          <w:p>
            <w:pPr>
              <w:framePr w:w="0" w:h="0" w:vAnchor="margin" w:hAnchor="margin" w:xAlign="right" w:yAlign="top"/>
            </w:pPr>
          </w:p>
          <w:tbl>
            <w:tblPr>
              <w:tblStyle w:val="Table"/>
              <w:tblW w:type="pct" w:w="4995"/>
              <w:tblLook w:firstRow="0" w:lastRow="0" w:firstColumn="0" w:lastColumn="0" w:noHBand="0" w:noVBand="0" w:val="0000"/>
              <w:jc w:val="start"/>
            </w:tblPr>
            <w:tblGrid>
              <w:gridCol w:w="2637"/>
              <w:gridCol w:w="2637"/>
              <w:gridCol w:w="2637"/>
            </w:tblGrid>
            <w:tr>
              <w:tc>
                <w:tcPr/>
                <w:tbl>
                  <w:tblPr>
                    <w:tblStyle w:val="Table"/>
                    <w:tblW w:type="pct" w:w="5000"/>
                    <w:tblLook w:firstRow="0" w:lastRow="0" w:firstColumn="0" w:lastColumn="0" w:noHBand="0" w:noVBand="0" w:val="0000"/>
                    <w:jc w:val="start"/>
                  </w:tblPr>
                  <w:tblGrid>
                    <w:gridCol w:w="7920"/>
                  </w:tblGrid>
                  <w:tr>
                    <w:tc>
                      <w:tcPr/>
                      <w:bookmarkStart w:id="32" w:name="fig-dependents-4"/>
                      <w:p>
                        <w:pPr>
                          <w:jc w:val="center"/>
                          <w:jc w:val="center"/>
                          <w:jc w:val="center"/>
                        </w:pPr>
                      </w:p>
                      <w:p>
                        <w:pPr>
                          <w:jc w:val="center"/>
                          <w:jc w:val="center"/>
                          <w:jc w:val="center"/>
                        </w:pPr>
                        <w:pPr>
                          <w:jc w:val="start"/>
                          <w:spacing w:before="200"/>
                          <w:pStyle w:val="ImageCaption"/>
                        </w:pPr>
                        <w:r>
                          <w:t xml:space="preserve">(d) Nuclear</w:t>
                        </w:r>
                      </w:p>
                      <w:bookmarkEnd w:id="32"/>
                    </w:tc>
                  </w:tr>
                </w:tbl>
                <w:p/>
              </w:tc>
              <w:tc>
                <w:tcPr/>
                <w:tbl>
                  <w:tblPr>
                    <w:tblStyle w:val="Table"/>
                    <w:tblW w:type="pct" w:w="5000"/>
                    <w:tblLook w:firstRow="0" w:lastRow="0" w:firstColumn="0" w:lastColumn="0" w:noHBand="0" w:noVBand="0" w:val="0000"/>
                    <w:jc w:val="start"/>
                  </w:tblPr>
                  <w:tblGrid>
                    <w:gridCol w:w="7920"/>
                  </w:tblGrid>
                  <w:tr>
                    <w:tc>
                      <w:tcPr/>
                      <w:bookmarkStart w:id="33" w:name="fig-dependents-5"/>
                      <w:p>
                        <w:pPr>
                          <w:jc w:val="center"/>
                          <w:jc w:val="center"/>
                          <w:jc w:val="center"/>
                        </w:pPr>
                      </w:p>
                      <w:p>
                        <w:pPr>
                          <w:jc w:val="center"/>
                          <w:jc w:val="center"/>
                          <w:jc w:val="center"/>
                        </w:pPr>
                        <w:pPr>
                          <w:jc w:val="start"/>
                          <w:spacing w:before="200"/>
                          <w:pStyle w:val="ImageCaption"/>
                        </w:pPr>
                        <w:r>
                          <w:t xml:space="preserve">(e) Work</w:t>
                        </w:r>
                      </w:p>
                      <w:bookmarkEnd w:id="33"/>
                    </w:tc>
                  </w:tr>
                </w:tbl>
                <w:p/>
              </w:tc>
              <w:tc>
                <w:tcPr/>
                <w:tbl>
                  <w:tblPr>
                    <w:tblStyle w:val="Table"/>
                    <w:tblW w:type="pct" w:w="5000"/>
                    <w:tblLook w:firstRow="0" w:lastRow="0" w:firstColumn="0" w:lastColumn="0" w:noHBand="0" w:noVBand="0" w:val="0000"/>
                    <w:jc w:val="start"/>
                  </w:tblPr>
                  <w:tblGrid>
                    <w:gridCol w:w="7920"/>
                  </w:tblGrid>
                  <w:tr>
                    <w:tc>
                      <w:tcPr/>
                      <w:bookmarkStart w:id="34" w:name="fig-dependents-6"/>
                      <w:p>
                        <w:pPr>
                          <w:jc w:val="center"/>
                          <w:jc w:val="center"/>
                          <w:jc w:val="center"/>
                        </w:pPr>
                      </w:p>
                      <w:p>
                        <w:pPr>
                          <w:jc w:val="center"/>
                          <w:jc w:val="center"/>
                          <w:jc w:val="center"/>
                        </w:pPr>
                        <w:pPr>
                          <w:jc w:val="start"/>
                          <w:spacing w:before="200"/>
                          <w:pStyle w:val="ImageCaption"/>
                        </w:pPr>
                        <w:r>
                          <w:t xml:space="preserve">(f) Leisure</w:t>
                        </w:r>
                      </w:p>
                      <w:bookmarkEnd w:id="34"/>
                    </w:tc>
                  </w:tr>
                </w:tbl>
                <w:p/>
              </w:tc>
            </w:tr>
          </w:tbl>
          <w:p>
            <w:pPr>
              <w:framePr w:w="0" w:h="0" w:vAnchor="margin" w:hAnchor="margin" w:xAlign="right" w:yAlign="top"/>
            </w:pPr>
          </w:p>
          <w:tbl>
            <w:tblPr>
              <w:tblStyle w:val="Table"/>
              <w:tblW w:type="pct" w:w="4995"/>
              <w:tblLook w:firstRow="0" w:lastRow="0" w:firstColumn="0" w:lastColumn="0" w:noHBand="0" w:noVBand="0" w:val="0000"/>
              <w:jc w:val="start"/>
            </w:tblPr>
            <w:tblGrid>
              <w:gridCol w:w="2637"/>
              <w:gridCol w:w="2637"/>
              <w:gridCol w:w="2637"/>
            </w:tblGrid>
            <w:tr>
              <w:tc>
                <w:tcPr/>
                <w:tbl>
                  <w:tblPr>
                    <w:tblStyle w:val="Table"/>
                    <w:tblW w:type="pct" w:w="5000"/>
                    <w:tblLook w:firstRow="0" w:lastRow="0" w:firstColumn="0" w:lastColumn="0" w:noHBand="0" w:noVBand="0" w:val="0000"/>
                    <w:jc w:val="start"/>
                  </w:tblPr>
                  <w:tblGrid>
                    <w:gridCol w:w="7920"/>
                  </w:tblGrid>
                  <w:tr>
                    <w:tc>
                      <w:tcPr/>
                      <w:bookmarkStart w:id="35" w:name="fig-dependents-7"/>
                      <w:p>
                        <w:pPr>
                          <w:jc w:val="center"/>
                          <w:jc w:val="center"/>
                          <w:jc w:val="center"/>
                        </w:pPr>
                      </w:p>
                      <w:p>
                        <w:pPr>
                          <w:jc w:val="center"/>
                          <w:jc w:val="center"/>
                          <w:jc w:val="center"/>
                        </w:pPr>
                        <w:pPr>
                          <w:jc w:val="start"/>
                          <w:spacing w:before="200"/>
                          <w:pStyle w:val="ImageCaption"/>
                        </w:pPr>
                        <w:r>
                          <w:t xml:space="preserve">(g) War</w:t>
                        </w:r>
                      </w:p>
                      <w:bookmarkEnd w:id="35"/>
                    </w:tc>
                  </w:tr>
                </w:tbl>
                <w:p/>
              </w:tc>
              <w:tc>
                <w:tcPr/>
                <w:tbl>
                  <w:tblPr>
                    <w:tblStyle w:val="Table"/>
                    <w:tblW w:type="pct" w:w="5000"/>
                    <w:tblLook w:firstRow="0" w:lastRow="0" w:firstColumn="0" w:lastColumn="0" w:noHBand="0" w:noVBand="0" w:val="0000"/>
                    <w:jc w:val="start"/>
                  </w:tblPr>
                  <w:tblGrid>
                    <w:gridCol w:w="7920"/>
                  </w:tblGrid>
                  <w:tr>
                    <w:tc>
                      <w:tcPr/>
                      <w:bookmarkStart w:id="36" w:name="fig-dependents-8"/>
                      <w:p>
                        <w:pPr>
                          <w:jc w:val="center"/>
                          <w:jc w:val="center"/>
                          <w:jc w:val="center"/>
                        </w:pPr>
                      </w:p>
                      <w:p>
                        <w:pPr>
                          <w:jc w:val="center"/>
                          <w:jc w:val="center"/>
                          <w:jc w:val="center"/>
                        </w:pPr>
                        <w:pPr>
                          <w:jc w:val="start"/>
                          <w:spacing w:before="200"/>
                          <w:pStyle w:val="ImageCaption"/>
                        </w:pPr>
                        <w:r>
                          <w:t xml:space="preserve">(h) Environmental</w:t>
                        </w:r>
                      </w:p>
                      <w:bookmarkEnd w:id="36"/>
                    </w:tc>
                  </w:tr>
                </w:tbl>
                <w:p/>
              </w:tc>
              <w:tc>
                <w:tcPr/>
                <w:tbl>
                  <w:tblPr>
                    <w:tblStyle w:val="Table"/>
                    <w:tblW w:type="pct" w:w="5000"/>
                    <w:tblLook w:firstRow="0" w:lastRow="0" w:firstColumn="0" w:lastColumn="0" w:noHBand="0" w:noVBand="0" w:val="0000"/>
                    <w:jc w:val="start"/>
                  </w:tblPr>
                  <w:tblGrid>
                    <w:gridCol w:w="7920"/>
                  </w:tblGrid>
                  <w:tr>
                    <w:tc>
                      <w:tcPr/>
                      <w:bookmarkStart w:id="37" w:name="fig-dependents-9"/>
                      <w:p>
                        <w:pPr>
                          <w:jc w:val="center"/>
                          <w:jc w:val="center"/>
                          <w:jc w:val="center"/>
                        </w:pPr>
                      </w:p>
                      <w:p>
                        <w:pPr>
                          <w:jc w:val="center"/>
                          <w:jc w:val="center"/>
                          <w:jc w:val="center"/>
                        </w:pPr>
                        <w:pPr>
                          <w:jc w:val="start"/>
                          <w:spacing w:before="200"/>
                          <w:pStyle w:val="ImageCaption"/>
                        </w:pPr>
                        <w:r>
                          <w:t xml:space="preserve">(i) Pandemic</w:t>
                        </w:r>
                      </w:p>
                      <w:bookmarkEnd w:id="37"/>
                    </w:tc>
                  </w:tr>
                </w:tbl>
                <w:p/>
              </w:tc>
            </w:tr>
          </w:tbl>
          <w:p>
            <w:pPr>
              <w:framePr w:w="0" w:h="0" w:vAnchor="margin" w:hAnchor="margin" w:xAlign="right" w:yAlign="top"/>
            </w:pPr>
          </w:p>
          <w:tbl>
            <w:tblPr>
              <w:tblStyle w:val="Table"/>
              <w:tblW w:type="pct" w:w="4995"/>
              <w:tblLook w:firstRow="0" w:lastRow="0" w:firstColumn="0" w:lastColumn="0" w:noHBand="0" w:noVBand="0" w:val="0000"/>
              <w:jc w:val="start"/>
            </w:tblPr>
            <w:tblGrid>
              <w:gridCol w:w="2637"/>
              <w:gridCol w:w="2637"/>
              <w:gridCol w:w="2637"/>
            </w:tblGrid>
            <w:tr>
              <w:tc>
                <w:tcPr/>
                <w:tbl>
                  <w:tblPr>
                    <w:tblStyle w:val="Table"/>
                    <w:tblW w:type="pct" w:w="5000"/>
                    <w:tblLook w:firstRow="0" w:lastRow="0" w:firstColumn="0" w:lastColumn="0" w:noHBand="0" w:noVBand="0" w:val="0000"/>
                    <w:jc w:val="start"/>
                  </w:tblPr>
                  <w:tblGrid>
                    <w:gridCol w:w="7920"/>
                  </w:tblGrid>
                  <w:tr>
                    <w:tc>
                      <w:tcPr/>
                      <w:bookmarkStart w:id="38" w:name="fig-dependents-10"/>
                      <w:p>
                        <w:pPr>
                          <w:jc w:val="center"/>
                          <w:jc w:val="center"/>
                          <w:jc w:val="center"/>
                        </w:pPr>
                      </w:p>
                      <w:p>
                        <w:pPr>
                          <w:jc w:val="center"/>
                          <w:jc w:val="center"/>
                          <w:jc w:val="center"/>
                        </w:pPr>
                        <w:pPr>
                          <w:jc w:val="start"/>
                          <w:spacing w:before="200"/>
                          <w:pStyle w:val="ImageCaption"/>
                        </w:pPr>
                        <w:r>
                          <w:t xml:space="preserve">(j) Illness</w:t>
                        </w:r>
                      </w:p>
                      <w:bookmarkEnd w:id="38"/>
                    </w:tc>
                  </w:tr>
                </w:tbl>
                <w:p/>
              </w:tc>
              <w:tc>
                <w:tcPr/>
                <w:tbl>
                  <w:tblPr>
                    <w:tblStyle w:val="Table"/>
                    <w:tblW w:type="pct" w:w="5000"/>
                    <w:tblLook w:firstRow="0" w:lastRow="0" w:firstColumn="0" w:lastColumn="0" w:noHBand="0" w:noVBand="0" w:val="0000"/>
                    <w:jc w:val="start"/>
                  </w:tblPr>
                  <w:tblGrid>
                    <w:gridCol w:w="7920"/>
                  </w:tblGrid>
                  <w:tr>
                    <w:tc>
                      <w:tcPr/>
                      <w:bookmarkStart w:id="39" w:name="fig-dependents-11"/>
                      <w:p>
                        <w:pPr>
                          <w:jc w:val="center"/>
                          <w:jc w:val="center"/>
                          <w:jc w:val="center"/>
                        </w:pPr>
                      </w:p>
                      <w:p>
                        <w:pPr>
                          <w:jc w:val="center"/>
                          <w:jc w:val="center"/>
                          <w:jc w:val="center"/>
                        </w:pPr>
                        <w:pPr>
                          <w:jc w:val="start"/>
                          <w:spacing w:before="200"/>
                          <w:pStyle w:val="ImageCaption"/>
                        </w:pPr>
                        <w:r>
                          <w:t xml:space="preserve">(k) Violence</w:t>
                        </w:r>
                      </w:p>
                      <w:bookmarkEnd w:id="39"/>
                    </w:tc>
                  </w:tr>
                </w:tbl>
                <w:p/>
              </w:tc>
              <w:tc>
                <w:tcPr/>
                <w:tbl>
                  <w:tblPr>
                    <w:tblStyle w:val="Table"/>
                    <w:tblW w:type="pct" w:w="5000"/>
                    <w:tblLook w:firstRow="0" w:lastRow="0" w:firstColumn="0" w:lastColumn="0" w:noHBand="0" w:noVBand="0" w:val="0000"/>
                    <w:jc w:val="start"/>
                  </w:tblPr>
                  <w:tblGrid>
                    <w:gridCol w:w="7920"/>
                  </w:tblGrid>
                  <w:tr>
                    <w:tc>
                      <w:tcPr/>
                      <w:bookmarkStart w:id="40" w:name="fig-dependents-12"/>
                      <w:p>
                        <w:pPr>
                          <w:jc w:val="center"/>
                          <w:jc w:val="center"/>
                          <w:jc w:val="center"/>
                        </w:pPr>
                      </w:p>
                      <w:p>
                        <w:pPr>
                          <w:jc w:val="center"/>
                          <w:jc w:val="center"/>
                          <w:jc w:val="center"/>
                        </w:pPr>
                        <w:pPr>
                          <w:jc w:val="start"/>
                          <w:spacing w:before="200"/>
                          <w:pStyle w:val="ImageCaption"/>
                        </w:pPr>
                        <w:r>
                          <w:t xml:space="preserve">(l) Operational</w:t>
                        </w:r>
                      </w:p>
                      <w:bookmarkEnd w:id="40"/>
                    </w:tc>
                  </w:tr>
                </w:tbl>
                <w:p/>
              </w:tc>
            </w:tr>
          </w:tbl>
          <w:p>
            <w:pPr>
              <w:framePr w:w="0" w:h="0" w:vAnchor="margin" w:hAnchor="margin" w:xAlign="right" w:yAlign="top"/>
            </w:pPr>
          </w:p>
          <w:tbl>
            <w:tblPr>
              <w:tblStyle w:val="Table"/>
              <w:tblW w:type="pct" w:w="3330"/>
              <w:tblLook w:firstRow="0" w:lastRow="0" w:firstColumn="0" w:lastColumn="0" w:noHBand="0" w:noVBand="0" w:val="0000"/>
              <w:jc w:val="start"/>
            </w:tblPr>
            <w:tblGrid>
              <w:gridCol w:w="2637"/>
              <w:gridCol w:w="2637"/>
            </w:tblGrid>
            <w:tr>
              <w:tc>
                <w:tcPr/>
                <w:tbl>
                  <w:tblPr>
                    <w:tblStyle w:val="Table"/>
                    <w:tblW w:type="pct" w:w="5000"/>
                    <w:tblLook w:firstRow="0" w:lastRow="0" w:firstColumn="0" w:lastColumn="0" w:noHBand="0" w:noVBand="0" w:val="0000"/>
                    <w:jc w:val="start"/>
                  </w:tblPr>
                  <w:tblGrid>
                    <w:gridCol w:w="7920"/>
                  </w:tblGrid>
                  <w:tr>
                    <w:tc>
                      <w:tcPr/>
                      <w:bookmarkStart w:id="41" w:name="fig-dependents-13"/>
                      <w:p>
                        <w:pPr>
                          <w:jc w:val="center"/>
                          <w:jc w:val="center"/>
                          <w:jc w:val="center"/>
                        </w:pPr>
                      </w:p>
                      <w:p>
                        <w:pPr>
                          <w:jc w:val="center"/>
                          <w:jc w:val="center"/>
                          <w:jc w:val="center"/>
                        </w:pPr>
                        <w:pPr>
                          <w:jc w:val="start"/>
                          <w:spacing w:before="200"/>
                          <w:pStyle w:val="ImageCaption"/>
                        </w:pPr>
                        <w:r>
                          <w:t xml:space="preserve">(m) Hybrid</w:t>
                        </w:r>
                      </w:p>
                      <w:bookmarkEnd w:id="41"/>
                    </w:tc>
                  </w:tr>
                </w:tbl>
                <w:p/>
              </w:tc>
              <w:tc>
                <w:tcPr/>
                <w:tbl>
                  <w:tblPr>
                    <w:tblStyle w:val="Table"/>
                    <w:tblW w:type="pct" w:w="5000"/>
                    <w:tblLook w:firstRow="0" w:lastRow="0" w:firstColumn="0" w:lastColumn="0" w:noHBand="0" w:noVBand="0" w:val="0000"/>
                    <w:jc w:val="start"/>
                  </w:tblPr>
                  <w:tblGrid>
                    <w:gridCol w:w="7920"/>
                  </w:tblGrid>
                  <w:tr>
                    <w:tc>
                      <w:tcPr/>
                      <w:bookmarkStart w:id="42" w:name="fig-dependents-14"/>
                      <w:p>
                        <w:pPr>
                          <w:jc w:val="center"/>
                          <w:jc w:val="center"/>
                          <w:jc w:val="center"/>
                        </w:pPr>
                      </w:p>
                      <w:p>
                        <w:pPr>
                          <w:jc w:val="center"/>
                          <w:jc w:val="center"/>
                          <w:jc w:val="center"/>
                        </w:pPr>
                        <w:pPr>
                          <w:jc w:val="start"/>
                          <w:spacing w:before="200"/>
                          <w:pStyle w:val="ImageCaption"/>
                        </w:pPr>
                        <w:r>
                          <w:t xml:space="preserve">(n) Polarization</w:t>
                        </w:r>
                      </w:p>
                      <w:bookmarkEnd w:id="42"/>
                    </w:tc>
                  </w:tr>
                </w:tbl>
                <w:p/>
              </w:tc>
            </w:tr>
          </w:tbl>
          <w:p>
            <w:pPr>
              <w:jc w:val="center"/>
            </w:pPr>
            <w:pPr>
              <w:jc w:val="start"/>
              <w:spacing w:before="200"/>
              <w:pStyle w:val="ImageCaption"/>
            </w:pPr>
            <w:pPr>
              <w:spacing w:before="200"/>
              <w:pStyle w:val="ImageCaption"/>
            </w:pPr>
            <w:r>
              <w:t xml:space="preserve">Figure 1: Distributions of risk perception variables</w:t>
            </w:r>
          </w:p>
          <w:bookmarkEnd w:id="43"/>
        </w:tc>
      </w:tr>
    </w:tbl>
    <w:p>
      <w:pPr>
        <w:pStyle w:val="BodyText"/>
      </w:pPr>
      <w:r>
        <w:t xml:space="preserve">The risks judged to be most likely on average were pandemics, illnesses, and hybrid threats. The least likely experiences were nuclear power plant disasters, wars against Finland, and workplace accidents. Judging from missing values, respondents were most certain about the probability of experiencing extreme weather phenomena, and least certain about workplace accidents (</w:t>
      </w:r>
      <w:hyperlink w:anchor="fig-na-analysis">
        <w:r>
          <w:rPr>
            <w:rStyle w:val="Hyperlink"/>
          </w:rPr>
          <w:t xml:space="preserve">Figure 2</w:t>
        </w:r>
      </w:hyperlink>
      <w:r>
        <w:t xml:space="preserve">).</w:t>
      </w:r>
    </w:p>
    <w:tbl>
      <w:tblPr>
        <w:tblStyle w:val="Table"/>
        <w:tblW w:type="pct" w:w="5000"/>
        <w:tblLook w:firstRow="0" w:lastRow="0" w:firstColumn="0" w:lastColumn="0" w:noHBand="0" w:noVBand="0" w:val="0000"/>
        <w:jc w:val="start"/>
      </w:tblPr>
      <w:tblGrid>
        <w:gridCol w:w="7920"/>
      </w:tblGrid>
      <w:tr>
        <w:tc>
          <w:tcPr/>
          <w:bookmarkStart w:id="44" w:name="fig-na-analysis"/>
          <w:p>
            <w:pPr>
              <w:jc w:val="center"/>
            </w:pPr>
          </w:p>
          <w:p>
            <w:pPr>
              <w:jc w:val="center"/>
            </w:pPr>
            <w:pPr>
              <w:jc w:val="start"/>
              <w:spacing w:before="200"/>
              <w:pStyle w:val="ImageCaption"/>
            </w:pPr>
            <w:r>
              <w:t xml:space="preserve">Figure 2: Missing values by variable</w:t>
            </w:r>
          </w:p>
          <w:bookmarkEnd w:id="44"/>
        </w:tc>
      </w:tr>
    </w:tbl>
    <w:bookmarkEnd w:id="45"/>
    <w:bookmarkStart w:id="50" w:name="sec-controlvariables"/>
    <w:p>
      <w:pPr>
        <w:pStyle w:val="Heading3"/>
      </w:pPr>
      <w:r>
        <w:t xml:space="preserve">Control Variables</w:t>
      </w:r>
    </w:p>
    <w:p>
      <w:pPr>
        <w:pStyle w:val="FirstParagraph"/>
      </w:pPr>
      <w:r>
        <w:rPr>
          <w:bCs/>
          <w:b/>
        </w:rPr>
        <w:t xml:space="preserve">Comment: Remove gender, age and degree of urbanisation completely? Only used to check that data represents general population, not used in main analysis!</w:t>
      </w:r>
    </w:p>
    <w:p>
      <w:pPr>
        <w:pStyle w:val="BodyText"/>
      </w:pPr>
      <w:r>
        <w:t xml:space="preserve">We used three substantive control variables:</w:t>
      </w:r>
    </w:p>
    <w:p>
      <w:pPr>
        <w:numPr>
          <w:ilvl w:val="0"/>
          <w:numId w:val="1011"/>
        </w:numPr>
        <w:pStyle w:val="Compact"/>
      </w:pPr>
      <w:r>
        <w:t xml:space="preserve">Direct experience of fire</w:t>
      </w:r>
    </w:p>
    <w:p>
      <w:pPr>
        <w:numPr>
          <w:ilvl w:val="0"/>
          <w:numId w:val="1011"/>
        </w:numPr>
        <w:pStyle w:val="Compact"/>
      </w:pPr>
      <w:r>
        <w:t xml:space="preserve">Near miss-experience of fire</w:t>
      </w:r>
    </w:p>
    <w:p>
      <w:pPr>
        <w:numPr>
          <w:ilvl w:val="0"/>
          <w:numId w:val="1011"/>
        </w:numPr>
        <w:pStyle w:val="Compact"/>
      </w:pPr>
      <w:r>
        <w:t xml:space="preserve">Emergency services employment</w:t>
      </w:r>
    </w:p>
    <w:p>
      <w:pPr>
        <w:pStyle w:val="FirstParagraph"/>
      </w:pPr>
      <w:r>
        <w:t xml:space="preserve">Respondents were asked whether they had had a direct experience of a fire in the past twelve months. They were similarly asked whether they had experienced a near-miss situation, i.e., a scenario that could have ended in a fire but did not. Finally, the respondents were asked whether they work in the emergency services in any capacity. These three variables constitute our substantive control variables, and operationalise three distinct hypotheses (see</w:t>
      </w:r>
      <w:r>
        <w:t xml:space="preserve"> </w:t>
      </w:r>
      <w:hyperlink w:anchor="sec-hypotheses">
        <w:r>
          <w:rPr>
            <w:rStyle w:val="Hyperlink"/>
          </w:rPr>
          <w:t xml:space="preserve">Section 3</w:t>
        </w:r>
      </w:hyperlink>
      <w:r>
        <w:t xml:space="preserve">) regarding the network structure. Their descriptive statistics are presented in</w:t>
      </w:r>
      <w:r>
        <w:t xml:space="preserve"> </w:t>
      </w:r>
      <w:hyperlink w:anchor="fig-substantive-desc">
        <w:r>
          <w:rPr>
            <w:rStyle w:val="Hyperlink"/>
          </w:rPr>
          <w:t xml:space="preserve">Figure 3</w:t>
        </w:r>
      </w:hyperlink>
      <w:r>
        <w:t xml:space="preserve">.</w:t>
      </w:r>
    </w:p>
    <w:tbl>
      <w:tblPr>
        <w:tblStyle w:val="Table"/>
        <w:tblW w:type="pct" w:w="5000"/>
        <w:tblLook w:firstRow="0" w:lastRow="0" w:firstColumn="0" w:lastColumn="0" w:noHBand="0" w:noVBand="0" w:val="0000"/>
        <w:jc w:val="start"/>
      </w:tblPr>
      <w:tblGrid>
        <w:gridCol w:w="7920"/>
      </w:tblGrid>
      <w:tr>
        <w:tc>
          <w:tcPr/>
          <w:bookmarkStart w:id="49" w:name="fig-substantive-desc"/>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46" w:name="fig-substantive-desc-1"/>
                      <w:p>
                        <w:pPr>
                          <w:jc w:val="center"/>
                          <w:jc w:val="center"/>
                          <w:jc w:val="center"/>
                        </w:pPr>
                      </w:p>
                      <w:p>
                        <w:pPr>
                          <w:jc w:val="center"/>
                          <w:jc w:val="center"/>
                          <w:jc w:val="center"/>
                        </w:pPr>
                        <w:pPr>
                          <w:jc w:val="start"/>
                          <w:spacing w:before="200"/>
                          <w:pStyle w:val="ImageCaption"/>
                        </w:pPr>
                        <w:r>
                          <w:t xml:space="preserve">(a) Direct Experience of Fire</w:t>
                        </w:r>
                      </w:p>
                      <w:bookmarkEnd w:id="46"/>
                    </w:tc>
                  </w:tr>
                </w:tbl>
                <w:p/>
              </w:tc>
              <w:tc>
                <w:tcPr/>
                <w:tbl>
                  <w:tblPr>
                    <w:tblStyle w:val="Table"/>
                    <w:tblW w:type="pct" w:w="5000"/>
                    <w:tblLook w:firstRow="0" w:lastRow="0" w:firstColumn="0" w:lastColumn="0" w:noHBand="0" w:noVBand="0" w:val="0000"/>
                    <w:jc w:val="start"/>
                  </w:tblPr>
                  <w:tblGrid>
                    <w:gridCol w:w="7920"/>
                  </w:tblGrid>
                  <w:tr>
                    <w:tc>
                      <w:tcPr/>
                      <w:bookmarkStart w:id="47" w:name="fig-substantive-desc-2"/>
                      <w:p>
                        <w:pPr>
                          <w:jc w:val="center"/>
                          <w:jc w:val="center"/>
                          <w:jc w:val="center"/>
                        </w:pPr>
                      </w:p>
                      <w:p>
                        <w:pPr>
                          <w:jc w:val="center"/>
                          <w:jc w:val="center"/>
                          <w:jc w:val="center"/>
                        </w:pPr>
                        <w:pPr>
                          <w:jc w:val="start"/>
                          <w:spacing w:before="200"/>
                          <w:pStyle w:val="ImageCaption"/>
                        </w:pPr>
                        <w:r>
                          <w:t xml:space="preserve">(b) Near-Miss Experience of Fire</w:t>
                        </w:r>
                      </w:p>
                      <w:bookmarkEnd w:id="47"/>
                    </w:tc>
                  </w:tr>
                </w:tbl>
                <w:p/>
              </w:tc>
            </w:tr>
          </w:tbl>
          <w:p>
            <w:pPr>
              <w:framePr w:w="0" w:h="0" w:vAnchor="margin" w:hAnchor="margin" w:xAlign="right" w:yAlign="top"/>
            </w:pPr>
          </w:p>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48" w:name="fig-substantive-desc-3"/>
                      <w:p>
                        <w:pPr>
                          <w:jc w:val="center"/>
                          <w:jc w:val="center"/>
                          <w:jc w:val="center"/>
                        </w:pPr>
                      </w:p>
                      <w:p>
                        <w:pPr>
                          <w:jc w:val="center"/>
                          <w:jc w:val="center"/>
                          <w:jc w:val="center"/>
                        </w:pPr>
                        <w:pPr>
                          <w:jc w:val="start"/>
                          <w:spacing w:before="200"/>
                          <w:pStyle w:val="ImageCaption"/>
                        </w:pPr>
                        <w:r>
                          <w:t xml:space="preserve">(c) Emergency Services Employment</w:t>
                        </w:r>
                      </w:p>
                      <w:bookmarkEnd w:id="48"/>
                    </w:tc>
                  </w:tr>
                </w:tbl>
                <w:p/>
              </w:tc>
              <w:tc>
                <w:tcPr/>
                <w:p>
                  <w:pPr>
                    <w:jc w:val="center"/>
                    <w:jc w:val="center"/>
                  </w:pPr>
                  <w:r>
                    <w:t xml:space="preserve"> </w:t>
                  </w:r>
                </w:p>
              </w:tc>
            </w:tr>
          </w:tbl>
          <w:p>
            <w:pPr>
              <w:jc w:val="center"/>
            </w:pPr>
            <w:pPr>
              <w:jc w:val="start"/>
              <w:spacing w:before="200"/>
              <w:pStyle w:val="ImageCaption"/>
            </w:pPr>
            <w:pPr>
              <w:spacing w:before="200"/>
              <w:pStyle w:val="ImageCaption"/>
            </w:pPr>
            <w:r>
              <w:t xml:space="preserve">Figure 3: Substantive Control Variables</w:t>
            </w:r>
          </w:p>
          <w:bookmarkEnd w:id="49"/>
        </w:tc>
      </w:tr>
    </w:tbl>
    <w:bookmarkEnd w:id="50"/>
    <w:bookmarkEnd w:id="51"/>
    <w:bookmarkStart w:id="52" w:name="sec-methods"/>
    <w:p>
      <w:pPr>
        <w:pStyle w:val="Heading2"/>
      </w:pPr>
      <w:r>
        <w:t xml:space="preserve">Methods</w:t>
      </w:r>
    </w:p>
    <w:p>
      <w:pPr>
        <w:pStyle w:val="FirstParagraph"/>
      </w:pPr>
      <w:r>
        <w:t xml:space="preserve">All analyses were completed in RStudio version 2023.03.0 build 386</w:t>
      </w:r>
      <w:r>
        <w:t xml:space="preserve"> </w:t>
      </w:r>
      <w:r>
        <w:t xml:space="preserve">(Posit Team, 2023)</w:t>
      </w:r>
      <w:r>
        <w:t xml:space="preserve">. Data were processed using the</w:t>
      </w:r>
      <w:r>
        <w:t xml:space="preserve"> </w:t>
      </w:r>
      <w:r>
        <w:rPr>
          <w:rStyle w:val="VerbatimChar"/>
        </w:rPr>
        <w:t xml:space="preserve">tidyverse</w:t>
      </w:r>
      <w:r>
        <w:t xml:space="preserve"> </w:t>
      </w:r>
      <w:r>
        <w:t xml:space="preserve">(Wickham et al., 2019)</w:t>
      </w:r>
      <w:r>
        <w:t xml:space="preserve"> </w:t>
      </w:r>
      <w:r>
        <w:t xml:space="preserve">and</w:t>
      </w:r>
      <w:r>
        <w:t xml:space="preserve"> </w:t>
      </w:r>
      <w:r>
        <w:rPr>
          <w:rStyle w:val="VerbatimChar"/>
        </w:rPr>
        <w:t xml:space="preserve">naniar</w:t>
      </w:r>
      <w:r>
        <w:t xml:space="preserve"> </w:t>
      </w:r>
      <w:r>
        <w:t xml:space="preserve">(Tierney &amp; Cook, 2023)</w:t>
      </w:r>
      <w:r>
        <w:t xml:space="preserve"> </w:t>
      </w:r>
      <w:r>
        <w:t xml:space="preserve">packages. Plots and graphs were generated in</w:t>
      </w:r>
      <w:r>
        <w:t xml:space="preserve"> </w:t>
      </w:r>
      <w:r>
        <w:rPr>
          <w:rStyle w:val="VerbatimChar"/>
        </w:rPr>
        <w:t xml:space="preserve">ggplot2</w:t>
      </w:r>
      <w:r>
        <w:t xml:space="preserve"> </w:t>
      </w:r>
      <w:r>
        <w:t xml:space="preserve">(Wickham, 2016)</w:t>
      </w:r>
      <w:r>
        <w:t xml:space="preserve">, including the</w:t>
      </w:r>
      <w:r>
        <w:t xml:space="preserve"> </w:t>
      </w:r>
      <w:r>
        <w:rPr>
          <w:rStyle w:val="VerbatimChar"/>
        </w:rPr>
        <w:t xml:space="preserve">ggstatsplot</w:t>
      </w:r>
      <w:r>
        <w:t xml:space="preserve"> </w:t>
      </w:r>
      <w:r>
        <w:t xml:space="preserve">(Patil, 2021)</w:t>
      </w:r>
      <w:r>
        <w:t xml:space="preserve"> </w:t>
      </w:r>
      <w:r>
        <w:t xml:space="preserve">extension package. MDS rotations were done in</w:t>
      </w:r>
      <w:r>
        <w:t xml:space="preserve"> </w:t>
      </w:r>
      <w:r>
        <w:rPr>
          <w:rStyle w:val="VerbatimChar"/>
        </w:rPr>
        <w:t xml:space="preserve">smacof</w:t>
      </w:r>
      <w:r>
        <w:t xml:space="preserve"> </w:t>
      </w:r>
      <w:r>
        <w:t xml:space="preserve">(Mair et al., 2022)</w:t>
      </w:r>
      <w:r>
        <w:t xml:space="preserve"> </w:t>
      </w:r>
      <w:r>
        <w:t xml:space="preserve">and partial correlations with</w:t>
      </w:r>
      <w:r>
        <w:t xml:space="preserve"> </w:t>
      </w:r>
      <w:r>
        <w:rPr>
          <w:rStyle w:val="VerbatimChar"/>
        </w:rPr>
        <w:t xml:space="preserve">ppcor</w:t>
      </w:r>
      <w:r>
        <w:t xml:space="preserve"> </w:t>
      </w:r>
      <w:r>
        <w:t xml:space="preserve">(Kim, 2015)</w:t>
      </w:r>
      <w:r>
        <w:t xml:space="preserve">. Network comparison was conducted in</w:t>
      </w:r>
      <w:r>
        <w:t xml:space="preserve"> </w:t>
      </w:r>
      <w:r>
        <w:rPr>
          <w:rStyle w:val="VerbatimChar"/>
        </w:rPr>
        <w:t xml:space="preserve">NetworkComparisonTest</w:t>
      </w:r>
      <w:r>
        <w:t xml:space="preserve"> </w:t>
      </w:r>
      <w:r>
        <w:t xml:space="preserve">(Van Borkulo et al., 2022)</w:t>
      </w:r>
      <w:r>
        <w:t xml:space="preserve">. Network graphs and related plotting and statistics were conducted in</w:t>
      </w:r>
      <w:r>
        <w:t xml:space="preserve"> </w:t>
      </w:r>
      <w:r>
        <w:rPr>
          <w:rStyle w:val="VerbatimChar"/>
        </w:rPr>
        <w:t xml:space="preserve">bootnet</w:t>
      </w:r>
      <w:r>
        <w:t xml:space="preserve"> </w:t>
      </w:r>
      <w:r>
        <w:t xml:space="preserve">(Epskamp et al., 2018)</w:t>
      </w:r>
      <w:r>
        <w:t xml:space="preserve"> </w:t>
      </w:r>
      <w:r>
        <w:t xml:space="preserve">and</w:t>
      </w:r>
      <w:r>
        <w:t xml:space="preserve"> </w:t>
      </w:r>
      <w:r>
        <w:rPr>
          <w:rStyle w:val="VerbatimChar"/>
        </w:rPr>
        <w:t xml:space="preserve">qgraph</w:t>
      </w:r>
      <w:r>
        <w:t xml:space="preserve"> </w:t>
      </w:r>
      <w:r>
        <w:t xml:space="preserve">(Epskamp et al., 2012)</w:t>
      </w:r>
      <w:r>
        <w:t xml:space="preserve">. The article was written in RMarkdown and compiled using the</w:t>
      </w:r>
      <w:r>
        <w:t xml:space="preserve"> </w:t>
      </w:r>
      <w:r>
        <w:rPr>
          <w:rStyle w:val="VerbatimChar"/>
        </w:rPr>
        <w:t xml:space="preserve">knitr</w:t>
      </w:r>
      <w:r>
        <w:t xml:space="preserve"> </w:t>
      </w:r>
      <w:r>
        <w:t xml:space="preserve">(Xie, 2014, 2015, 2023)</w:t>
      </w:r>
      <w:r>
        <w:t xml:space="preserve"> </w:t>
      </w:r>
      <w:r>
        <w:t xml:space="preserve">package for reproducibility.</w:t>
      </w:r>
    </w:p>
    <w:p>
      <w:pPr>
        <w:pStyle w:val="BodyText"/>
      </w:pPr>
      <w:r>
        <w:t xml:space="preserve">We started by fitting a model for the graphical representation of networks. We modelled a partial correlation network of the risk perception variables using the multidimensional scaling (MDS) technique</w:t>
      </w:r>
      <w:r>
        <w:t xml:space="preserve"> </w:t>
      </w:r>
      <w:r>
        <w:t xml:space="preserve">(Jones et al., 2018)</w:t>
      </w:r>
      <w:r>
        <w:t xml:space="preserve">. We thus retrieved Shepard curves for each MDS type and chose model type by balancing parsimony with increasing fit (reduction of the stress factor, see</w:t>
      </w:r>
      <w:r>
        <w:t xml:space="preserve"> </w:t>
      </w:r>
      <w:r>
        <w:t xml:space="preserve">(Jones et al., 2018)</w:t>
      </w:r>
      <w:r>
        <w:t xml:space="preserve">). This model was only used to construct the MDS model.</w:t>
      </w:r>
    </w:p>
    <w:p>
      <w:pPr>
        <w:pStyle w:val="BodyText"/>
      </w:pPr>
      <w:r>
        <w:t xml:space="preserve">For the main analysis, we fitted a pairwise Markov random field (PMRF) model as a Gaussian graphical model (GGM). We used Spearman correlations and the EBICglasso estimator function</w:t>
      </w:r>
      <w:r>
        <w:t xml:space="preserve"> </w:t>
      </w:r>
      <w:r>
        <w:t xml:space="preserve">(Epskamp et al., 2012; Foygel &amp; Drton, 2010)</w:t>
      </w:r>
      <w:r>
        <w:t xml:space="preserve">. We fitted two models: a non-parametric model and a case-dropping network model. The former was used for presenting and analysing the network as a graph and as a plot of centrality indices, and the latter was used for analysing the stability of centrality indices on both system- and node levels</w:t>
      </w:r>
      <w:r>
        <w:t xml:space="preserve"> </w:t>
      </w:r>
      <w:r>
        <w:t xml:space="preserve">(Epskamp et al., 2018)</w:t>
      </w:r>
      <w:r>
        <w:t xml:space="preserve">.</w:t>
      </w:r>
    </w:p>
    <w:p>
      <w:pPr>
        <w:pStyle w:val="BodyText"/>
      </w:pPr>
      <w:r>
        <w:rPr>
          <w:bCs/>
          <w:b/>
        </w:rPr>
        <w:t xml:space="preserve">Comment: Add more description here, especially in how to interpret CS coefficients and bootstrapped centrality measures.</w:t>
      </w:r>
    </w:p>
    <w:p>
      <w:pPr>
        <w:pStyle w:val="BodyText"/>
      </w:pPr>
      <w:r>
        <w:t xml:space="preserve">To compare between groups, we estimated group-wise Gaussian graphical models and used the network comparison test (NCT) as outlined by Fried, Epskamp, Veerman and van Borkulo</w:t>
      </w:r>
      <w:r>
        <w:t xml:space="preserve"> </w:t>
      </w:r>
      <w:r>
        <w:t xml:space="preserve">(2022)</w:t>
      </w:r>
      <w:r>
        <w:t xml:space="preserve">.</w:t>
      </w:r>
    </w:p>
    <w:bookmarkEnd w:id="52"/>
    <w:bookmarkEnd w:id="53"/>
    <w:bookmarkStart w:id="79" w:name="sec-results"/>
    <w:p>
      <w:pPr>
        <w:pStyle w:val="Heading1"/>
      </w:pPr>
      <w:r>
        <w:t xml:space="preserve">Results</w:t>
      </w:r>
    </w:p>
    <w:bookmarkStart w:id="66" w:name="sec-networkestimation"/>
    <w:p>
      <w:pPr>
        <w:pStyle w:val="Heading2"/>
      </w:pPr>
      <w:r>
        <w:t xml:space="preserve">Network Estimation and Robustness</w:t>
      </w:r>
    </w:p>
    <w:p>
      <w:pPr>
        <w:pStyle w:val="FirstParagraph"/>
      </w:pPr>
      <w:r>
        <w:t xml:space="preserve">We first started by estimating the network model using the</w:t>
      </w:r>
      <w:r>
        <w:t xml:space="preserve"> </w:t>
      </w:r>
      <w:r>
        <w:rPr>
          <w:rStyle w:val="VerbatimChar"/>
        </w:rPr>
        <w:t xml:space="preserve">EBICglasso</w:t>
      </w:r>
      <w:r>
        <w:t xml:space="preserve"> </w:t>
      </w:r>
      <w:r>
        <w:t xml:space="preserve">algorithm.</w:t>
      </w:r>
    </w:p>
    <w:p>
      <w:pPr>
        <w:pStyle w:val="BodyText"/>
      </w:pPr>
      <w:r>
        <w:t xml:space="preserve">To graphically plot the network, we modelled the resulting network using the MDS method. Shepard plots (</w:t>
      </w:r>
      <w:hyperlink w:anchor="fig-mds-shepards">
        <w:r>
          <w:rPr>
            <w:rStyle w:val="Hyperlink"/>
          </w:rPr>
          <w:t xml:space="preserve">Figure 4</w:t>
        </w:r>
      </w:hyperlink>
      <w:r>
        <w:t xml:space="preserve">) suggested that we use the spline model.</w:t>
      </w:r>
    </w:p>
    <w:tbl>
      <w:tblPr>
        <w:tblStyle w:val="Table"/>
        <w:tblW w:type="pct" w:w="5000"/>
        <w:tblLook w:firstRow="0" w:lastRow="0" w:firstColumn="0" w:lastColumn="0" w:noHBand="0" w:noVBand="0" w:val="0000"/>
        <w:jc w:val="start"/>
      </w:tblPr>
      <w:tblGrid>
        <w:gridCol w:w="7920"/>
      </w:tblGrid>
      <w:tr>
        <w:tc>
          <w:tcPr/>
          <w:bookmarkStart w:id="58" w:name="fig-mds-shepards"/>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54" w:name="fig-mds-shepards-1"/>
                      <w:p>
                        <w:pPr>
                          <w:jc w:val="center"/>
                          <w:jc w:val="center"/>
                          <w:jc w:val="center"/>
                        </w:pPr>
                      </w:p>
                      <w:p>
                        <w:pPr>
                          <w:jc w:val="center"/>
                          <w:jc w:val="center"/>
                          <w:jc w:val="center"/>
                        </w:pPr>
                        <w:pPr>
                          <w:jc w:val="start"/>
                          <w:spacing w:before="200"/>
                          <w:pStyle w:val="ImageCaption"/>
                        </w:pPr>
                        <w:r>
                          <w:t xml:space="preserve">(a) Ordinal</w:t>
                        </w:r>
                      </w:p>
                      <w:bookmarkEnd w:id="54"/>
                    </w:tc>
                  </w:tr>
                </w:tbl>
                <w:p/>
              </w:tc>
              <w:tc>
                <w:tcPr/>
                <w:tbl>
                  <w:tblPr>
                    <w:tblStyle w:val="Table"/>
                    <w:tblW w:type="pct" w:w="5000"/>
                    <w:tblLook w:firstRow="0" w:lastRow="0" w:firstColumn="0" w:lastColumn="0" w:noHBand="0" w:noVBand="0" w:val="0000"/>
                    <w:jc w:val="start"/>
                  </w:tblPr>
                  <w:tblGrid>
                    <w:gridCol w:w="7920"/>
                  </w:tblGrid>
                  <w:tr>
                    <w:tc>
                      <w:tcPr/>
                      <w:bookmarkStart w:id="55" w:name="fig-mds-shepards-2"/>
                      <w:p>
                        <w:pPr>
                          <w:jc w:val="center"/>
                          <w:jc w:val="center"/>
                          <w:jc w:val="center"/>
                        </w:pPr>
                      </w:p>
                      <w:p>
                        <w:pPr>
                          <w:jc w:val="center"/>
                          <w:jc w:val="center"/>
                          <w:jc w:val="center"/>
                        </w:pPr>
                        <w:pPr>
                          <w:jc w:val="start"/>
                          <w:spacing w:before="200"/>
                          <w:pStyle w:val="ImageCaption"/>
                        </w:pPr>
                        <w:r>
                          <w:t xml:space="preserve">(b) Interval</w:t>
                        </w:r>
                      </w:p>
                      <w:bookmarkEnd w:id="55"/>
                    </w:tc>
                  </w:tr>
                </w:tbl>
                <w:p/>
              </w:tc>
            </w:tr>
          </w:tbl>
          <w:p>
            <w:pPr>
              <w:framePr w:w="0" w:h="0" w:vAnchor="margin" w:hAnchor="margin" w:xAlign="right" w:yAlign="top"/>
            </w:pPr>
          </w:p>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56" w:name="fig-mds-shepards-3"/>
                      <w:p>
                        <w:pPr>
                          <w:jc w:val="center"/>
                          <w:jc w:val="center"/>
                          <w:jc w:val="center"/>
                        </w:pPr>
                      </w:p>
                      <w:p>
                        <w:pPr>
                          <w:jc w:val="center"/>
                          <w:jc w:val="center"/>
                          <w:jc w:val="center"/>
                        </w:pPr>
                        <w:pPr>
                          <w:jc w:val="start"/>
                          <w:spacing w:before="200"/>
                          <w:pStyle w:val="ImageCaption"/>
                        </w:pPr>
                        <w:r>
                          <w:t xml:space="preserve">(c) Ratio</w:t>
                        </w:r>
                      </w:p>
                      <w:bookmarkEnd w:id="56"/>
                    </w:tc>
                  </w:tr>
                </w:tbl>
                <w:p/>
              </w:tc>
              <w:tc>
                <w:tcPr/>
                <w:tbl>
                  <w:tblPr>
                    <w:tblStyle w:val="Table"/>
                    <w:tblW w:type="pct" w:w="5000"/>
                    <w:tblLook w:firstRow="0" w:lastRow="0" w:firstColumn="0" w:lastColumn="0" w:noHBand="0" w:noVBand="0" w:val="0000"/>
                    <w:jc w:val="start"/>
                  </w:tblPr>
                  <w:tblGrid>
                    <w:gridCol w:w="7920"/>
                  </w:tblGrid>
                  <w:tr>
                    <w:tc>
                      <w:tcPr/>
                      <w:bookmarkStart w:id="57" w:name="fig-mds-shepards-4"/>
                      <w:p>
                        <w:pPr>
                          <w:jc w:val="center"/>
                          <w:jc w:val="center"/>
                          <w:jc w:val="center"/>
                        </w:pPr>
                      </w:p>
                      <w:p>
                        <w:pPr>
                          <w:jc w:val="center"/>
                          <w:jc w:val="center"/>
                          <w:jc w:val="center"/>
                        </w:pPr>
                        <w:pPr>
                          <w:jc w:val="start"/>
                          <w:spacing w:before="200"/>
                          <w:pStyle w:val="ImageCaption"/>
                        </w:pPr>
                        <w:r>
                          <w:t xml:space="preserve">(d) Spline</w:t>
                        </w:r>
                      </w:p>
                      <w:bookmarkEnd w:id="57"/>
                    </w:tc>
                  </w:tr>
                </w:tbl>
                <w:p/>
              </w:tc>
            </w:tr>
          </w:tbl>
          <w:p>
            <w:pPr>
              <w:jc w:val="center"/>
            </w:pPr>
            <w:pPr>
              <w:jc w:val="start"/>
              <w:spacing w:before="200"/>
              <w:pStyle w:val="ImageCaption"/>
            </w:pPr>
            <w:pPr>
              <w:spacing w:before="200"/>
              <w:pStyle w:val="ImageCaption"/>
            </w:pPr>
            <w:r>
              <w:t xml:space="preserve">Figure 4: Shepard stress plots of MDS configurations</w:t>
            </w:r>
          </w:p>
          <w:bookmarkEnd w:id="58"/>
        </w:tc>
      </w:tr>
    </w:tbl>
    <w:p>
      <w:pPr>
        <w:pStyle w:val="BodyText"/>
      </w:pPr>
      <w:r>
        <w:rPr>
          <w:bCs/>
          <w:b/>
        </w:rPr>
        <w:t xml:space="preserve">Comment: Check that Spearman and polychoric produces the same result (when matrix is definite positive).</w:t>
      </w:r>
    </w:p>
    <w:p>
      <w:pPr>
        <w:pStyle w:val="BodyText"/>
      </w:pPr>
      <w:r>
        <w:t xml:space="preserve">We then retrieved a robust model of the graph using the</w:t>
      </w:r>
      <w:r>
        <w:t xml:space="preserve"> </w:t>
      </w:r>
      <w:r>
        <w:rPr>
          <w:rStyle w:val="VerbatimChar"/>
        </w:rPr>
        <w:t xml:space="preserve">bootnet</w:t>
      </w:r>
      <w:r>
        <w:t xml:space="preserve"> </w:t>
      </w:r>
      <w:r>
        <w:t xml:space="preserve">package</w:t>
      </w:r>
      <w:r>
        <w:t xml:space="preserve"> </w:t>
      </w:r>
      <w:r>
        <w:t xml:space="preserve">(Epskamp et al., 2018)</w:t>
      </w:r>
      <w:r>
        <w:t xml:space="preserve">. The model uses the</w:t>
      </w:r>
      <w:r>
        <w:t xml:space="preserve"> </w:t>
      </w:r>
      <w:r>
        <w:rPr>
          <w:rStyle w:val="VerbatimChar"/>
        </w:rPr>
        <w:t xml:space="preserve">EBICglasso</w:t>
      </w:r>
      <w:r>
        <w:t xml:space="preserve"> </w:t>
      </w:r>
      <w:r>
        <w:t xml:space="preserve">algorithm, which searches for the model that locally minimises the extended Bayesian Information Criterion</w:t>
      </w:r>
      <w:r>
        <w:t xml:space="preserve"> </w:t>
      </w:r>
      <w:r>
        <w:t xml:space="preserve">(Epskamp et al., 2018; Foygel &amp; Drton, 2010)</w:t>
      </w:r>
      <w:r>
        <w:t xml:space="preserve">. The estimation is done using Spearman correlations because our data are expected non-normally distributed. While polychoric correlations would be possible, the small sample sizes in sub-population comparison may result in a non-positive definite correlation matrix, which disables analysis. We retrieved both non-parametric and case-dropping networks for analysis.</w:t>
      </w:r>
    </w:p>
    <w:p>
      <w:pPr>
        <w:pStyle w:val="BodyText"/>
      </w:pPr>
      <w:r>
        <w:t xml:space="preserve">The robust network is plotted using the two-dimensional MDS solution as its layout, enabling us to interpret graphical distance as a proxy for vertex strength.</w:t>
      </w:r>
      <w:r>
        <w:t xml:space="preserve"> </w:t>
      </w:r>
      <w:hyperlink w:anchor="fig-bootstrapped-model-1">
        <w:r>
          <w:rPr>
            <w:rStyle w:val="Hyperlink"/>
          </w:rPr>
          <w:t xml:space="preserve">Figure 5</w:t>
        </w:r>
      </w:hyperlink>
      <w:r>
        <w:t xml:space="preserve"> </w:t>
      </w:r>
      <w:r>
        <w:t xml:space="preserve">shows the network graph.</w:t>
      </w:r>
    </w:p>
    <w:tbl>
      <w:tblPr>
        <w:tblStyle w:val="Table"/>
        <w:tblW w:type="pct" w:w="5000"/>
        <w:tblLook w:firstRow="0" w:lastRow="0" w:firstColumn="0" w:lastColumn="0" w:noHBand="0" w:noVBand="0" w:val="0000"/>
        <w:jc w:val="start"/>
      </w:tblPr>
      <w:tblGrid>
        <w:gridCol w:w="7920"/>
      </w:tblGrid>
      <w:tr>
        <w:tc>
          <w:tcPr/>
          <w:bookmarkStart w:id="59" w:name="fig-bootstrapped-model-1"/>
          <w:p>
            <w:pPr>
              <w:jc w:val="center"/>
            </w:pPr>
          </w:p>
          <w:p>
            <w:pPr>
              <w:jc w:val="center"/>
            </w:pPr>
            <w:pPr>
              <w:jc w:val="start"/>
              <w:spacing w:before="200"/>
              <w:pStyle w:val="ImageCaption"/>
            </w:pPr>
            <w:r>
              <w:t xml:space="preserve">Figure 5: Bootstrapped network. Edge labels indicate partial correlation strength.</w:t>
            </w:r>
          </w:p>
          <w:bookmarkEnd w:id="59"/>
        </w:tc>
      </w:tr>
    </w:tbl>
    <w:p>
      <w:pPr>
        <w:pStyle w:val="BodyText"/>
      </w:pPr>
      <w:r>
        <w:t xml:space="preserve"> </w:t>
      </w:r>
    </w:p>
    <w:bookmarkStart w:id="60" w:name="tbl-network-stats"/>
    <w:p>
      <w:pPr>
        <w:pStyle w:val="TableCaption"/>
      </w:pPr>
      <w:r>
        <w:t xml:space="preserve">Table 1: Descriptive statistics of network nodes</w:t>
      </w:r>
    </w:p>
    <w:tbl>
      <w:tblPr>
        <w:tblStyle w:val="Table"/>
        <w:tblW w:type="pct" w:w="5000"/>
        <w:tblLook w:firstRow="1" w:lastRow="0" w:firstColumn="0" w:lastColumn="0" w:noHBand="0" w:noVBand="0" w:val="0020"/>
        <w:jc w:val="start"/>
        <w:tblCaption w:val="Table 1: Descriptive statistics of network nodes"/>
      </w:tblPr>
      <w:tblGrid>
        <w:gridCol w:w="1232"/>
        <w:gridCol w:w="704"/>
        <w:gridCol w:w="704"/>
        <w:gridCol w:w="440"/>
        <w:gridCol w:w="440"/>
        <w:gridCol w:w="1056"/>
        <w:gridCol w:w="880"/>
        <w:gridCol w:w="792"/>
        <w:gridCol w:w="1672"/>
      </w:tblGrid>
      <w:tr>
        <w:trPr>
          <w:tblHeader w:val="true"/>
        </w:trPr>
        <w:tc>
          <w:tcPr/>
          <w:p>
            <w:pPr>
              <w:pStyle w:val="Compact"/>
              <w:jc w:val="left"/>
            </w:pPr>
            <w:r>
              <w:t xml:space="preserve">Node</w:t>
            </w:r>
          </w:p>
        </w:tc>
        <w:tc>
          <w:tcPr/>
          <w:p>
            <w:pPr>
              <w:pStyle w:val="Compact"/>
              <w:jc w:val="right"/>
            </w:pPr>
            <w:r>
              <w:t xml:space="preserve">Maximum</w:t>
            </w:r>
          </w:p>
        </w:tc>
        <w:tc>
          <w:tcPr/>
          <w:p>
            <w:pPr>
              <w:pStyle w:val="Compact"/>
              <w:jc w:val="right"/>
            </w:pPr>
            <w:r>
              <w:t xml:space="preserve">Minimum</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Betweenness</w:t>
            </w:r>
          </w:p>
        </w:tc>
        <w:tc>
          <w:tcPr/>
          <w:p>
            <w:pPr>
              <w:pStyle w:val="Compact"/>
              <w:jc w:val="right"/>
            </w:pPr>
            <w:r>
              <w:t xml:space="preserve">Closeness</w:t>
            </w:r>
          </w:p>
        </w:tc>
        <w:tc>
          <w:tcPr/>
          <w:p>
            <w:pPr>
              <w:pStyle w:val="Compact"/>
              <w:jc w:val="right"/>
            </w:pPr>
            <w:r>
              <w:t xml:space="preserve">Strength</w:t>
            </w:r>
          </w:p>
        </w:tc>
        <w:tc>
          <w:tcPr/>
          <w:p>
            <w:pPr>
              <w:pStyle w:val="Compact"/>
              <w:jc w:val="right"/>
            </w:pPr>
            <w:r>
              <w:t xml:space="preserve">Expected Influence</w:t>
            </w:r>
          </w:p>
        </w:tc>
      </w:tr>
      <w:tr>
        <w:tc>
          <w:tcPr/>
          <w:p>
            <w:pPr>
              <w:pStyle w:val="Compact"/>
              <w:jc w:val="left"/>
            </w:pPr>
            <w:r>
              <w:t xml:space="preserve">Weather</w:t>
            </w:r>
          </w:p>
        </w:tc>
        <w:tc>
          <w:tcPr/>
          <w:p>
            <w:pPr>
              <w:pStyle w:val="Compact"/>
              <w:jc w:val="right"/>
            </w:pPr>
            <w:r>
              <w:t xml:space="preserve">0.16</w:t>
            </w:r>
          </w:p>
        </w:tc>
        <w:tc>
          <w:tcPr/>
          <w:p>
            <w:pPr>
              <w:pStyle w:val="Compact"/>
              <w:jc w:val="right"/>
            </w:pPr>
            <w:r>
              <w:t xml:space="preserve">0.00</w:t>
            </w:r>
          </w:p>
        </w:tc>
        <w:tc>
          <w:tcPr/>
          <w:p>
            <w:pPr>
              <w:pStyle w:val="Compact"/>
              <w:jc w:val="right"/>
            </w:pPr>
            <w:r>
              <w:t xml:space="preserve">0.04</w:t>
            </w:r>
          </w:p>
        </w:tc>
        <w:tc>
          <w:tcPr/>
          <w:p>
            <w:pPr>
              <w:pStyle w:val="Compact"/>
              <w:jc w:val="right"/>
            </w:pPr>
            <w:r>
              <w:t xml:space="preserve">0.05</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0.59</w:t>
            </w:r>
          </w:p>
        </w:tc>
        <w:tc>
          <w:tcPr/>
          <w:p>
            <w:pPr>
              <w:pStyle w:val="Compact"/>
              <w:jc w:val="right"/>
            </w:pPr>
            <w:r>
              <w:t xml:space="preserve">0.59</w:t>
            </w:r>
          </w:p>
        </w:tc>
      </w:tr>
      <w:tr>
        <w:tc>
          <w:tcPr/>
          <w:p>
            <w:pPr>
              <w:pStyle w:val="Compact"/>
              <w:jc w:val="left"/>
            </w:pPr>
            <w:r>
              <w:t xml:space="preserve">Traffic</w:t>
            </w:r>
          </w:p>
        </w:tc>
        <w:tc>
          <w:tcPr/>
          <w:p>
            <w:pPr>
              <w:pStyle w:val="Compact"/>
              <w:jc w:val="right"/>
            </w:pPr>
            <w:r>
              <w:t xml:space="preserve">0.39</w:t>
            </w:r>
          </w:p>
        </w:tc>
        <w:tc>
          <w:tcPr/>
          <w:p>
            <w:pPr>
              <w:pStyle w:val="Compact"/>
              <w:jc w:val="right"/>
            </w:pPr>
            <w:r>
              <w:t xml:space="preserve">0.00</w:t>
            </w:r>
          </w:p>
        </w:tc>
        <w:tc>
          <w:tcPr/>
          <w:p>
            <w:pPr>
              <w:pStyle w:val="Compact"/>
              <w:jc w:val="right"/>
            </w:pPr>
            <w:r>
              <w:t xml:space="preserve">0.07</w:t>
            </w:r>
          </w:p>
        </w:tc>
        <w:tc>
          <w:tcPr/>
          <w:p>
            <w:pPr>
              <w:pStyle w:val="Compact"/>
              <w:jc w:val="right"/>
            </w:pPr>
            <w:r>
              <w:t xml:space="preserve">0.11</w:t>
            </w:r>
          </w:p>
        </w:tc>
        <w:tc>
          <w:tcPr/>
          <w:p>
            <w:pPr>
              <w:pStyle w:val="Compact"/>
              <w:jc w:val="right"/>
            </w:pPr>
            <w:r>
              <w:t xml:space="preserve">4</w:t>
            </w:r>
          </w:p>
        </w:tc>
        <w:tc>
          <w:tcPr/>
          <w:p>
            <w:pPr>
              <w:pStyle w:val="Compact"/>
              <w:jc w:val="right"/>
            </w:pPr>
            <w:r>
              <w:t xml:space="preserve">0.01</w:t>
            </w:r>
          </w:p>
        </w:tc>
        <w:tc>
          <w:tcPr/>
          <w:p>
            <w:pPr>
              <w:pStyle w:val="Compact"/>
              <w:jc w:val="right"/>
            </w:pPr>
            <w:r>
              <w:t xml:space="preserve">1.00</w:t>
            </w:r>
          </w:p>
        </w:tc>
        <w:tc>
          <w:tcPr/>
          <w:p>
            <w:pPr>
              <w:pStyle w:val="Compact"/>
              <w:jc w:val="right"/>
            </w:pPr>
            <w:r>
              <w:t xml:space="preserve">1.00</w:t>
            </w:r>
          </w:p>
        </w:tc>
      </w:tr>
      <w:tr>
        <w:tc>
          <w:tcPr/>
          <w:p>
            <w:pPr>
              <w:pStyle w:val="Compact"/>
              <w:jc w:val="left"/>
            </w:pPr>
            <w:r>
              <w:t xml:space="preserve">Fire</w:t>
            </w:r>
          </w:p>
        </w:tc>
        <w:tc>
          <w:tcPr/>
          <w:p>
            <w:pPr>
              <w:pStyle w:val="Compact"/>
              <w:jc w:val="right"/>
            </w:pPr>
            <w:r>
              <w:t xml:space="preserve">0.39</w:t>
            </w:r>
          </w:p>
        </w:tc>
        <w:tc>
          <w:tcPr/>
          <w:p>
            <w:pPr>
              <w:pStyle w:val="Compact"/>
              <w:jc w:val="right"/>
            </w:pPr>
            <w:r>
              <w:t xml:space="preserve">0.00</w:t>
            </w:r>
          </w:p>
        </w:tc>
        <w:tc>
          <w:tcPr/>
          <w:p>
            <w:pPr>
              <w:pStyle w:val="Compact"/>
              <w:jc w:val="right"/>
            </w:pPr>
            <w:r>
              <w:t xml:space="preserve">0.08</w:t>
            </w:r>
          </w:p>
        </w:tc>
        <w:tc>
          <w:tcPr/>
          <w:p>
            <w:pPr>
              <w:pStyle w:val="Compact"/>
              <w:jc w:val="right"/>
            </w:pPr>
            <w:r>
              <w:t xml:space="preserve">0.11</w:t>
            </w:r>
          </w:p>
        </w:tc>
        <w:tc>
          <w:tcPr/>
          <w:p>
            <w:pPr>
              <w:pStyle w:val="Compact"/>
              <w:jc w:val="right"/>
            </w:pPr>
            <w:r>
              <w:t xml:space="preserve">8</w:t>
            </w:r>
          </w:p>
        </w:tc>
        <w:tc>
          <w:tcPr/>
          <w:p>
            <w:pPr>
              <w:pStyle w:val="Compact"/>
              <w:jc w:val="right"/>
            </w:pPr>
            <w:r>
              <w:t xml:space="preserve">0.01</w:t>
            </w:r>
          </w:p>
        </w:tc>
        <w:tc>
          <w:tcPr/>
          <w:p>
            <w:pPr>
              <w:pStyle w:val="Compact"/>
              <w:jc w:val="right"/>
            </w:pPr>
            <w:r>
              <w:t xml:space="preserve">1.10</w:t>
            </w:r>
          </w:p>
        </w:tc>
        <w:tc>
          <w:tcPr/>
          <w:p>
            <w:pPr>
              <w:pStyle w:val="Compact"/>
              <w:jc w:val="right"/>
            </w:pPr>
            <w:r>
              <w:t xml:space="preserve">1.09</w:t>
            </w:r>
          </w:p>
        </w:tc>
      </w:tr>
      <w:tr>
        <w:tc>
          <w:tcPr/>
          <w:p>
            <w:pPr>
              <w:pStyle w:val="Compact"/>
              <w:jc w:val="left"/>
            </w:pPr>
            <w:r>
              <w:t xml:space="preserve">Nuclear</w:t>
            </w:r>
          </w:p>
        </w:tc>
        <w:tc>
          <w:tcPr/>
          <w:p>
            <w:pPr>
              <w:pStyle w:val="Compact"/>
              <w:jc w:val="right"/>
            </w:pPr>
            <w:r>
              <w:t xml:space="preserve">0.22</w:t>
            </w:r>
          </w:p>
        </w:tc>
        <w:tc>
          <w:tcPr/>
          <w:p>
            <w:pPr>
              <w:pStyle w:val="Compact"/>
              <w:jc w:val="right"/>
            </w:pPr>
            <w:r>
              <w:t xml:space="preserve">-0.02</w:t>
            </w:r>
          </w:p>
        </w:tc>
        <w:tc>
          <w:tcPr/>
          <w:p>
            <w:pPr>
              <w:pStyle w:val="Compact"/>
              <w:jc w:val="right"/>
            </w:pPr>
            <w:r>
              <w:t xml:space="preserve">0.06</w:t>
            </w:r>
          </w:p>
        </w:tc>
        <w:tc>
          <w:tcPr/>
          <w:p>
            <w:pPr>
              <w:pStyle w:val="Compact"/>
              <w:jc w:val="right"/>
            </w:pPr>
            <w:r>
              <w:t xml:space="preserve">0.08</w:t>
            </w:r>
          </w:p>
        </w:tc>
        <w:tc>
          <w:tcPr/>
          <w:p>
            <w:pPr>
              <w:pStyle w:val="Compact"/>
              <w:jc w:val="right"/>
            </w:pPr>
            <w:r>
              <w:t xml:space="preserve">9</w:t>
            </w:r>
          </w:p>
        </w:tc>
        <w:tc>
          <w:tcPr/>
          <w:p>
            <w:pPr>
              <w:pStyle w:val="Compact"/>
              <w:jc w:val="right"/>
            </w:pPr>
            <w:r>
              <w:t xml:space="preserve">0.01</w:t>
            </w:r>
          </w:p>
        </w:tc>
        <w:tc>
          <w:tcPr/>
          <w:p>
            <w:pPr>
              <w:pStyle w:val="Compact"/>
              <w:jc w:val="right"/>
            </w:pPr>
            <w:r>
              <w:t xml:space="preserve">0.82</w:t>
            </w:r>
          </w:p>
        </w:tc>
        <w:tc>
          <w:tcPr/>
          <w:p>
            <w:pPr>
              <w:pStyle w:val="Compact"/>
              <w:jc w:val="right"/>
            </w:pPr>
            <w:r>
              <w:t xml:space="preserve">0.78</w:t>
            </w:r>
          </w:p>
        </w:tc>
      </w:tr>
      <w:tr>
        <w:tc>
          <w:tcPr/>
          <w:p>
            <w:pPr>
              <w:pStyle w:val="Compact"/>
              <w:jc w:val="left"/>
            </w:pPr>
            <w:r>
              <w:t xml:space="preserve">Work</w:t>
            </w:r>
          </w:p>
        </w:tc>
        <w:tc>
          <w:tcPr/>
          <w:p>
            <w:pPr>
              <w:pStyle w:val="Compact"/>
              <w:jc w:val="right"/>
            </w:pPr>
            <w:r>
              <w:t xml:space="preserve">0.19</w:t>
            </w:r>
          </w:p>
        </w:tc>
        <w:tc>
          <w:tcPr/>
          <w:p>
            <w:pPr>
              <w:pStyle w:val="Compact"/>
              <w:jc w:val="right"/>
            </w:pPr>
            <w:r>
              <w:t xml:space="preserve">-0.07</w:t>
            </w:r>
          </w:p>
        </w:tc>
        <w:tc>
          <w:tcPr/>
          <w:p>
            <w:pPr>
              <w:pStyle w:val="Compact"/>
              <w:jc w:val="right"/>
            </w:pPr>
            <w:r>
              <w:t xml:space="preserve">0.04</w:t>
            </w:r>
          </w:p>
        </w:tc>
        <w:tc>
          <w:tcPr/>
          <w:p>
            <w:pPr>
              <w:pStyle w:val="Compact"/>
              <w:jc w:val="right"/>
            </w:pPr>
            <w:r>
              <w:t xml:space="preserve">0.07</w:t>
            </w:r>
          </w:p>
        </w:tc>
        <w:tc>
          <w:tcPr/>
          <w:p>
            <w:pPr>
              <w:pStyle w:val="Compact"/>
              <w:jc w:val="right"/>
            </w:pPr>
            <w:r>
              <w:t xml:space="preserve">1</w:t>
            </w:r>
          </w:p>
        </w:tc>
        <w:tc>
          <w:tcPr/>
          <w:p>
            <w:pPr>
              <w:pStyle w:val="Compact"/>
              <w:jc w:val="right"/>
            </w:pPr>
            <w:r>
              <w:t xml:space="preserve">0.01</w:t>
            </w:r>
          </w:p>
        </w:tc>
        <w:tc>
          <w:tcPr/>
          <w:p>
            <w:pPr>
              <w:pStyle w:val="Compact"/>
              <w:jc w:val="right"/>
            </w:pPr>
            <w:r>
              <w:t xml:space="preserve">0.67</w:t>
            </w:r>
          </w:p>
        </w:tc>
        <w:tc>
          <w:tcPr/>
          <w:p>
            <w:pPr>
              <w:pStyle w:val="Compact"/>
              <w:jc w:val="right"/>
            </w:pPr>
            <w:r>
              <w:t xml:space="preserve">0.51</w:t>
            </w:r>
          </w:p>
        </w:tc>
      </w:tr>
      <w:tr>
        <w:tc>
          <w:tcPr/>
          <w:p>
            <w:pPr>
              <w:pStyle w:val="Compact"/>
              <w:jc w:val="left"/>
            </w:pPr>
            <w:r>
              <w:t xml:space="preserve">Leisure</w:t>
            </w:r>
          </w:p>
        </w:tc>
        <w:tc>
          <w:tcPr/>
          <w:p>
            <w:pPr>
              <w:pStyle w:val="Compact"/>
              <w:jc w:val="right"/>
            </w:pPr>
            <w:r>
              <w:t xml:space="preserve">0.20</w:t>
            </w:r>
          </w:p>
        </w:tc>
        <w:tc>
          <w:tcPr/>
          <w:p>
            <w:pPr>
              <w:pStyle w:val="Compact"/>
              <w:jc w:val="right"/>
            </w:pPr>
            <w:r>
              <w:t xml:space="preserve">0.00</w:t>
            </w:r>
          </w:p>
        </w:tc>
        <w:tc>
          <w:tcPr/>
          <w:p>
            <w:pPr>
              <w:pStyle w:val="Compact"/>
              <w:jc w:val="right"/>
            </w:pPr>
            <w:r>
              <w:t xml:space="preserve">0.06</w:t>
            </w:r>
          </w:p>
        </w:tc>
        <w:tc>
          <w:tcPr/>
          <w:p>
            <w:pPr>
              <w:pStyle w:val="Compact"/>
              <w:jc w:val="right"/>
            </w:pPr>
            <w:r>
              <w:t xml:space="preserve">0.07</w:t>
            </w:r>
          </w:p>
        </w:tc>
        <w:tc>
          <w:tcPr/>
          <w:p>
            <w:pPr>
              <w:pStyle w:val="Compact"/>
              <w:jc w:val="right"/>
            </w:pPr>
            <w:r>
              <w:t xml:space="preserve">7</w:t>
            </w:r>
          </w:p>
        </w:tc>
        <w:tc>
          <w:tcPr/>
          <w:p>
            <w:pPr>
              <w:pStyle w:val="Compact"/>
              <w:jc w:val="right"/>
            </w:pPr>
            <w:r>
              <w:t xml:space="preserve">0.01</w:t>
            </w:r>
          </w:p>
        </w:tc>
        <w:tc>
          <w:tcPr/>
          <w:p>
            <w:pPr>
              <w:pStyle w:val="Compact"/>
              <w:jc w:val="right"/>
            </w:pPr>
            <w:r>
              <w:t xml:space="preserve">0.90</w:t>
            </w:r>
          </w:p>
        </w:tc>
        <w:tc>
          <w:tcPr/>
          <w:p>
            <w:pPr>
              <w:pStyle w:val="Compact"/>
              <w:jc w:val="right"/>
            </w:pPr>
            <w:r>
              <w:t xml:space="preserve">0.90</w:t>
            </w:r>
          </w:p>
        </w:tc>
      </w:tr>
      <w:tr>
        <w:tc>
          <w:tcPr/>
          <w:p>
            <w:pPr>
              <w:pStyle w:val="Compact"/>
              <w:jc w:val="left"/>
            </w:pPr>
            <w:r>
              <w:t xml:space="preserve">War</w:t>
            </w:r>
          </w:p>
        </w:tc>
        <w:tc>
          <w:tcPr/>
          <w:p>
            <w:pPr>
              <w:pStyle w:val="Compact"/>
              <w:jc w:val="right"/>
            </w:pPr>
            <w:r>
              <w:t xml:space="preserve">0.22</w:t>
            </w:r>
          </w:p>
        </w:tc>
        <w:tc>
          <w:tcPr/>
          <w:p>
            <w:pPr>
              <w:pStyle w:val="Compact"/>
              <w:jc w:val="right"/>
            </w:pPr>
            <w:r>
              <w:t xml:space="preserve">0.00</w:t>
            </w:r>
          </w:p>
        </w:tc>
        <w:tc>
          <w:tcPr/>
          <w:p>
            <w:pPr>
              <w:pStyle w:val="Compact"/>
              <w:jc w:val="right"/>
            </w:pPr>
            <w:r>
              <w:t xml:space="preserve">0.06</w:t>
            </w:r>
          </w:p>
        </w:tc>
        <w:tc>
          <w:tcPr/>
          <w:p>
            <w:pPr>
              <w:pStyle w:val="Compact"/>
              <w:jc w:val="right"/>
            </w:pPr>
            <w:r>
              <w:t xml:space="preserve">0.07</w:t>
            </w:r>
          </w:p>
        </w:tc>
        <w:tc>
          <w:tcPr/>
          <w:p>
            <w:pPr>
              <w:pStyle w:val="Compact"/>
              <w:jc w:val="right"/>
            </w:pPr>
            <w:r>
              <w:t xml:space="preserve">1</w:t>
            </w:r>
          </w:p>
        </w:tc>
        <w:tc>
          <w:tcPr/>
          <w:p>
            <w:pPr>
              <w:pStyle w:val="Compact"/>
              <w:jc w:val="right"/>
            </w:pPr>
            <w:r>
              <w:t xml:space="preserve">0.01</w:t>
            </w:r>
          </w:p>
        </w:tc>
        <w:tc>
          <w:tcPr/>
          <w:p>
            <w:pPr>
              <w:pStyle w:val="Compact"/>
              <w:jc w:val="right"/>
            </w:pPr>
            <w:r>
              <w:t xml:space="preserve">0.78</w:t>
            </w:r>
          </w:p>
        </w:tc>
        <w:tc>
          <w:tcPr/>
          <w:p>
            <w:pPr>
              <w:pStyle w:val="Compact"/>
              <w:jc w:val="right"/>
            </w:pPr>
            <w:r>
              <w:t xml:space="preserve">0.78</w:t>
            </w:r>
          </w:p>
        </w:tc>
      </w:tr>
      <w:tr>
        <w:tc>
          <w:tcPr/>
          <w:p>
            <w:pPr>
              <w:pStyle w:val="Compact"/>
              <w:jc w:val="left"/>
            </w:pPr>
            <w:r>
              <w:t xml:space="preserve">Environmental</w:t>
            </w:r>
          </w:p>
        </w:tc>
        <w:tc>
          <w:tcPr/>
          <w:p>
            <w:pPr>
              <w:pStyle w:val="Compact"/>
              <w:jc w:val="right"/>
            </w:pPr>
            <w:r>
              <w:t xml:space="preserve">0.19</w:t>
            </w:r>
          </w:p>
        </w:tc>
        <w:tc>
          <w:tcPr/>
          <w:p>
            <w:pPr>
              <w:pStyle w:val="Compact"/>
              <w:jc w:val="right"/>
            </w:pPr>
            <w:r>
              <w:t xml:space="preserve">0.00</w:t>
            </w:r>
          </w:p>
        </w:tc>
        <w:tc>
          <w:tcPr/>
          <w:p>
            <w:pPr>
              <w:pStyle w:val="Compact"/>
              <w:jc w:val="right"/>
            </w:pPr>
            <w:r>
              <w:t xml:space="preserve">0.07</w:t>
            </w:r>
          </w:p>
        </w:tc>
        <w:tc>
          <w:tcPr/>
          <w:p>
            <w:pPr>
              <w:pStyle w:val="Compact"/>
              <w:jc w:val="right"/>
            </w:pPr>
            <w:r>
              <w:t xml:space="preserve">0.07</w:t>
            </w:r>
          </w:p>
        </w:tc>
        <w:tc>
          <w:tcPr/>
          <w:p>
            <w:pPr>
              <w:pStyle w:val="Compact"/>
              <w:jc w:val="right"/>
            </w:pPr>
            <w:r>
              <w:t xml:space="preserve">14</w:t>
            </w:r>
          </w:p>
        </w:tc>
        <w:tc>
          <w:tcPr/>
          <w:p>
            <w:pPr>
              <w:pStyle w:val="Compact"/>
              <w:jc w:val="right"/>
            </w:pPr>
            <w:r>
              <w:t xml:space="preserve">0.01</w:t>
            </w:r>
          </w:p>
        </w:tc>
        <w:tc>
          <w:tcPr/>
          <w:p>
            <w:pPr>
              <w:pStyle w:val="Compact"/>
              <w:jc w:val="right"/>
            </w:pPr>
            <w:r>
              <w:t xml:space="preserve">1.02</w:t>
            </w:r>
          </w:p>
        </w:tc>
        <w:tc>
          <w:tcPr/>
          <w:p>
            <w:pPr>
              <w:pStyle w:val="Compact"/>
              <w:jc w:val="right"/>
            </w:pPr>
            <w:r>
              <w:t xml:space="preserve">1.02</w:t>
            </w:r>
          </w:p>
        </w:tc>
      </w:tr>
      <w:tr>
        <w:tc>
          <w:tcPr/>
          <w:p>
            <w:pPr>
              <w:pStyle w:val="Compact"/>
              <w:jc w:val="left"/>
            </w:pPr>
            <w:r>
              <w:t xml:space="preserve">Pandemic</w:t>
            </w:r>
          </w:p>
        </w:tc>
        <w:tc>
          <w:tcPr/>
          <w:p>
            <w:pPr>
              <w:pStyle w:val="Compact"/>
              <w:jc w:val="right"/>
            </w:pPr>
            <w:r>
              <w:t xml:space="preserve">0.22</w:t>
            </w:r>
          </w:p>
        </w:tc>
        <w:tc>
          <w:tcPr/>
          <w:p>
            <w:pPr>
              <w:pStyle w:val="Compact"/>
              <w:jc w:val="right"/>
            </w:pPr>
            <w:r>
              <w:t xml:space="preserve">0.00</w:t>
            </w:r>
          </w:p>
        </w:tc>
        <w:tc>
          <w:tcPr/>
          <w:p>
            <w:pPr>
              <w:pStyle w:val="Compact"/>
              <w:jc w:val="right"/>
            </w:pPr>
            <w:r>
              <w:t xml:space="preserve">0.07</w:t>
            </w:r>
          </w:p>
        </w:tc>
        <w:tc>
          <w:tcPr/>
          <w:p>
            <w:pPr>
              <w:pStyle w:val="Compact"/>
              <w:jc w:val="right"/>
            </w:pPr>
            <w:r>
              <w:t xml:space="preserve">0.08</w:t>
            </w:r>
          </w:p>
        </w:tc>
        <w:tc>
          <w:tcPr/>
          <w:p>
            <w:pPr>
              <w:pStyle w:val="Compact"/>
              <w:jc w:val="right"/>
            </w:pPr>
            <w:r>
              <w:t xml:space="preserve">9</w:t>
            </w:r>
          </w:p>
        </w:tc>
        <w:tc>
          <w:tcPr/>
          <w:p>
            <w:pPr>
              <w:pStyle w:val="Compact"/>
              <w:jc w:val="right"/>
            </w:pPr>
            <w:r>
              <w:t xml:space="preserve">0.01</w:t>
            </w:r>
          </w:p>
        </w:tc>
        <w:tc>
          <w:tcPr/>
          <w:p>
            <w:pPr>
              <w:pStyle w:val="Compact"/>
              <w:jc w:val="right"/>
            </w:pPr>
            <w:r>
              <w:t xml:space="preserve">0.96</w:t>
            </w:r>
          </w:p>
        </w:tc>
        <w:tc>
          <w:tcPr/>
          <w:p>
            <w:pPr>
              <w:pStyle w:val="Compact"/>
              <w:jc w:val="right"/>
            </w:pPr>
            <w:r>
              <w:t xml:space="preserve">0.96</w:t>
            </w:r>
          </w:p>
        </w:tc>
      </w:tr>
      <w:tr>
        <w:tc>
          <w:tcPr/>
          <w:p>
            <w:pPr>
              <w:pStyle w:val="Compact"/>
              <w:jc w:val="left"/>
            </w:pPr>
            <w:r>
              <w:t xml:space="preserve">Illness</w:t>
            </w:r>
          </w:p>
        </w:tc>
        <w:tc>
          <w:tcPr/>
          <w:p>
            <w:pPr>
              <w:pStyle w:val="Compact"/>
              <w:jc w:val="right"/>
            </w:pPr>
            <w:r>
              <w:t xml:space="preserve">0.22</w:t>
            </w:r>
          </w:p>
        </w:tc>
        <w:tc>
          <w:tcPr/>
          <w:p>
            <w:pPr>
              <w:pStyle w:val="Compact"/>
              <w:jc w:val="right"/>
            </w:pPr>
            <w:r>
              <w:t xml:space="preserve">-0.07</w:t>
            </w:r>
          </w:p>
        </w:tc>
        <w:tc>
          <w:tcPr/>
          <w:p>
            <w:pPr>
              <w:pStyle w:val="Compact"/>
              <w:jc w:val="right"/>
            </w:pPr>
            <w:r>
              <w:t xml:space="preserve">0.07</w:t>
            </w:r>
          </w:p>
        </w:tc>
        <w:tc>
          <w:tcPr/>
          <w:p>
            <w:pPr>
              <w:pStyle w:val="Compact"/>
              <w:jc w:val="right"/>
            </w:pPr>
            <w:r>
              <w:t xml:space="preserve">0.08</w:t>
            </w:r>
          </w:p>
        </w:tc>
        <w:tc>
          <w:tcPr/>
          <w:p>
            <w:pPr>
              <w:pStyle w:val="Compact"/>
              <w:jc w:val="right"/>
            </w:pPr>
            <w:r>
              <w:t xml:space="preserve">14</w:t>
            </w:r>
          </w:p>
        </w:tc>
        <w:tc>
          <w:tcPr/>
          <w:p>
            <w:pPr>
              <w:pStyle w:val="Compact"/>
              <w:jc w:val="right"/>
            </w:pPr>
            <w:r>
              <w:t xml:space="preserve">0.01</w:t>
            </w:r>
          </w:p>
        </w:tc>
        <w:tc>
          <w:tcPr/>
          <w:p>
            <w:pPr>
              <w:pStyle w:val="Compact"/>
              <w:jc w:val="right"/>
            </w:pPr>
            <w:r>
              <w:t xml:space="preserve">1.06</w:t>
            </w:r>
          </w:p>
        </w:tc>
        <w:tc>
          <w:tcPr/>
          <w:p>
            <w:pPr>
              <w:pStyle w:val="Compact"/>
              <w:jc w:val="right"/>
            </w:pPr>
            <w:r>
              <w:t xml:space="preserve">0.91</w:t>
            </w:r>
          </w:p>
        </w:tc>
      </w:tr>
      <w:tr>
        <w:tc>
          <w:tcPr/>
          <w:p>
            <w:pPr>
              <w:pStyle w:val="Compact"/>
              <w:jc w:val="left"/>
            </w:pPr>
            <w:r>
              <w:t xml:space="preserve">Violence</w:t>
            </w:r>
          </w:p>
        </w:tc>
        <w:tc>
          <w:tcPr/>
          <w:p>
            <w:pPr>
              <w:pStyle w:val="Compact"/>
              <w:jc w:val="right"/>
            </w:pPr>
            <w:r>
              <w:t xml:space="preserve">0.17</w:t>
            </w:r>
          </w:p>
        </w:tc>
        <w:tc>
          <w:tcPr/>
          <w:p>
            <w:pPr>
              <w:pStyle w:val="Compact"/>
              <w:jc w:val="right"/>
            </w:pPr>
            <w:r>
              <w:t xml:space="preserve">0.00</w:t>
            </w:r>
          </w:p>
        </w:tc>
        <w:tc>
          <w:tcPr/>
          <w:p>
            <w:pPr>
              <w:pStyle w:val="Compact"/>
              <w:jc w:val="right"/>
            </w:pPr>
            <w:r>
              <w:t xml:space="preserve">0.06</w:t>
            </w:r>
          </w:p>
        </w:tc>
        <w:tc>
          <w:tcPr/>
          <w:p>
            <w:pPr>
              <w:pStyle w:val="Compact"/>
              <w:jc w:val="right"/>
            </w:pPr>
            <w:r>
              <w:t xml:space="preserve">0.06</w:t>
            </w:r>
          </w:p>
        </w:tc>
        <w:tc>
          <w:tcPr/>
          <w:p>
            <w:pPr>
              <w:pStyle w:val="Compact"/>
              <w:jc w:val="right"/>
            </w:pPr>
            <w:r>
              <w:t xml:space="preserve">8</w:t>
            </w:r>
          </w:p>
        </w:tc>
        <w:tc>
          <w:tcPr/>
          <w:p>
            <w:pPr>
              <w:pStyle w:val="Compact"/>
              <w:jc w:val="right"/>
            </w:pPr>
            <w:r>
              <w:t xml:space="preserve">0.01</w:t>
            </w:r>
          </w:p>
        </w:tc>
        <w:tc>
          <w:tcPr/>
          <w:p>
            <w:pPr>
              <w:pStyle w:val="Compact"/>
              <w:jc w:val="right"/>
            </w:pPr>
            <w:r>
              <w:t xml:space="preserve">0.90</w:t>
            </w:r>
          </w:p>
        </w:tc>
        <w:tc>
          <w:tcPr/>
          <w:p>
            <w:pPr>
              <w:pStyle w:val="Compact"/>
              <w:jc w:val="right"/>
            </w:pPr>
            <w:r>
              <w:t xml:space="preserve">0.90</w:t>
            </w:r>
          </w:p>
        </w:tc>
      </w:tr>
      <w:tr>
        <w:tc>
          <w:tcPr/>
          <w:p>
            <w:pPr>
              <w:pStyle w:val="Compact"/>
              <w:jc w:val="left"/>
            </w:pPr>
            <w:r>
              <w:t xml:space="preserve">Operational</w:t>
            </w:r>
          </w:p>
        </w:tc>
        <w:tc>
          <w:tcPr/>
          <w:p>
            <w:pPr>
              <w:pStyle w:val="Compact"/>
              <w:jc w:val="right"/>
            </w:pPr>
            <w:r>
              <w:t xml:space="preserve">0.24</w:t>
            </w:r>
          </w:p>
        </w:tc>
        <w:tc>
          <w:tcPr/>
          <w:p>
            <w:pPr>
              <w:pStyle w:val="Compact"/>
              <w:jc w:val="right"/>
            </w:pPr>
            <w:r>
              <w:t xml:space="preserve">0.00</w:t>
            </w:r>
          </w:p>
        </w:tc>
        <w:tc>
          <w:tcPr/>
          <w:p>
            <w:pPr>
              <w:pStyle w:val="Compact"/>
              <w:jc w:val="right"/>
            </w:pPr>
            <w:r>
              <w:t xml:space="preserve">0.07</w:t>
            </w:r>
          </w:p>
        </w:tc>
        <w:tc>
          <w:tcPr/>
          <w:p>
            <w:pPr>
              <w:pStyle w:val="Compact"/>
              <w:jc w:val="right"/>
            </w:pPr>
            <w:r>
              <w:t xml:space="preserve">0.07</w:t>
            </w:r>
          </w:p>
        </w:tc>
        <w:tc>
          <w:tcPr/>
          <w:p>
            <w:pPr>
              <w:pStyle w:val="Compact"/>
              <w:jc w:val="right"/>
            </w:pPr>
            <w:r>
              <w:t xml:space="preserve">7</w:t>
            </w:r>
          </w:p>
        </w:tc>
        <w:tc>
          <w:tcPr/>
          <w:p>
            <w:pPr>
              <w:pStyle w:val="Compact"/>
              <w:jc w:val="right"/>
            </w:pPr>
            <w:r>
              <w:t xml:space="preserve">0.01</w:t>
            </w:r>
          </w:p>
        </w:tc>
        <w:tc>
          <w:tcPr/>
          <w:p>
            <w:pPr>
              <w:pStyle w:val="Compact"/>
              <w:jc w:val="right"/>
            </w:pPr>
            <w:r>
              <w:t xml:space="preserve">0.95</w:t>
            </w:r>
          </w:p>
        </w:tc>
        <w:tc>
          <w:tcPr/>
          <w:p>
            <w:pPr>
              <w:pStyle w:val="Compact"/>
              <w:jc w:val="right"/>
            </w:pPr>
            <w:r>
              <w:t xml:space="preserve">0.95</w:t>
            </w:r>
          </w:p>
        </w:tc>
      </w:tr>
      <w:tr>
        <w:tc>
          <w:tcPr/>
          <w:p>
            <w:pPr>
              <w:pStyle w:val="Compact"/>
              <w:jc w:val="left"/>
            </w:pPr>
            <w:r>
              <w:t xml:space="preserve">Hybrid</w:t>
            </w:r>
          </w:p>
        </w:tc>
        <w:tc>
          <w:tcPr/>
          <w:p>
            <w:pPr>
              <w:pStyle w:val="Compact"/>
              <w:jc w:val="right"/>
            </w:pPr>
            <w:r>
              <w:t xml:space="preserve">0.35</w:t>
            </w:r>
          </w:p>
        </w:tc>
        <w:tc>
          <w:tcPr/>
          <w:p>
            <w:pPr>
              <w:pStyle w:val="Compact"/>
              <w:jc w:val="right"/>
            </w:pPr>
            <w:r>
              <w:t xml:space="preserve">-0.02</w:t>
            </w:r>
          </w:p>
        </w:tc>
        <w:tc>
          <w:tcPr/>
          <w:p>
            <w:pPr>
              <w:pStyle w:val="Compact"/>
              <w:jc w:val="right"/>
            </w:pPr>
            <w:r>
              <w:t xml:space="preserve">0.06</w:t>
            </w:r>
          </w:p>
        </w:tc>
        <w:tc>
          <w:tcPr/>
          <w:p>
            <w:pPr>
              <w:pStyle w:val="Compact"/>
              <w:jc w:val="right"/>
            </w:pPr>
            <w:r>
              <w:t xml:space="preserve">0.11</w:t>
            </w:r>
          </w:p>
        </w:tc>
        <w:tc>
          <w:tcPr/>
          <w:p>
            <w:pPr>
              <w:pStyle w:val="Compact"/>
              <w:jc w:val="right"/>
            </w:pPr>
            <w:r>
              <w:t xml:space="preserve">5</w:t>
            </w:r>
          </w:p>
        </w:tc>
        <w:tc>
          <w:tcPr/>
          <w:p>
            <w:pPr>
              <w:pStyle w:val="Compact"/>
              <w:jc w:val="right"/>
            </w:pPr>
            <w:r>
              <w:t xml:space="preserve">0.01</w:t>
            </w:r>
          </w:p>
        </w:tc>
        <w:tc>
          <w:tcPr/>
          <w:p>
            <w:pPr>
              <w:pStyle w:val="Compact"/>
              <w:jc w:val="right"/>
            </w:pPr>
            <w:r>
              <w:t xml:space="preserve">0.92</w:t>
            </w:r>
          </w:p>
        </w:tc>
        <w:tc>
          <w:tcPr/>
          <w:p>
            <w:pPr>
              <w:pStyle w:val="Compact"/>
              <w:jc w:val="right"/>
            </w:pPr>
            <w:r>
              <w:t xml:space="preserve">0.85</w:t>
            </w:r>
          </w:p>
        </w:tc>
      </w:tr>
      <w:tr>
        <w:tc>
          <w:tcPr/>
          <w:p>
            <w:pPr>
              <w:pStyle w:val="Compact"/>
              <w:jc w:val="left"/>
            </w:pPr>
            <w:r>
              <w:t xml:space="preserve">Polarization</w:t>
            </w:r>
          </w:p>
        </w:tc>
        <w:tc>
          <w:tcPr/>
          <w:p>
            <w:pPr>
              <w:pStyle w:val="Compact"/>
              <w:jc w:val="right"/>
            </w:pPr>
            <w:r>
              <w:t xml:space="preserve">0.35</w:t>
            </w:r>
          </w:p>
        </w:tc>
        <w:tc>
          <w:tcPr/>
          <w:p>
            <w:pPr>
              <w:pStyle w:val="Compact"/>
              <w:jc w:val="right"/>
            </w:pPr>
            <w:r>
              <w:t xml:space="preserve">0.00</w:t>
            </w:r>
          </w:p>
        </w:tc>
        <w:tc>
          <w:tcPr/>
          <w:p>
            <w:pPr>
              <w:pStyle w:val="Compact"/>
              <w:jc w:val="right"/>
            </w:pPr>
            <w:r>
              <w:t xml:space="preserve">0.06</w:t>
            </w:r>
          </w:p>
        </w:tc>
        <w:tc>
          <w:tcPr/>
          <w:p>
            <w:pPr>
              <w:pStyle w:val="Compact"/>
              <w:jc w:val="right"/>
            </w:pPr>
            <w:r>
              <w:t xml:space="preserve">0.09</w:t>
            </w:r>
          </w:p>
        </w:tc>
        <w:tc>
          <w:tcPr/>
          <w:p>
            <w:pPr>
              <w:pStyle w:val="Compact"/>
              <w:jc w:val="right"/>
            </w:pPr>
            <w:r>
              <w:t xml:space="preserve">4</w:t>
            </w:r>
          </w:p>
        </w:tc>
        <w:tc>
          <w:tcPr/>
          <w:p>
            <w:pPr>
              <w:pStyle w:val="Compact"/>
              <w:jc w:val="right"/>
            </w:pPr>
            <w:r>
              <w:t xml:space="preserve">0.01</w:t>
            </w:r>
          </w:p>
        </w:tc>
        <w:tc>
          <w:tcPr/>
          <w:p>
            <w:pPr>
              <w:pStyle w:val="Compact"/>
              <w:jc w:val="right"/>
            </w:pPr>
            <w:r>
              <w:t xml:space="preserve">0.78</w:t>
            </w:r>
          </w:p>
        </w:tc>
        <w:tc>
          <w:tcPr/>
          <w:p>
            <w:pPr>
              <w:pStyle w:val="Compact"/>
              <w:jc w:val="right"/>
            </w:pPr>
            <w:r>
              <w:t xml:space="preserve">0.78</w:t>
            </w:r>
          </w:p>
        </w:tc>
      </w:tr>
    </w:tbl>
    <w:bookmarkEnd w:id="60"/>
    <w:p>
      <w:pPr>
        <w:pStyle w:val="BodyText"/>
      </w:pPr>
      <w:r>
        <w:t xml:space="preserve">There are two distinct connections in the network: Traffic-Fire (0.39) and Hybrid-Polarization (0.35). Most other connections are fairly weak, with low-to-medium partial correlations.</w:t>
      </w:r>
    </w:p>
    <w:p>
      <w:pPr>
        <w:pStyle w:val="BodyText"/>
      </w:pPr>
      <w:r>
        <w:t xml:space="preserve">The strongest connections are between Traffic and Fire (strength = 0.39). Most nodes have only positive connections, with nuclear, work, illness, and hybrid being the only nodes with connections below zero. Mean connection strength is low across most nodes, but variation among nodes is comparatively high.</w:t>
      </w:r>
    </w:p>
    <w:p>
      <w:pPr>
        <w:pStyle w:val="BodyText"/>
      </w:pPr>
      <w:r>
        <w:t xml:space="preserve">Four node connections are negative: Fire-Hybrid (0), Nuclear-Hybrid (-0.02), Work-Illness (-0.07), and Hybrid-Work (-0.01).</w:t>
      </w:r>
    </w:p>
    <w:p>
      <w:pPr>
        <w:pStyle w:val="BodyText"/>
      </w:pPr>
      <w:hyperlink w:anchor="fig-bootstrapped-model-2">
        <w:r>
          <w:rPr>
            <w:rStyle w:val="Hyperlink"/>
          </w:rPr>
          <w:t xml:space="preserve">Figure 6</w:t>
        </w:r>
      </w:hyperlink>
      <w:r>
        <w:t xml:space="preserve"> </w:t>
      </w:r>
      <w:r>
        <w:t xml:space="preserve">shows node centrality measures by node and measure. Strength varies between 0.6 for extreme weather phenomena and 1.1 for fire.</w:t>
      </w:r>
    </w:p>
    <w:p>
      <w:pPr>
        <w:pStyle w:val="BodyText"/>
      </w:pPr>
      <w:r>
        <w:t xml:space="preserve">Closeness is very low, with every node around 0.005 in closeness. The similarity in scores suggests that nodes are fairly evenly connected.</w:t>
      </w:r>
    </w:p>
    <w:p>
      <w:pPr>
        <w:pStyle w:val="BodyText"/>
      </w:pPr>
      <w:r>
        <w:t xml:space="preserve">Betweenness, however, is much more varied. Weather presents a betweenness of zero, meaning that it does not feature in any shortest path connection in the network. At the other end, Environmental and Illness feature in fourteen shortest paths, thus being very central nodes in the network.</w:t>
      </w:r>
    </w:p>
    <w:p>
      <w:pPr>
        <w:pStyle w:val="BodyText"/>
      </w:pPr>
      <w:r>
        <w:t xml:space="preserve">As there are very few negative connections, expected influence mirrors strength for most nodes. Fire, Nuclear, Work, Illness, Operational, and Hybrid present at least one negative connection, which results in their expected influence being slightly lower than their strength.</w:t>
      </w:r>
    </w:p>
    <w:p>
      <w:pPr>
        <w:pStyle w:val="BodyText"/>
      </w:pPr>
      <w:hyperlink w:anchor="tbl-sml">
        <w:r>
          <w:rPr>
            <w:rStyle w:val="Hyperlink"/>
          </w:rPr>
          <w:t xml:space="preserve">Table 2</w:t>
        </w:r>
      </w:hyperlink>
      <w:r>
        <w:t xml:space="preserve"> </w:t>
      </w:r>
      <w:r>
        <w:t xml:space="preserve">shows the smallworldness statistics for the network. The smallworldness index is not substantially larger than either 1 or 3, suggesting that the network is not a small-world network</w:t>
      </w:r>
      <w:r>
        <w:t xml:space="preserve"> </w:t>
      </w:r>
      <w:r>
        <w:t xml:space="preserve">(Humphries &amp; Gurney, 2008; Newman, 2003)</w:t>
      </w:r>
      <w:r>
        <w:t xml:space="preserve">. Neither transitivity nor average path length (APL) is substantially higher than their randomly generated counterparts, further suggesting that the network is not considered a small-world network.</w:t>
      </w:r>
    </w:p>
    <w:bookmarkStart w:id="61" w:name="tbl-sml"/>
    <w:p>
      <w:pPr>
        <w:pStyle w:val="TableCaption"/>
      </w:pPr>
      <w:r>
        <w:t xml:space="preserve">Table 2: Smallworldness statistics of bootstrapped network, 1000 permutations for random networks</w:t>
      </w:r>
    </w:p>
    <w:tbl>
      <w:tblPr>
        <w:tblStyle w:val="Table"/>
        <w:tblW w:type="pct" w:w="5000"/>
        <w:tblLook w:firstRow="1" w:lastRow="0" w:firstColumn="0" w:lastColumn="0" w:noHBand="0" w:noVBand="0" w:val="0020"/>
        <w:jc w:val="start"/>
        <w:tblCaption w:val="Table 2: Smallworldness statistics of bootstrapped network, 1000 permutations for random networks"/>
      </w:tblPr>
      <w:tblGrid>
        <w:gridCol w:w="1868"/>
        <w:gridCol w:w="1156"/>
        <w:gridCol w:w="533"/>
        <w:gridCol w:w="2580"/>
        <w:gridCol w:w="1779"/>
      </w:tblGrid>
      <w:tr>
        <w:trPr>
          <w:tblHeader w:val="true"/>
        </w:trPr>
        <w:tc>
          <w:tcPr/>
          <w:p>
            <w:pPr>
              <w:pStyle w:val="Compact"/>
              <w:jc w:val="right"/>
            </w:pPr>
            <w:r>
              <w:t xml:space="preserve">Smallworldness Index</w:t>
            </w:r>
          </w:p>
        </w:tc>
        <w:tc>
          <w:tcPr/>
          <w:p>
            <w:pPr>
              <w:pStyle w:val="Compact"/>
              <w:jc w:val="right"/>
            </w:pPr>
            <w:r>
              <w:t xml:space="preserve">Transitivity</w:t>
            </w:r>
          </w:p>
        </w:tc>
        <w:tc>
          <w:tcPr/>
          <w:p>
            <w:pPr>
              <w:pStyle w:val="Compact"/>
              <w:jc w:val="right"/>
            </w:pPr>
            <w:r>
              <w:t xml:space="preserve">APL</w:t>
            </w:r>
          </w:p>
        </w:tc>
        <w:tc>
          <w:tcPr/>
          <w:p>
            <w:pPr>
              <w:pStyle w:val="Compact"/>
              <w:jc w:val="left"/>
            </w:pPr>
            <w:r>
              <w:t xml:space="preserve">Random transitivity (95% CI)</w:t>
            </w:r>
          </w:p>
        </w:tc>
        <w:tc>
          <w:tcPr/>
          <w:p>
            <w:pPr>
              <w:pStyle w:val="Compact"/>
              <w:jc w:val="left"/>
            </w:pPr>
            <w:r>
              <w:t xml:space="preserve">Random APL (95% CI)</w:t>
            </w:r>
          </w:p>
        </w:tc>
      </w:tr>
      <w:tr>
        <w:tc>
          <w:tcPr/>
          <w:p>
            <w:pPr>
              <w:pStyle w:val="Compact"/>
              <w:jc w:val="right"/>
            </w:pPr>
            <w:r>
              <w:t xml:space="preserve">1.024</w:t>
            </w:r>
          </w:p>
        </w:tc>
        <w:tc>
          <w:tcPr/>
          <w:p>
            <w:pPr>
              <w:pStyle w:val="Compact"/>
              <w:jc w:val="right"/>
            </w:pPr>
            <w:r>
              <w:t xml:space="preserve">0.731</w:t>
            </w:r>
          </w:p>
        </w:tc>
        <w:tc>
          <w:tcPr/>
          <w:p>
            <w:pPr>
              <w:pStyle w:val="Compact"/>
              <w:jc w:val="right"/>
            </w:pPr>
            <w:r>
              <w:t xml:space="preserve">1.264</w:t>
            </w:r>
          </w:p>
        </w:tc>
        <w:tc>
          <w:tcPr/>
          <w:p>
            <w:pPr>
              <w:pStyle w:val="Compact"/>
              <w:jc w:val="left"/>
            </w:pPr>
            <w:r>
              <w:t xml:space="preserve">0.714 (0.695-0.736)</w:t>
            </w:r>
          </w:p>
        </w:tc>
        <w:tc>
          <w:tcPr/>
          <w:p>
            <w:pPr>
              <w:pStyle w:val="Compact"/>
              <w:jc w:val="left"/>
            </w:pPr>
            <w:r>
              <w:t xml:space="preserve">1.264 (1.264-1.264)</w:t>
            </w:r>
          </w:p>
        </w:tc>
      </w:tr>
    </w:tbl>
    <w:bookmarkEnd w:id="61"/>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62" w:name="fig-bootstrapped-model-2"/>
          <w:p>
            <w:pPr>
              <w:jc w:val="center"/>
            </w:pPr>
          </w:p>
          <w:p>
            <w:pPr>
              <w:jc w:val="center"/>
            </w:pPr>
            <w:pPr>
              <w:jc w:val="start"/>
              <w:spacing w:before="200"/>
              <w:pStyle w:val="ImageCaption"/>
            </w:pPr>
            <w:r>
              <w:t xml:space="preserve">Figure 6: Centrality measures of bootstrapped network, raw scores.</w:t>
            </w:r>
          </w:p>
          <w:bookmarkEnd w:id="62"/>
        </w:tc>
      </w:tr>
    </w:tbl>
    <w:p>
      <w:pPr>
        <w:pStyle w:val="BodyText"/>
      </w:pPr>
      <w:r>
        <w:t xml:space="preserve">The case-dropped models can be correlated with the original model to estimate how well the case-dropped model centrality measures represent the original. The</w:t>
      </w:r>
      <w:r>
        <w:t xml:space="preserve"> </w:t>
      </w:r>
      <w:r>
        <w:rPr>
          <w:iCs/>
          <w:i/>
        </w:rPr>
        <w:t xml:space="preserve">correlation stability coefficient</w:t>
      </w:r>
      <w:r>
        <w:t xml:space="preserve"> </w:t>
      </w:r>
      <w:r>
        <w:t xml:space="preserve">(CS coefficient) then determines the proportion of cases that may be dropped whilst still retaining a correlation of</w:t>
      </w:r>
      <w:r>
        <w:t xml:space="preserve"> </w:t>
      </w:r>
      <m:oMath>
        <m:r>
          <m:t>r</m:t>
        </m:r>
        <m:r>
          <m:rPr>
            <m:sty m:val="p"/>
          </m:rPr>
          <m:t>=</m:t>
        </m:r>
        <m:r>
          <m:t>p</m:t>
        </m:r>
      </m:oMath>
      <w:r>
        <w:t xml:space="preserve">, where</w:t>
      </w:r>
      <w:r>
        <w:t xml:space="preserve"> </w:t>
      </w:r>
      <m:oMath>
        <m:r>
          <m:t>p</m:t>
        </m:r>
      </m:oMath>
      <w:r>
        <w:t xml:space="preserve"> </w:t>
      </w:r>
      <w:r>
        <w:t xml:space="preserve">is the preferred correlational level, in</w:t>
      </w:r>
      <w:r>
        <w:t xml:space="preserve"> </w:t>
      </w:r>
      <m:oMath>
        <m:d>
          <m:dPr>
            <m:begChr m:val="("/>
            <m:endChr m:val=")"/>
            <m:sepChr m:val=""/>
            <m:grow/>
          </m:dPr>
          <m:e>
            <m:r>
              <m:t>1</m:t>
            </m:r>
            <m:r>
              <m:rPr>
                <m:sty m:val="p"/>
              </m:rPr>
              <m:t>−</m:t>
            </m:r>
            <m:r>
              <m:t>α</m:t>
            </m:r>
          </m:e>
        </m:d>
        <m:r>
          <m:rPr>
            <m:sty m:val="p"/>
          </m:rPr>
          <m:t>/</m:t>
        </m:r>
        <m:r>
          <m:t>100</m:t>
        </m:r>
      </m:oMath>
      <w:r>
        <w:t xml:space="preserve"> </w:t>
      </w:r>
      <w:r>
        <w:t xml:space="preserve">% of cases. For this study, we use the default values of</w:t>
      </w:r>
      <w:r>
        <w:t xml:space="preserve"> </w:t>
      </w:r>
      <m:oMath>
        <m:r>
          <m:t>r</m:t>
        </m:r>
        <m:r>
          <m:rPr>
            <m:sty m:val="p"/>
          </m:rPr>
          <m:t>=</m:t>
        </m:r>
        <m:r>
          <m:t>0.7</m:t>
        </m:r>
      </m:oMath>
      <w:r>
        <w:t xml:space="preserve"> </w:t>
      </w:r>
      <w:r>
        <w:t xml:space="preserve">and</w:t>
      </w:r>
      <w:r>
        <w:t xml:space="preserve"> </w:t>
      </w:r>
      <m:oMath>
        <m:r>
          <m:t>95</m:t>
        </m:r>
      </m:oMath>
      <w:r>
        <w:t xml:space="preserve"> </w:t>
      </w:r>
      <w:r>
        <w:t xml:space="preserve">per cent.</w:t>
      </w:r>
    </w:p>
    <w:p>
      <w:pPr>
        <w:pStyle w:val="BodyText"/>
      </w:pPr>
      <w:r>
        <w:t xml:space="preserve">Previous research suggests that, when interpreting differences between centralities (e.g., if one risk perception is more central to the network than another), the centrality stability coefficient should preferably be above 0.5, with higher equalling a more stable centrality measure</w:t>
      </w:r>
      <w:r>
        <w:t xml:space="preserve"> </w:t>
      </w:r>
      <w:r>
        <w:t xml:space="preserve">(Epskamp et al., 2018; Fried et al., 2022)</w:t>
      </w:r>
      <w:r>
        <w:t xml:space="preserve">.</w:t>
      </w:r>
    </w:p>
    <w:p>
      <w:pPr>
        <w:pStyle w:val="BodyText"/>
      </w:pPr>
      <w:hyperlink w:anchor="fig-bootstrapped-model-3">
        <w:r>
          <w:rPr>
            <w:rStyle w:val="Hyperlink"/>
          </w:rPr>
          <w:t xml:space="preserve">Figure 7</w:t>
        </w:r>
      </w:hyperlink>
      <w:r>
        <w:t xml:space="preserve"> </w:t>
      </w:r>
      <w:r>
        <w:t xml:space="preserve">shows the stability of the centrality measures when case-dropping. The CS coefficients are listed in</w:t>
      </w:r>
      <w:r>
        <w:t xml:space="preserve"> </w:t>
      </w:r>
      <w:hyperlink w:anchor="tbl-cscoef">
        <w:r>
          <w:rPr>
            <w:rStyle w:val="Hyperlink"/>
          </w:rPr>
          <w:t xml:space="preserve">Table 3</w:t>
        </w:r>
      </w:hyperlink>
      <w:r>
        <w:t xml:space="preserve">. Strength, closeness and expected influence are all stable, with up to 75 per cent of cases having to be dropped before the correlation drops below 0.7 in 95% of bootstraps. However, betweenness does not seem to be stable enough to interpret, at a CS coefficient of only 0.44.</w:t>
      </w:r>
    </w:p>
    <w:bookmarkStart w:id="63" w:name="tbl-cscoef"/>
    <w:p>
      <w:pPr>
        <w:pStyle w:val="TableCaption"/>
      </w:pPr>
      <w:r>
        <w:t xml:space="preserve">Table 3: Correlation Stability (CS) coefficients of the bootstrapped model</w:t>
      </w:r>
    </w:p>
    <w:tbl>
      <w:tblPr>
        <w:tblStyle w:val="Table"/>
        <w:tblW w:type="auto" w:w="0"/>
        <w:tblLook w:firstRow="1" w:lastRow="0" w:firstColumn="0" w:lastColumn="0" w:noHBand="0" w:noVBand="0" w:val="0020"/>
        <w:jc w:val="start"/>
        <w:tblCaption w:val="Table 3: Correlation Stability (CS) coefficients of the bootstrapped model"/>
      </w:tblPr>
      <w:tblGrid>
        <w:gridCol w:w="3960"/>
        <w:gridCol w:w="3960"/>
      </w:tblGrid>
      <w:tr>
        <w:trPr>
          <w:tblHeader w:val="true"/>
        </w:trPr>
        <w:tc>
          <w:tcPr/>
          <w:p>
            <w:pPr>
              <w:pStyle w:val="Compact"/>
              <w:jc w:val="left"/>
            </w:pPr>
            <w:r>
              <w:t xml:space="preserve">Measure</w:t>
            </w:r>
          </w:p>
        </w:tc>
        <w:tc>
          <w:tcPr/>
          <w:p>
            <w:pPr>
              <w:pStyle w:val="Compact"/>
              <w:jc w:val="left"/>
            </w:pPr>
            <w:r>
              <w:t xml:space="preserve">CS coefficient</w:t>
            </w:r>
          </w:p>
        </w:tc>
      </w:tr>
      <w:tr>
        <w:tc>
          <w:tcPr/>
          <w:p>
            <w:pPr>
              <w:pStyle w:val="Compact"/>
              <w:jc w:val="left"/>
            </w:pPr>
            <w:r>
              <w:t xml:space="preserve">Betweenness</w:t>
            </w:r>
          </w:p>
        </w:tc>
        <w:tc>
          <w:tcPr/>
          <w:p>
            <w:pPr>
              <w:pStyle w:val="Compact"/>
              <w:jc w:val="left"/>
            </w:pPr>
            <w:r>
              <w:t xml:space="preserve">0.44</w:t>
            </w:r>
          </w:p>
        </w:tc>
      </w:tr>
      <w:tr>
        <w:tc>
          <w:tcPr/>
          <w:p>
            <w:pPr>
              <w:pStyle w:val="Compact"/>
              <w:jc w:val="left"/>
            </w:pPr>
            <w:r>
              <w:t xml:space="preserve">Closeness</w:t>
            </w:r>
          </w:p>
        </w:tc>
        <w:tc>
          <w:tcPr/>
          <w:p>
            <w:pPr>
              <w:pStyle w:val="Compact"/>
              <w:jc w:val="left"/>
            </w:pPr>
            <w:r>
              <w:t xml:space="preserve">0.75</w:t>
            </w:r>
          </w:p>
        </w:tc>
      </w:tr>
      <w:tr>
        <w:tc>
          <w:tcPr/>
          <w:p>
            <w:pPr>
              <w:pStyle w:val="Compact"/>
              <w:jc w:val="left"/>
            </w:pPr>
            <w:r>
              <w:t xml:space="preserve">Expected Influence</w:t>
            </w:r>
          </w:p>
        </w:tc>
        <w:tc>
          <w:tcPr/>
          <w:p>
            <w:pPr>
              <w:pStyle w:val="Compact"/>
              <w:jc w:val="left"/>
            </w:pPr>
            <w:r>
              <w:t xml:space="preserve">0.75</w:t>
            </w:r>
          </w:p>
        </w:tc>
      </w:tr>
      <w:tr>
        <w:tc>
          <w:tcPr/>
          <w:p>
            <w:pPr>
              <w:pStyle w:val="Compact"/>
              <w:jc w:val="left"/>
            </w:pPr>
            <w:r>
              <w:t xml:space="preserve">Strength</w:t>
            </w:r>
          </w:p>
        </w:tc>
        <w:tc>
          <w:tcPr/>
          <w:p>
            <w:pPr>
              <w:pStyle w:val="Compact"/>
              <w:jc w:val="left"/>
            </w:pPr>
            <w:r>
              <w:t xml:space="preserve">0.75</w:t>
            </w:r>
          </w:p>
        </w:tc>
      </w:tr>
    </w:tbl>
    <w:bookmarkEnd w:id="63"/>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64" w:name="fig-bootstrapped-model-3"/>
          <w:p>
            <w:pPr>
              <w:jc w:val="center"/>
            </w:pPr>
          </w:p>
          <w:p>
            <w:pPr>
              <w:jc w:val="center"/>
            </w:pPr>
            <w:pPr>
              <w:jc w:val="start"/>
              <w:spacing w:before="200"/>
              <w:pStyle w:val="ImageCaption"/>
            </w:pPr>
            <w:r>
              <w:t xml:space="preserve">Figure 7: Stability plot</w:t>
            </w:r>
          </w:p>
          <w:bookmarkEnd w:id="64"/>
        </w:tc>
      </w:tr>
    </w:tbl>
    <w:p>
      <w:pPr>
        <w:pStyle w:val="BodyText"/>
      </w:pPr>
      <w:hyperlink w:anchor="fig-bootstrapped-model-4">
        <w:r>
          <w:rPr>
            <w:rStyle w:val="Hyperlink"/>
          </w:rPr>
          <w:t xml:space="preserve">Figure 8</w:t>
        </w:r>
      </w:hyperlink>
      <w:r>
        <w:t xml:space="preserve"> </w:t>
      </w:r>
      <w:r>
        <w:t xml:space="preserve">shows significance tests of the differences in connection strengths between each node-pair vertex, ordered by connection strength in the original estimated network. In other words, we tested whether two connections significantly differ from each other at</w:t>
      </w:r>
      <w:r>
        <w:t xml:space="preserve"> </w:t>
      </w:r>
      <m:oMath>
        <m:r>
          <m:t>α</m:t>
        </m:r>
        <m:r>
          <m:rPr>
            <m:sty m:val="p"/>
          </m:rPr>
          <m:t>=</m:t>
        </m:r>
        <m:r>
          <m:t>0.05</m:t>
        </m:r>
      </m:oMath>
      <w:r>
        <w:t xml:space="preserve">. Around half of the comparisons are significant. The Work-Illness vertex is significantly different from every other vertex. Traffic-Fire and Hybrid-Polarization are both significantly different from all other vertices except from each other.</w:t>
      </w:r>
    </w:p>
    <w:tbl>
      <w:tblPr>
        <w:tblStyle w:val="Table"/>
        <w:tblW w:type="pct" w:w="5000"/>
        <w:tblLook w:firstRow="0" w:lastRow="0" w:firstColumn="0" w:lastColumn="0" w:noHBand="0" w:noVBand="0" w:val="0000"/>
        <w:jc w:val="start"/>
      </w:tblPr>
      <w:tblGrid>
        <w:gridCol w:w="7920"/>
      </w:tblGrid>
      <w:tr>
        <w:tc>
          <w:tcPr/>
          <w:bookmarkStart w:id="65" w:name="fig-bootstrapped-model-4"/>
          <w:p>
            <w:pPr>
              <w:jc w:val="center"/>
            </w:pPr>
          </w:p>
          <w:p>
            <w:pPr>
              <w:jc w:val="center"/>
            </w:pPr>
            <w:pPr>
              <w:jc w:val="start"/>
              <w:spacing w:before="200"/>
              <w:pStyle w:val="ImageCaption"/>
            </w:pPr>
            <w:r>
              <w:t xml:space="preserve">Figure 8: Connection pair-wise significance tests. Diagonal shows strength of original connection, gray boxes indicate non-significant differences, black boxes indicate significant differences at 0.05.</w:t>
            </w:r>
          </w:p>
          <w:bookmarkEnd w:id="65"/>
        </w:tc>
      </w:tr>
    </w:tbl>
    <w:bookmarkEnd w:id="66"/>
    <w:bookmarkStart w:id="78" w:name="sec-networkcomparisons"/>
    <w:p>
      <w:pPr>
        <w:pStyle w:val="Heading2"/>
      </w:pPr>
      <w:r>
        <w:t xml:space="preserve">Network Comparisons</w:t>
      </w:r>
    </w:p>
    <w:p>
      <w:pPr>
        <w:pStyle w:val="FirstParagraph"/>
      </w:pPr>
      <w:r>
        <w:t xml:space="preserve">We compared networks conditioned on the three substantive control variables (see</w:t>
      </w:r>
      <w:r>
        <w:t xml:space="preserve"> </w:t>
      </w:r>
      <w:hyperlink w:anchor="sec-controlvariables">
        <w:r>
          <w:rPr>
            <w:rStyle w:val="Hyperlink"/>
          </w:rPr>
          <w:t xml:space="preserve">Section 4.1.3</w:t>
        </w:r>
      </w:hyperlink>
      <w:r>
        <w:t xml:space="preserve">): Direct experience of fire, near miss-experience of fire, and emergency services employment. In each case, we expect a lower global density - reflecting the weakening of System II risk assessment in favour of System I. We further hypothesised that the node strength of fire experience would follow a unique development:</w:t>
      </w:r>
    </w:p>
    <w:p>
      <w:pPr>
        <w:numPr>
          <w:ilvl w:val="0"/>
          <w:numId w:val="1012"/>
        </w:numPr>
        <w:pStyle w:val="Compact"/>
      </w:pPr>
      <w:r>
        <w:t xml:space="preserve">Experiencing a fire leads to higher probability (the salience hypothesis).</w:t>
      </w:r>
    </w:p>
    <w:p>
      <w:pPr>
        <w:numPr>
          <w:ilvl w:val="0"/>
          <w:numId w:val="1012"/>
        </w:numPr>
        <w:pStyle w:val="Compact"/>
      </w:pPr>
      <w:r>
        <w:t xml:space="preserve">Experiencing a near-miss leads to lower probability (the false certainty hypothesis).</w:t>
      </w:r>
    </w:p>
    <w:p>
      <w:pPr>
        <w:numPr>
          <w:ilvl w:val="0"/>
          <w:numId w:val="1012"/>
        </w:numPr>
        <w:pStyle w:val="Compact"/>
      </w:pPr>
      <w:r>
        <w:t xml:space="preserve">Working in emergency services leads to higher probability (the culture hypothesis).</w:t>
      </w:r>
    </w:p>
    <w:p>
      <w:pPr>
        <w:pStyle w:val="FirstParagraph"/>
      </w:pPr>
      <w:r>
        <w:t xml:space="preserve">The statistics are shown in</w:t>
      </w:r>
      <w:r>
        <w:t xml:space="preserve"> </w:t>
      </w:r>
      <w:hyperlink w:anchor="tbl-networkcomps">
        <w:r>
          <w:rPr>
            <w:rStyle w:val="Hyperlink"/>
          </w:rPr>
          <w:t xml:space="preserve">Table 4</w:t>
        </w:r>
      </w:hyperlink>
      <w:r>
        <w:t xml:space="preserve">. The networks are graphed in</w:t>
      </w:r>
      <w:r>
        <w:t xml:space="preserve"> </w:t>
      </w:r>
      <w:hyperlink w:anchor="fig-comp-graphs">
        <w:r>
          <w:rPr>
            <w:rStyle w:val="Hyperlink"/>
          </w:rPr>
          <w:t xml:space="preserve">Figure 9</w:t>
        </w:r>
      </w:hyperlink>
      <w:r>
        <w:t xml:space="preserve">.</w:t>
      </w:r>
    </w:p>
    <w:bookmarkStart w:id="70" w:name="tbl-networkcomps"/>
    <w:tbl>
      <w:tblPr>
        <w:tblStyle w:val="Table"/>
        <w:tblW w:type="pct" w:w="5000"/>
        <w:tblLook w:firstRow="0" w:lastRow="0" w:firstColumn="0" w:lastColumn="0" w:noHBand="0" w:noVBand="0" w:val="0000"/>
        <w:jc w:val="start"/>
      </w:tblPr>
      <w:tblGrid>
        <w:gridCol w:w="3960"/>
        <w:gridCol w:w="3960"/>
      </w:tblGrid>
      <w:tr>
        <w:tc>
          <w:tcPr/>
          <w:bookmarkStart w:id="67" w:name="tbl-comp-1"/>
          <w:p>
            <w:pPr>
              <w:jc w:val="left"/>
            </w:pPr>
            <w:pPr>
              <w:jc w:val="center"/>
              <w:spacing w:before="200"/>
              <w:pStyle w:val="ImageCaption"/>
            </w:pPr>
            <w:r>
              <w:t xml:space="preserve">(a) Direct Experience of Fire (1000 permutations)</w:t>
            </w:r>
          </w:p>
          <w:tbl>
            <w:tblPr>
              <w:tblStyle w:val="Table"/>
              <w:tblW w:type="pct" w:w="4900"/>
              <w:tblLook w:firstRow="1" w:lastRow="0" w:firstColumn="0" w:lastColumn="0" w:noHBand="0" w:noVBand="0" w:val="0020"/>
              <w:jc w:val="start"/>
            </w:tblPr>
            <w:tblGrid>
              <w:gridCol w:w="2587"/>
              <w:gridCol w:w="2587"/>
              <w:gridCol w:w="2587"/>
            </w:tblGrid>
            <w:tr>
              <w:trPr>
                <w:tblHeader w:val="true"/>
              </w:trPr>
              <w:tc>
                <w:tcPr/>
                <w:p>
                  <w:pPr>
                    <w:pStyle w:val="Compact"/>
                    <w:jc w:val="left"/>
                    <w:jc w:val="left"/>
                  </w:pPr>
                  <w:r>
                    <w:t xml:space="preserve">Test</w:t>
                  </w:r>
                </w:p>
              </w:tc>
              <w:tc>
                <w:tcPr/>
                <w:p>
                  <w:pPr>
                    <w:pStyle w:val="Compact"/>
                    <w:jc w:val="left"/>
                    <w:jc w:val="left"/>
                  </w:pPr>
                  <w:r>
                    <w:t xml:space="preserve">Statistic</w:t>
                  </w:r>
                </w:p>
              </w:tc>
              <w:tc>
                <w:tcPr/>
                <w:p>
                  <w:pPr>
                    <w:pStyle w:val="Compact"/>
                    <w:jc w:val="left"/>
                    <w:jc w:val="left"/>
                  </w:pPr>
                  <w:r>
                    <w:t xml:space="preserve">Significance</w:t>
                  </w:r>
                </w:p>
              </w:tc>
            </w:tr>
            <w:tr>
              <w:tc>
                <w:tcPr/>
                <w:p>
                  <w:pPr>
                    <w:pStyle w:val="Compact"/>
                    <w:jc w:val="left"/>
                    <w:jc w:val="left"/>
                  </w:pPr>
                  <w:r>
                    <w:t xml:space="preserve">Network variance</w:t>
                  </w:r>
                </w:p>
              </w:tc>
              <w:tc>
                <w:tcPr/>
                <w:p>
                  <w:pPr>
                    <w:pStyle w:val="Compact"/>
                    <w:jc w:val="left"/>
                    <w:jc w:val="left"/>
                  </w:pPr>
                  <m:oMath>
                    <m:sSub>
                      <m:e>
                        <m:r>
                          <m:t>Δ</m:t>
                        </m:r>
                      </m:e>
                      <m:sub>
                        <m:r>
                          <m:t>O</m:t>
                        </m:r>
                      </m:sub>
                    </m:sSub>
                    <m:r>
                      <m:rPr>
                        <m:sty m:val="p"/>
                      </m:rPr>
                      <m:t>=</m:t>
                    </m:r>
                  </m:oMath>
                  <w:r>
                    <w:t xml:space="preserve"> </w:t>
                  </w:r>
                  <w:r>
                    <w:t xml:space="preserve">0.11</w:t>
                  </w:r>
                </w:p>
              </w:tc>
              <w:tc>
                <w:tcPr/>
                <w:p>
                  <w:pPr>
                    <w:pStyle w:val="Compact"/>
                    <w:jc w:val="left"/>
                    <w:jc w:val="left"/>
                  </w:pPr>
                  <m:oMath>
                    <m:r>
                      <m:t>p</m:t>
                    </m:r>
                    <m:r>
                      <m:rPr>
                        <m:sty m:val="p"/>
                      </m:rPr>
                      <m:t>=</m:t>
                    </m:r>
                  </m:oMath>
                  <w:r>
                    <w:t xml:space="preserve"> </w:t>
                  </w:r>
                  <w:r>
                    <w:t xml:space="preserve">0.5654</w:t>
                  </w:r>
                </w:p>
              </w:tc>
            </w:tr>
            <w:tr>
              <w:tc>
                <w:tcPr/>
                <w:p>
                  <w:pPr>
                    <w:pStyle w:val="Compact"/>
                    <w:jc w:val="left"/>
                    <w:jc w:val="left"/>
                  </w:pPr>
                  <w:r>
                    <w:t xml:space="preserve">Global strength</w:t>
                  </w:r>
                </w:p>
              </w:tc>
              <w:tc>
                <w:tcPr/>
                <w:p>
                  <w:pPr>
                    <w:pStyle w:val="Compact"/>
                    <w:jc w:val="left"/>
                    <w:jc w:val="left"/>
                  </w:pPr>
                  <m:oMath>
                    <m:sSubSup>
                      <m:e>
                        <m:r>
                          <m:t>Δ</m:t>
                        </m:r>
                      </m:e>
                      <m:sub>
                        <m:r>
                          <m:t>S</m:t>
                        </m:r>
                      </m:sub>
                      <m:sup>
                        <m:r>
                          <m:t>g</m:t>
                        </m:r>
                      </m:sup>
                    </m:sSubSup>
                    <m:r>
                      <m:rPr>
                        <m:sty m:val="p"/>
                      </m:rPr>
                      <m:t>=</m:t>
                    </m:r>
                  </m:oMath>
                  <w:r>
                    <w:t xml:space="preserve"> </w:t>
                  </w:r>
                  <w:r>
                    <w:t xml:space="preserve">0.28</w:t>
                  </w:r>
                </w:p>
              </w:tc>
              <w:tc>
                <w:tcPr/>
                <w:p>
                  <w:pPr>
                    <w:pStyle w:val="Compact"/>
                    <w:jc w:val="left"/>
                    <w:jc w:val="left"/>
                  </w:pPr>
                  <m:oMath>
                    <m:r>
                      <m:t>p</m:t>
                    </m:r>
                    <m:r>
                      <m:rPr>
                        <m:sty m:val="p"/>
                      </m:rPr>
                      <m:t>=</m:t>
                    </m:r>
                  </m:oMath>
                  <w:r>
                    <w:t xml:space="preserve"> </w:t>
                  </w:r>
                  <w:r>
                    <w:t xml:space="preserve">0.001</w:t>
                  </w:r>
                </w:p>
              </w:tc>
            </w:tr>
            <w:tr>
              <w:tc>
                <w:tcPr/>
                <w:p>
                  <w:pPr>
                    <w:pStyle w:val="Compact"/>
                    <w:jc w:val="left"/>
                    <w:jc w:val="left"/>
                  </w:pPr>
                  <w:r>
                    <w:t xml:space="preserve">Closeness</w:t>
                  </w:r>
                </w:p>
              </w:tc>
              <w:tc>
                <w:tcPr/>
                <w:p>
                  <w:pPr>
                    <w:pStyle w:val="Compact"/>
                    <w:jc w:val="left"/>
                    <w:jc w:val="left"/>
                  </w:pPr>
                  <m:oMath>
                    <m:sSub>
                      <m:e>
                        <m:r>
                          <m:t>Δ</m:t>
                        </m:r>
                      </m:e>
                      <m:sub>
                        <m:r>
                          <m:t>C</m:t>
                        </m:r>
                      </m:sub>
                    </m:sSub>
                    <m:r>
                      <m:rPr>
                        <m:sty m:val="p"/>
                      </m:rPr>
                      <m:t>=</m:t>
                    </m:r>
                  </m:oMath>
                  <w:r>
                    <w:t xml:space="preserve"> </w:t>
                  </w:r>
                  <w:r>
                    <w:t xml:space="preserve">0</w:t>
                  </w:r>
                </w:p>
              </w:tc>
              <w:tc>
                <w:tcPr/>
                <w:p>
                  <w:pPr>
                    <w:pStyle w:val="Compact"/>
                    <w:jc w:val="left"/>
                    <w:jc w:val="left"/>
                  </w:pPr>
                  <m:oMath>
                    <m:r>
                      <m:t>p</m:t>
                    </m:r>
                    <m:r>
                      <m:rPr>
                        <m:sty m:val="p"/>
                      </m:rPr>
                      <m:t>=</m:t>
                    </m:r>
                  </m:oMath>
                  <w:r>
                    <w:t xml:space="preserve"> </w:t>
                  </w:r>
                  <w:r>
                    <w:t xml:space="preserve">0.0759</w:t>
                  </w:r>
                </w:p>
              </w:tc>
            </w:tr>
            <w:tr>
              <w:tc>
                <w:tcPr/>
                <w:p>
                  <w:pPr>
                    <w:pStyle w:val="Compact"/>
                    <w:jc w:val="left"/>
                    <w:jc w:val="left"/>
                  </w:pPr>
                  <w:r>
                    <w:t xml:space="preserve">Betweenness</w:t>
                  </w:r>
                </w:p>
              </w:tc>
              <w:tc>
                <w:tcPr/>
                <w:p>
                  <w:pPr>
                    <w:pStyle w:val="Compact"/>
                    <w:jc w:val="left"/>
                    <w:jc w:val="left"/>
                  </w:pPr>
                  <m:oMath>
                    <m:sSub>
                      <m:e>
                        <m:r>
                          <m:t>Δ</m:t>
                        </m:r>
                      </m:e>
                      <m:sub>
                        <m:r>
                          <m:t>B</m:t>
                        </m:r>
                      </m:sub>
                    </m:sSub>
                    <m:r>
                      <m:rPr>
                        <m:sty m:val="p"/>
                      </m:rPr>
                      <m:t>=</m:t>
                    </m:r>
                  </m:oMath>
                  <w:r>
                    <w:t xml:space="preserve"> </w:t>
                  </w:r>
                  <w:r>
                    <w:t xml:space="preserve">-7</w:t>
                  </w:r>
                </w:p>
              </w:tc>
              <w:tc>
                <w:tcPr/>
                <w:p>
                  <w:pPr>
                    <w:pStyle w:val="Compact"/>
                    <w:jc w:val="left"/>
                    <w:jc w:val="left"/>
                  </w:pPr>
                  <m:oMath>
                    <m:r>
                      <m:t>p</m:t>
                    </m:r>
                    <m:r>
                      <m:rPr>
                        <m:sty m:val="p"/>
                      </m:rPr>
                      <m:t>=</m:t>
                    </m:r>
                  </m:oMath>
                  <w:r>
                    <w:t xml:space="preserve"> </w:t>
                  </w:r>
                  <w:r>
                    <w:t xml:space="preserve">0.1389</w:t>
                  </w:r>
                </w:p>
              </w:tc>
            </w:tr>
            <w:tr>
              <w:tc>
                <w:tcPr/>
                <w:p>
                  <w:pPr>
                    <w:pStyle w:val="Compact"/>
                    <w:jc w:val="left"/>
                    <w:jc w:val="left"/>
                  </w:pPr>
                  <w:r>
                    <w:t xml:space="preserve">Strength</w:t>
                  </w:r>
                </w:p>
              </w:tc>
              <w:tc>
                <w:tcPr/>
                <w:p>
                  <w:pPr>
                    <w:pStyle w:val="Compact"/>
                    <w:jc w:val="left"/>
                    <w:jc w:val="left"/>
                  </w:pPr>
                  <m:oMath>
                    <m:sSubSup>
                      <m:e>
                        <m:r>
                          <m:t>Δ</m:t>
                        </m:r>
                      </m:e>
                      <m:sub>
                        <m:r>
                          <m:t>S</m:t>
                        </m:r>
                      </m:sub>
                      <m:sup>
                        <m:r>
                          <m:t>l</m:t>
                        </m:r>
                      </m:sup>
                    </m:sSubSup>
                    <m:r>
                      <m:rPr>
                        <m:sty m:val="p"/>
                      </m:rPr>
                      <m:t>=</m:t>
                    </m:r>
                  </m:oMath>
                  <w:r>
                    <w:t xml:space="preserve"> </w:t>
                  </w:r>
                  <w:r>
                    <w:t xml:space="preserve">-0.14</w:t>
                  </w:r>
                </w:p>
              </w:tc>
              <w:tc>
                <w:tcPr/>
                <w:p>
                  <w:pPr>
                    <w:pStyle w:val="Compact"/>
                    <w:jc w:val="left"/>
                    <w:jc w:val="left"/>
                  </w:pPr>
                  <m:oMath>
                    <m:r>
                      <m:t>p</m:t>
                    </m:r>
                    <m:r>
                      <m:rPr>
                        <m:sty m:val="p"/>
                      </m:rPr>
                      <m:t>=</m:t>
                    </m:r>
                  </m:oMath>
                  <w:r>
                    <w:t xml:space="preserve"> </w:t>
                  </w:r>
                  <w:r>
                    <w:t xml:space="preserve">0.0619</w:t>
                  </w:r>
                </w:p>
              </w:tc>
            </w:tr>
            <w:tr>
              <w:tc>
                <w:tcPr/>
                <w:p>
                  <w:pPr>
                    <w:pStyle w:val="Compact"/>
                    <w:jc w:val="left"/>
                    <w:jc w:val="left"/>
                  </w:pPr>
                  <w:r>
                    <w:t xml:space="preserve">Expected Influence</w:t>
                  </w:r>
                </w:p>
              </w:tc>
              <w:tc>
                <w:tcPr/>
                <w:p>
                  <w:pPr>
                    <w:pStyle w:val="Compact"/>
                    <w:jc w:val="left"/>
                    <w:jc w:val="left"/>
                  </w:pPr>
                  <m:oMath>
                    <m:sSub>
                      <m:e>
                        <m:r>
                          <m:t>Δ</m:t>
                        </m:r>
                      </m:e>
                      <m:sub>
                        <m:r>
                          <m:t>E</m:t>
                        </m:r>
                        <m:r>
                          <m:t>I</m:t>
                        </m:r>
                      </m:sub>
                    </m:sSub>
                    <m:r>
                      <m:rPr>
                        <m:sty m:val="p"/>
                      </m:rPr>
                      <m:t>=</m:t>
                    </m:r>
                  </m:oMath>
                  <w:r>
                    <w:t xml:space="preserve"> </w:t>
                  </w:r>
                  <w:r>
                    <w:t xml:space="preserve">-0.14</w:t>
                  </w:r>
                </w:p>
              </w:tc>
              <w:tc>
                <w:tcPr/>
                <w:p>
                  <w:pPr>
                    <w:pStyle w:val="Compact"/>
                    <w:jc w:val="left"/>
                    <w:jc w:val="left"/>
                  </w:pPr>
                  <m:oMath>
                    <m:r>
                      <m:t>p</m:t>
                    </m:r>
                    <m:r>
                      <m:rPr>
                        <m:sty m:val="p"/>
                      </m:rPr>
                      <m:t>=</m:t>
                    </m:r>
                  </m:oMath>
                  <w:r>
                    <w:t xml:space="preserve"> </w:t>
                  </w:r>
                  <w:r>
                    <w:t xml:space="preserve">0.047</w:t>
                  </w:r>
                </w:p>
              </w:tc>
            </w:tr>
          </w:tbl>
          <w:bookmarkEnd w:id="67"/>
          <w:p/>
        </w:tc>
        <w:tc>
          <w:tcPr/>
          <w:p>
            <w:pPr>
              <w:jc w:val="center"/>
            </w:pPr>
            <w:r>
              <w:t xml:space="preserve"> </w:t>
            </w:r>
          </w:p>
        </w:tc>
      </w:tr>
    </w:tbl>
    <w:p>
      <w:pPr>
        <w:framePr w:w="0" w:h="0" w:vAnchor="margin" w:hAnchor="margin" w:xAlign="right" w:yAlign="top"/>
      </w:pPr>
    </w:p>
    <w:tbl>
      <w:tblPr>
        <w:tblStyle w:val="Table"/>
        <w:tblW w:type="pct" w:w="5000"/>
        <w:tblLook w:firstRow="0" w:lastRow="0" w:firstColumn="0" w:lastColumn="0" w:noHBand="0" w:noVBand="0" w:val="0000"/>
        <w:jc w:val="start"/>
      </w:tblPr>
      <w:tblGrid>
        <w:gridCol w:w="3960"/>
        <w:gridCol w:w="3960"/>
      </w:tblGrid>
      <w:tr>
        <w:tc>
          <w:tcPr/>
          <w:bookmarkStart w:id="68" w:name="tbl-comp-2"/>
          <w:p>
            <w:pPr>
              <w:jc w:val="left"/>
            </w:pPr>
            <w:pPr>
              <w:jc w:val="center"/>
              <w:spacing w:before="200"/>
              <w:pStyle w:val="ImageCaption"/>
            </w:pPr>
            <w:r>
              <w:t xml:space="preserve">(b) Near Miss Experience of Fire (1000 permutations)</w:t>
            </w:r>
          </w:p>
          <w:tbl>
            <w:tblPr>
              <w:tblStyle w:val="Table"/>
              <w:tblW w:type="pct" w:w="4900"/>
              <w:tblLook w:firstRow="1" w:lastRow="0" w:firstColumn="0" w:lastColumn="0" w:noHBand="0" w:noVBand="0" w:val="0020"/>
              <w:jc w:val="start"/>
            </w:tblPr>
            <w:tblGrid>
              <w:gridCol w:w="2587"/>
              <w:gridCol w:w="2587"/>
              <w:gridCol w:w="2587"/>
            </w:tblGrid>
            <w:tr>
              <w:trPr>
                <w:tblHeader w:val="true"/>
              </w:trPr>
              <w:tc>
                <w:tcPr/>
                <w:p>
                  <w:pPr>
                    <w:pStyle w:val="Compact"/>
                    <w:jc w:val="left"/>
                    <w:jc w:val="left"/>
                  </w:pPr>
                  <w:r>
                    <w:t xml:space="preserve">Test</w:t>
                  </w:r>
                </w:p>
              </w:tc>
              <w:tc>
                <w:tcPr/>
                <w:p>
                  <w:pPr>
                    <w:pStyle w:val="Compact"/>
                    <w:jc w:val="left"/>
                    <w:jc w:val="left"/>
                  </w:pPr>
                  <w:r>
                    <w:t xml:space="preserve">Statistic</w:t>
                  </w:r>
                </w:p>
              </w:tc>
              <w:tc>
                <w:tcPr/>
                <w:p>
                  <w:pPr>
                    <w:pStyle w:val="Compact"/>
                    <w:jc w:val="left"/>
                    <w:jc w:val="left"/>
                  </w:pPr>
                  <w:r>
                    <w:t xml:space="preserve">Significance</w:t>
                  </w:r>
                </w:p>
              </w:tc>
            </w:tr>
            <w:tr>
              <w:tc>
                <w:tcPr/>
                <w:p>
                  <w:pPr>
                    <w:pStyle w:val="Compact"/>
                    <w:jc w:val="left"/>
                    <w:jc w:val="left"/>
                  </w:pPr>
                  <w:r>
                    <w:t xml:space="preserve">Network variance</w:t>
                  </w:r>
                </w:p>
              </w:tc>
              <w:tc>
                <w:tcPr/>
                <w:p>
                  <w:pPr>
                    <w:pStyle w:val="Compact"/>
                    <w:jc w:val="left"/>
                    <w:jc w:val="left"/>
                  </w:pPr>
                  <m:oMath>
                    <m:sSub>
                      <m:e>
                        <m:r>
                          <m:t>Δ</m:t>
                        </m:r>
                      </m:e>
                      <m:sub>
                        <m:r>
                          <m:t>O</m:t>
                        </m:r>
                      </m:sub>
                    </m:sSub>
                    <m:r>
                      <m:rPr>
                        <m:sty m:val="p"/>
                      </m:rPr>
                      <m:t>=</m:t>
                    </m:r>
                  </m:oMath>
                  <w:r>
                    <w:t xml:space="preserve"> </w:t>
                  </w:r>
                  <w:r>
                    <w:t xml:space="preserve">0.15</w:t>
                  </w:r>
                </w:p>
              </w:tc>
              <w:tc>
                <w:tcPr/>
                <w:p>
                  <w:pPr>
                    <w:pStyle w:val="Compact"/>
                    <w:jc w:val="left"/>
                    <w:jc w:val="left"/>
                  </w:pPr>
                  <m:oMath>
                    <m:r>
                      <m:t>p</m:t>
                    </m:r>
                    <m:r>
                      <m:rPr>
                        <m:sty m:val="p"/>
                      </m:rPr>
                      <m:t>=</m:t>
                    </m:r>
                  </m:oMath>
                  <w:r>
                    <w:t xml:space="preserve"> </w:t>
                  </w:r>
                  <w:r>
                    <w:t xml:space="preserve">0.012</w:t>
                  </w:r>
                </w:p>
              </w:tc>
            </w:tr>
            <w:tr>
              <w:tc>
                <w:tcPr/>
                <w:p>
                  <w:pPr>
                    <w:pStyle w:val="Compact"/>
                    <w:jc w:val="left"/>
                    <w:jc w:val="left"/>
                  </w:pPr>
                  <w:r>
                    <w:t xml:space="preserve">Global strength</w:t>
                  </w:r>
                </w:p>
              </w:tc>
              <w:tc>
                <w:tcPr/>
                <w:p>
                  <w:pPr>
                    <w:pStyle w:val="Compact"/>
                    <w:jc w:val="left"/>
                    <w:jc w:val="left"/>
                  </w:pPr>
                  <m:oMath>
                    <m:sSubSup>
                      <m:e>
                        <m:r>
                          <m:t>Δ</m:t>
                        </m:r>
                      </m:e>
                      <m:sub>
                        <m:r>
                          <m:t>S</m:t>
                        </m:r>
                      </m:sub>
                      <m:sup>
                        <m:r>
                          <m:t>g</m:t>
                        </m:r>
                      </m:sup>
                    </m:sSubSup>
                    <m:r>
                      <m:rPr>
                        <m:sty m:val="p"/>
                      </m:rPr>
                      <m:t>=</m:t>
                    </m:r>
                  </m:oMath>
                  <w:r>
                    <w:t xml:space="preserve"> </w:t>
                  </w:r>
                  <w:r>
                    <w:t xml:space="preserve">0.17</w:t>
                  </w:r>
                </w:p>
              </w:tc>
              <w:tc>
                <w:tcPr/>
                <w:p>
                  <w:pPr>
                    <w:pStyle w:val="Compact"/>
                    <w:jc w:val="left"/>
                    <w:jc w:val="left"/>
                  </w:pPr>
                  <m:oMath>
                    <m:r>
                      <m:t>p</m:t>
                    </m:r>
                    <m:r>
                      <m:rPr>
                        <m:sty m:val="p"/>
                      </m:rPr>
                      <m:t>=</m:t>
                    </m:r>
                  </m:oMath>
                  <w:r>
                    <w:t xml:space="preserve"> </w:t>
                  </w:r>
                  <w:r>
                    <w:t xml:space="preserve">0.002</w:t>
                  </w:r>
                </w:p>
              </w:tc>
            </w:tr>
            <w:tr>
              <w:tc>
                <w:tcPr/>
                <w:p>
                  <w:pPr>
                    <w:pStyle w:val="Compact"/>
                    <w:jc w:val="left"/>
                    <w:jc w:val="left"/>
                  </w:pPr>
                  <w:r>
                    <w:t xml:space="preserve">Closeness</w:t>
                  </w:r>
                </w:p>
              </w:tc>
              <w:tc>
                <w:tcPr/>
                <w:p>
                  <w:pPr>
                    <w:pStyle w:val="Compact"/>
                    <w:jc w:val="left"/>
                    <w:jc w:val="left"/>
                  </w:pPr>
                  <m:oMath>
                    <m:sSub>
                      <m:e>
                        <m:r>
                          <m:t>Δ</m:t>
                        </m:r>
                      </m:e>
                      <m:sub>
                        <m:r>
                          <m:t>C</m:t>
                        </m:r>
                      </m:sub>
                    </m:sSub>
                    <m:r>
                      <m:rPr>
                        <m:sty m:val="p"/>
                      </m:rPr>
                      <m:t>=</m:t>
                    </m:r>
                  </m:oMath>
                  <w:r>
                    <w:t xml:space="preserve"> </w:t>
                  </w:r>
                  <w:r>
                    <w:t xml:space="preserve">0</w:t>
                  </w:r>
                </w:p>
              </w:tc>
              <w:tc>
                <w:tcPr/>
                <w:p>
                  <w:pPr>
                    <w:pStyle w:val="Compact"/>
                    <w:jc w:val="left"/>
                    <w:jc w:val="left"/>
                  </w:pPr>
                  <m:oMath>
                    <m:r>
                      <m:t>p</m:t>
                    </m:r>
                    <m:r>
                      <m:rPr>
                        <m:sty m:val="p"/>
                      </m:rPr>
                      <m:t>=</m:t>
                    </m:r>
                  </m:oMath>
                  <w:r>
                    <w:t xml:space="preserve"> </w:t>
                  </w:r>
                  <w:r>
                    <w:t xml:space="preserve">0.4815</w:t>
                  </w:r>
                </w:p>
              </w:tc>
            </w:tr>
            <w:tr>
              <w:tc>
                <w:tcPr/>
                <w:p>
                  <w:pPr>
                    <w:pStyle w:val="Compact"/>
                    <w:jc w:val="left"/>
                    <w:jc w:val="left"/>
                  </w:pPr>
                  <w:r>
                    <w:t xml:space="preserve">Betweenness</w:t>
                  </w:r>
                </w:p>
              </w:tc>
              <w:tc>
                <w:tcPr/>
                <w:p>
                  <w:pPr>
                    <w:pStyle w:val="Compact"/>
                    <w:jc w:val="left"/>
                    <w:jc w:val="left"/>
                  </w:pPr>
                  <m:oMath>
                    <m:sSub>
                      <m:e>
                        <m:r>
                          <m:t>Δ</m:t>
                        </m:r>
                      </m:e>
                      <m:sub>
                        <m:r>
                          <m:t>B</m:t>
                        </m:r>
                      </m:sub>
                    </m:sSub>
                    <m:r>
                      <m:rPr>
                        <m:sty m:val="p"/>
                      </m:rPr>
                      <m:t>=</m:t>
                    </m:r>
                  </m:oMath>
                  <w:r>
                    <w:t xml:space="preserve"> </w:t>
                  </w:r>
                  <w:r>
                    <w:t xml:space="preserve">1</w:t>
                  </w:r>
                </w:p>
              </w:tc>
              <w:tc>
                <w:tcPr/>
                <w:p>
                  <w:pPr>
                    <w:pStyle w:val="Compact"/>
                    <w:jc w:val="left"/>
                    <w:jc w:val="left"/>
                  </w:pPr>
                  <m:oMath>
                    <m:r>
                      <m:t>p</m:t>
                    </m:r>
                    <m:r>
                      <m:rPr>
                        <m:sty m:val="p"/>
                      </m:rPr>
                      <m:t>=</m:t>
                    </m:r>
                  </m:oMath>
                  <w:r>
                    <w:t xml:space="preserve"> </w:t>
                  </w:r>
                  <w:r>
                    <w:t xml:space="preserve">0.9091</w:t>
                  </w:r>
                </w:p>
              </w:tc>
            </w:tr>
            <w:tr>
              <w:tc>
                <w:tcPr/>
                <w:p>
                  <w:pPr>
                    <w:pStyle w:val="Compact"/>
                    <w:jc w:val="left"/>
                    <w:jc w:val="left"/>
                  </w:pPr>
                  <w:r>
                    <w:t xml:space="preserve">Strength</w:t>
                  </w:r>
                </w:p>
              </w:tc>
              <w:tc>
                <w:tcPr/>
                <w:p>
                  <w:pPr>
                    <w:pStyle w:val="Compact"/>
                    <w:jc w:val="left"/>
                    <w:jc w:val="left"/>
                  </w:pPr>
                  <m:oMath>
                    <m:sSubSup>
                      <m:e>
                        <m:r>
                          <m:t>Δ</m:t>
                        </m:r>
                      </m:e>
                      <m:sub>
                        <m:r>
                          <m:t>S</m:t>
                        </m:r>
                      </m:sub>
                      <m:sup>
                        <m:r>
                          <m:t>l</m:t>
                        </m:r>
                      </m:sup>
                    </m:sSubSup>
                    <m:r>
                      <m:rPr>
                        <m:sty m:val="p"/>
                      </m:rPr>
                      <m:t>=</m:t>
                    </m:r>
                  </m:oMath>
                  <w:r>
                    <w:t xml:space="preserve"> </w:t>
                  </w:r>
                  <w:r>
                    <w:t xml:space="preserve">0.01</w:t>
                  </w:r>
                </w:p>
              </w:tc>
              <w:tc>
                <w:tcPr/>
                <w:p>
                  <w:pPr>
                    <w:pStyle w:val="Compact"/>
                    <w:jc w:val="left"/>
                    <w:jc w:val="left"/>
                  </w:pPr>
                  <m:oMath>
                    <m:r>
                      <m:t>p</m:t>
                    </m:r>
                    <m:r>
                      <m:rPr>
                        <m:sty m:val="p"/>
                      </m:rPr>
                      <m:t>=</m:t>
                    </m:r>
                  </m:oMath>
                  <w:r>
                    <w:t xml:space="preserve"> </w:t>
                  </w:r>
                  <w:r>
                    <w:t xml:space="preserve">0.8831</w:t>
                  </w:r>
                </w:p>
              </w:tc>
            </w:tr>
            <w:tr>
              <w:tc>
                <w:tcPr/>
                <w:p>
                  <w:pPr>
                    <w:pStyle w:val="Compact"/>
                    <w:jc w:val="left"/>
                    <w:jc w:val="left"/>
                  </w:pPr>
                  <w:r>
                    <w:t xml:space="preserve">Expected Influence</w:t>
                  </w:r>
                </w:p>
              </w:tc>
              <w:tc>
                <w:tcPr/>
                <w:p>
                  <w:pPr>
                    <w:pStyle w:val="Compact"/>
                    <w:jc w:val="left"/>
                    <w:jc w:val="left"/>
                  </w:pPr>
                  <m:oMath>
                    <m:sSub>
                      <m:e>
                        <m:r>
                          <m:t>Δ</m:t>
                        </m:r>
                      </m:e>
                      <m:sub>
                        <m:r>
                          <m:t>E</m:t>
                        </m:r>
                        <m:r>
                          <m:t>I</m:t>
                        </m:r>
                      </m:sub>
                    </m:sSub>
                    <m:r>
                      <m:rPr>
                        <m:sty m:val="p"/>
                      </m:rPr>
                      <m:t>=</m:t>
                    </m:r>
                  </m:oMath>
                  <w:r>
                    <w:t xml:space="preserve"> </w:t>
                  </w:r>
                  <w:r>
                    <w:t xml:space="preserve">0.01</w:t>
                  </w:r>
                </w:p>
              </w:tc>
              <w:tc>
                <w:tcPr/>
                <w:p>
                  <w:pPr>
                    <w:pStyle w:val="Compact"/>
                    <w:jc w:val="left"/>
                    <w:jc w:val="left"/>
                  </w:pPr>
                  <m:oMath>
                    <m:r>
                      <m:t>p</m:t>
                    </m:r>
                    <m:r>
                      <m:rPr>
                        <m:sty m:val="p"/>
                      </m:rPr>
                      <m:t>=</m:t>
                    </m:r>
                  </m:oMath>
                  <w:r>
                    <w:t xml:space="preserve"> </w:t>
                  </w:r>
                  <w:r>
                    <w:t xml:space="preserve">0.8621</w:t>
                  </w:r>
                </w:p>
              </w:tc>
            </w:tr>
          </w:tbl>
          <w:bookmarkEnd w:id="68"/>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69" w:name="tbl-comp-3"/>
          <w:p>
            <w:pPr>
              <w:jc w:val="left"/>
            </w:pPr>
            <w:pPr>
              <w:jc w:val="center"/>
              <w:spacing w:before="200"/>
              <w:pStyle w:val="ImageCaption"/>
            </w:pPr>
            <w:r>
              <w:t xml:space="preserve">(c) Emergency Services Employment (1000 permutations)</w:t>
            </w:r>
          </w:p>
          <w:tbl>
            <w:tblPr>
              <w:tblStyle w:val="Table"/>
              <w:tblW w:type="pct" w:w="4900"/>
              <w:tblLook w:firstRow="1" w:lastRow="0" w:firstColumn="0" w:lastColumn="0" w:noHBand="0" w:noVBand="0" w:val="0020"/>
              <w:jc w:val="start"/>
            </w:tblPr>
            <w:tblGrid>
              <w:gridCol w:w="2587"/>
              <w:gridCol w:w="2587"/>
              <w:gridCol w:w="2587"/>
            </w:tblGrid>
            <w:tr>
              <w:trPr>
                <w:tblHeader w:val="true"/>
              </w:trPr>
              <w:tc>
                <w:tcPr/>
                <w:p>
                  <w:pPr>
                    <w:pStyle w:val="Compact"/>
                    <w:jc w:val="left"/>
                    <w:jc w:val="left"/>
                  </w:pPr>
                  <w:r>
                    <w:t xml:space="preserve">Test</w:t>
                  </w:r>
                </w:p>
              </w:tc>
              <w:tc>
                <w:tcPr/>
                <w:p>
                  <w:pPr>
                    <w:pStyle w:val="Compact"/>
                    <w:jc w:val="left"/>
                    <w:jc w:val="left"/>
                  </w:pPr>
                  <w:r>
                    <w:t xml:space="preserve">Statistic</w:t>
                  </w:r>
                </w:p>
              </w:tc>
              <w:tc>
                <w:tcPr/>
                <w:p>
                  <w:pPr>
                    <w:pStyle w:val="Compact"/>
                    <w:jc w:val="left"/>
                    <w:jc w:val="left"/>
                  </w:pPr>
                  <w:r>
                    <w:t xml:space="preserve">Significance</w:t>
                  </w:r>
                </w:p>
              </w:tc>
            </w:tr>
            <w:tr>
              <w:tc>
                <w:tcPr/>
                <w:p>
                  <w:pPr>
                    <w:pStyle w:val="Compact"/>
                    <w:jc w:val="left"/>
                    <w:jc w:val="left"/>
                  </w:pPr>
                  <w:r>
                    <w:t xml:space="preserve">Network variance</w:t>
                  </w:r>
                </w:p>
              </w:tc>
              <w:tc>
                <w:tcPr/>
                <w:p>
                  <w:pPr>
                    <w:pStyle w:val="Compact"/>
                    <w:jc w:val="left"/>
                    <w:jc w:val="left"/>
                  </w:pPr>
                  <m:oMath>
                    <m:sSub>
                      <m:e>
                        <m:r>
                          <m:t>Δ</m:t>
                        </m:r>
                      </m:e>
                      <m:sub>
                        <m:r>
                          <m:t>O</m:t>
                        </m:r>
                      </m:sub>
                    </m:sSub>
                    <m:r>
                      <m:rPr>
                        <m:sty m:val="p"/>
                      </m:rPr>
                      <m:t>=</m:t>
                    </m:r>
                  </m:oMath>
                  <w:r>
                    <w:t xml:space="preserve"> </w:t>
                  </w:r>
                  <w:r>
                    <w:t xml:space="preserve">0.37</w:t>
                  </w:r>
                </w:p>
              </w:tc>
              <w:tc>
                <w:tcPr/>
                <w:p>
                  <w:pPr>
                    <w:pStyle w:val="Compact"/>
                    <w:jc w:val="left"/>
                    <w:jc w:val="left"/>
                  </w:pPr>
                  <m:oMath>
                    <m:r>
                      <m:t>p</m:t>
                    </m:r>
                    <m:r>
                      <m:rPr>
                        <m:sty m:val="p"/>
                      </m:rPr>
                      <m:t>=</m:t>
                    </m:r>
                  </m:oMath>
                  <w:r>
                    <w:t xml:space="preserve"> </w:t>
                  </w:r>
                  <w:r>
                    <w:t xml:space="preserve">0.042</w:t>
                  </w:r>
                </w:p>
              </w:tc>
            </w:tr>
            <w:tr>
              <w:tc>
                <w:tcPr/>
                <w:p>
                  <w:pPr>
                    <w:pStyle w:val="Compact"/>
                    <w:jc w:val="left"/>
                    <w:jc w:val="left"/>
                  </w:pPr>
                  <w:r>
                    <w:t xml:space="preserve">Global strength</w:t>
                  </w:r>
                </w:p>
              </w:tc>
              <w:tc>
                <w:tcPr/>
                <w:p>
                  <w:pPr>
                    <w:pStyle w:val="Compact"/>
                    <w:jc w:val="left"/>
                    <w:jc w:val="left"/>
                  </w:pPr>
                  <m:oMath>
                    <m:sSubSup>
                      <m:e>
                        <m:r>
                          <m:t>Δ</m:t>
                        </m:r>
                      </m:e>
                      <m:sub>
                        <m:r>
                          <m:t>S</m:t>
                        </m:r>
                      </m:sub>
                      <m:sup>
                        <m:r>
                          <m:t>g</m:t>
                        </m:r>
                      </m:sup>
                    </m:sSubSup>
                    <m:r>
                      <m:rPr>
                        <m:sty m:val="p"/>
                      </m:rPr>
                      <m:t>=</m:t>
                    </m:r>
                  </m:oMath>
                  <w:r>
                    <w:t xml:space="preserve"> </w:t>
                  </w:r>
                  <w:r>
                    <w:t xml:space="preserve">0.04</w:t>
                  </w:r>
                </w:p>
              </w:tc>
              <w:tc>
                <w:tcPr/>
                <w:p>
                  <w:pPr>
                    <w:pStyle w:val="Compact"/>
                    <w:jc w:val="left"/>
                    <w:jc w:val="left"/>
                  </w:pPr>
                  <m:oMath>
                    <m:r>
                      <m:t>p</m:t>
                    </m:r>
                    <m:r>
                      <m:rPr>
                        <m:sty m:val="p"/>
                      </m:rPr>
                      <m:t>=</m:t>
                    </m:r>
                  </m:oMath>
                  <w:r>
                    <w:t xml:space="preserve"> </w:t>
                  </w:r>
                  <w:r>
                    <w:t xml:space="preserve">1</w:t>
                  </w:r>
                </w:p>
              </w:tc>
            </w:tr>
            <w:tr>
              <w:tc>
                <w:tcPr/>
                <w:p>
                  <w:pPr>
                    <w:pStyle w:val="Compact"/>
                    <w:jc w:val="left"/>
                    <w:jc w:val="left"/>
                  </w:pPr>
                  <w:r>
                    <w:t xml:space="preserve">Closeness</w:t>
                  </w:r>
                </w:p>
              </w:tc>
              <w:tc>
                <w:tcPr/>
                <w:p>
                  <w:pPr>
                    <w:pStyle w:val="Compact"/>
                    <w:jc w:val="left"/>
                    <w:jc w:val="left"/>
                  </w:pPr>
                  <m:oMath>
                    <m:sSub>
                      <m:e>
                        <m:r>
                          <m:t>Δ</m:t>
                        </m:r>
                      </m:e>
                      <m:sub>
                        <m:r>
                          <m:t>C</m:t>
                        </m:r>
                      </m:sub>
                    </m:sSub>
                    <m:r>
                      <m:rPr>
                        <m:sty m:val="p"/>
                      </m:rPr>
                      <m:t>=</m:t>
                    </m:r>
                  </m:oMath>
                  <w:r>
                    <w:t xml:space="preserve"> </w:t>
                  </w:r>
                  <w:r>
                    <w:t xml:space="preserve">0</w:t>
                  </w:r>
                </w:p>
              </w:tc>
              <w:tc>
                <w:tcPr/>
                <w:p>
                  <w:pPr>
                    <w:pStyle w:val="Compact"/>
                    <w:jc w:val="left"/>
                    <w:jc w:val="left"/>
                  </w:pPr>
                  <m:oMath>
                    <m:r>
                      <m:t>p</m:t>
                    </m:r>
                    <m:r>
                      <m:rPr>
                        <m:sty m:val="p"/>
                      </m:rPr>
                      <m:t>=</m:t>
                    </m:r>
                  </m:oMath>
                  <w:r>
                    <w:t xml:space="preserve"> </w:t>
                  </w:r>
                  <w:r>
                    <w:t xml:space="preserve">NA</w:t>
                  </w:r>
                </w:p>
              </w:tc>
            </w:tr>
            <w:tr>
              <w:tc>
                <w:tcPr/>
                <w:p>
                  <w:pPr>
                    <w:pStyle w:val="Compact"/>
                    <w:jc w:val="left"/>
                    <w:jc w:val="left"/>
                  </w:pPr>
                  <w:r>
                    <w:t xml:space="preserve">Betweenness</w:t>
                  </w:r>
                </w:p>
              </w:tc>
              <w:tc>
                <w:tcPr/>
                <w:p>
                  <w:pPr>
                    <w:pStyle w:val="Compact"/>
                    <w:jc w:val="left"/>
                    <w:jc w:val="left"/>
                  </w:pPr>
                  <m:oMath>
                    <m:sSub>
                      <m:e>
                        <m:r>
                          <m:t>Δ</m:t>
                        </m:r>
                      </m:e>
                      <m:sub>
                        <m:r>
                          <m:t>B</m:t>
                        </m:r>
                      </m:sub>
                    </m:sSub>
                    <m:r>
                      <m:rPr>
                        <m:sty m:val="p"/>
                      </m:rPr>
                      <m:t>=</m:t>
                    </m:r>
                  </m:oMath>
                  <w:r>
                    <w:t xml:space="preserve"> </w:t>
                  </w:r>
                  <w:r>
                    <w:t xml:space="preserve">8</w:t>
                  </w:r>
                </w:p>
              </w:tc>
              <w:tc>
                <w:tcPr/>
                <w:p>
                  <w:pPr>
                    <w:pStyle w:val="Compact"/>
                    <w:jc w:val="left"/>
                    <w:jc w:val="left"/>
                  </w:pPr>
                  <m:oMath>
                    <m:r>
                      <m:t>p</m:t>
                    </m:r>
                    <m:r>
                      <m:rPr>
                        <m:sty m:val="p"/>
                      </m:rPr>
                      <m:t>=</m:t>
                    </m:r>
                  </m:oMath>
                  <w:r>
                    <w:t xml:space="preserve"> </w:t>
                  </w:r>
                  <w:r>
                    <w:t xml:space="preserve">0.2737</w:t>
                  </w:r>
                </w:p>
              </w:tc>
            </w:tr>
            <w:tr>
              <w:tc>
                <w:tcPr/>
                <w:p>
                  <w:pPr>
                    <w:pStyle w:val="Compact"/>
                    <w:jc w:val="left"/>
                    <w:jc w:val="left"/>
                  </w:pPr>
                  <w:r>
                    <w:t xml:space="preserve">Strength</w:t>
                  </w:r>
                </w:p>
              </w:tc>
              <w:tc>
                <w:tcPr/>
                <w:p>
                  <w:pPr>
                    <w:pStyle w:val="Compact"/>
                    <w:jc w:val="left"/>
                    <w:jc w:val="left"/>
                  </w:pPr>
                  <m:oMath>
                    <m:sSubSup>
                      <m:e>
                        <m:r>
                          <m:t>Δ</m:t>
                        </m:r>
                      </m:e>
                      <m:sub>
                        <m:r>
                          <m:t>S</m:t>
                        </m:r>
                      </m:sub>
                      <m:sup>
                        <m:r>
                          <m:t>l</m:t>
                        </m:r>
                      </m:sup>
                    </m:sSubSup>
                    <m:r>
                      <m:rPr>
                        <m:sty m:val="p"/>
                      </m:rPr>
                      <m:t>=</m:t>
                    </m:r>
                  </m:oMath>
                  <w:r>
                    <w:t xml:space="preserve"> </w:t>
                  </w:r>
                  <w:r>
                    <w:t xml:space="preserve">0.24</w:t>
                  </w:r>
                </w:p>
              </w:tc>
              <w:tc>
                <w:tcPr/>
                <w:p>
                  <w:pPr>
                    <w:pStyle w:val="Compact"/>
                    <w:jc w:val="left"/>
                    <w:jc w:val="left"/>
                  </w:pPr>
                  <m:oMath>
                    <m:r>
                      <m:t>p</m:t>
                    </m:r>
                    <m:r>
                      <m:rPr>
                        <m:sty m:val="p"/>
                      </m:rPr>
                      <m:t>=</m:t>
                    </m:r>
                  </m:oMath>
                  <w:r>
                    <w:t xml:space="preserve"> </w:t>
                  </w:r>
                  <w:r>
                    <w:t xml:space="preserve">0.1608</w:t>
                  </w:r>
                </w:p>
              </w:tc>
            </w:tr>
            <w:tr>
              <w:tc>
                <w:tcPr/>
                <w:p>
                  <w:pPr>
                    <w:pStyle w:val="Compact"/>
                    <w:jc w:val="left"/>
                    <w:jc w:val="left"/>
                  </w:pPr>
                  <w:r>
                    <w:t xml:space="preserve">Expected Influence</w:t>
                  </w:r>
                </w:p>
              </w:tc>
              <w:tc>
                <w:tcPr/>
                <w:p>
                  <w:pPr>
                    <w:pStyle w:val="Compact"/>
                    <w:jc w:val="left"/>
                    <w:jc w:val="left"/>
                  </w:pPr>
                  <m:oMath>
                    <m:sSub>
                      <m:e>
                        <m:r>
                          <m:t>Δ</m:t>
                        </m:r>
                      </m:e>
                      <m:sub>
                        <m:r>
                          <m:t>E</m:t>
                        </m:r>
                        <m:r>
                          <m:t>I</m:t>
                        </m:r>
                      </m:sub>
                    </m:sSub>
                    <m:r>
                      <m:rPr>
                        <m:sty m:val="p"/>
                      </m:rPr>
                      <m:t>=</m:t>
                    </m:r>
                  </m:oMath>
                  <w:r>
                    <w:t xml:space="preserve"> </w:t>
                  </w:r>
                  <w:r>
                    <w:t xml:space="preserve">0.24</w:t>
                  </w:r>
                </w:p>
              </w:tc>
              <w:tc>
                <w:tcPr/>
                <w:p>
                  <w:pPr>
                    <w:pStyle w:val="Compact"/>
                    <w:jc w:val="left"/>
                    <w:jc w:val="left"/>
                  </w:pPr>
                  <m:oMath>
                    <m:r>
                      <m:t>p</m:t>
                    </m:r>
                    <m:r>
                      <m:rPr>
                        <m:sty m:val="p"/>
                      </m:rPr>
                      <m:t>=</m:t>
                    </m:r>
                  </m:oMath>
                  <w:r>
                    <w:t xml:space="preserve"> </w:t>
                  </w:r>
                  <w:r>
                    <w:t xml:space="preserve">0.1618</w:t>
                  </w:r>
                </w:p>
              </w:tc>
            </w:tr>
          </w:tbl>
          <w:bookmarkEnd w:id="69"/>
          <w:p/>
        </w:tc>
      </w:tr>
    </w:tbl>
    <w:p>
      <w:pPr>
        <w:pStyle w:val="BodyText"/>
      </w:pPr>
      <w:pPr>
        <w:spacing w:before="200"/>
        <w:pStyle w:val="ImageCaption"/>
      </w:pPr>
      <w:r>
        <w:t xml:space="preserve">Table 4: Network NCT results by substantive control variable</w:t>
      </w:r>
    </w:p>
    <w:bookmarkEnd w:id="70"/>
    <w:p>
      <w:pPr>
        <w:pStyle w:val="BodyText"/>
      </w:pPr>
      <w:r>
        <w:rPr>
          <w:bCs/>
          <w:b/>
        </w:rPr>
        <w:t xml:space="preserve">UPDATE 12/5/2023: Check why EMS Global strength is p = 1, closeness is C = 0 and p = NA. There were some Github discussions about similar problems - is this, too, a bug?</w:t>
      </w:r>
    </w:p>
    <w:p>
      <w:pPr>
        <w:pStyle w:val="BodyText"/>
      </w:pPr>
      <w:r>
        <w:t xml:space="preserve">Direct experience of fire is related to a weak effect on network structure (</w:t>
      </w:r>
      <w:hyperlink w:anchor="tbl-comp-1">
        <w:r>
          <w:rPr>
            <w:rStyle w:val="Hyperlink"/>
          </w:rPr>
          <w:t xml:space="preserve">Table 4 (a)</w:t>
        </w:r>
      </w:hyperlink>
      <w:r>
        <w:t xml:space="preserve">). Global strength is significantly different, indicating that the overall connectivity has changed between networks. However, network variance is not significantly different. Since the network is dense and non-smallworld, the difference between variance and strength may be due to small changes in many network edges leading to a overall significant change in the sum of edge strength, while leaving individual maximum changes small</w:t>
      </w:r>
      <w:r>
        <w:t xml:space="preserve"> </w:t>
      </w:r>
      <w:r>
        <w:t xml:space="preserve">(see Van Borkulo et al., 2022)</w:t>
      </w:r>
      <w:r>
        <w:t xml:space="preserve">.</w:t>
      </w:r>
    </w:p>
    <w:p>
      <w:pPr>
        <w:pStyle w:val="BodyText"/>
      </w:pPr>
      <w:r>
        <w:t xml:space="preserve">Near-miss experiences have a stronger effect on the network structure (</w:t>
      </w:r>
      <w:hyperlink w:anchor="tbl-comp-2">
        <w:r>
          <w:rPr>
            <w:rStyle w:val="Hyperlink"/>
          </w:rPr>
          <w:t xml:space="preserve">Table 4 (b)</w:t>
        </w:r>
      </w:hyperlink>
      <w:r>
        <w:t xml:space="preserve">). Network variance and global strength are both significantly different, suggesting that a change in overall network structure has occurred. In both cases, the statistic has grown in the network estimated from respondents that have experienced a near miss. In other words: the network seems to be slightly denser in people who have nearly experienced a fire.</w:t>
      </w:r>
    </w:p>
    <w:p>
      <w:pPr>
        <w:pStyle w:val="BodyText"/>
      </w:pPr>
      <w:r>
        <w:t xml:space="preserve">Finally, working in emergency services is related to a weak effect on network structure, but inverse to that of a direct fire experience (</w:t>
      </w:r>
      <w:hyperlink w:anchor="tbl-comp-3">
        <w:r>
          <w:rPr>
            <w:rStyle w:val="Hyperlink"/>
          </w:rPr>
          <w:t xml:space="preserve">Table 4 (c)</w:t>
        </w:r>
      </w:hyperlink>
      <w:r>
        <w:t xml:space="preserve">). Network variance is significantly different, indicating that one or more edges have distinctly changed. However, global strength difference is non-significant, suggesting that these changes have not resulted in an overall change in the total edge strength of the network. In other words: working in emergency services is related to a shift in network structure, but not an increase or decrease in density</w:t>
      </w:r>
      <w:r>
        <w:t xml:space="preserve"> </w:t>
      </w:r>
      <w:r>
        <w:rPr>
          <w:iCs/>
          <w:i/>
        </w:rPr>
        <w:t xml:space="preserve">per se</w:t>
      </w:r>
      <w:r>
        <w:t xml:space="preserve">.</w:t>
      </w:r>
    </w:p>
    <w:p>
      <w:pPr>
        <w:pStyle w:val="BodyText"/>
      </w:pPr>
      <w:r>
        <w:t xml:space="preserve">For the Fire node, no changes seem to have occurred in either the near-miss or the EMS employment comparisons. However, for individuals who have a direct fire experience, Expected Influence has dropped significantly. This suggests that the connections between Fire and other nodes has grown slightly more negative. Because the network does not show any negative edges (</w:t>
      </w:r>
      <w:hyperlink w:anchor="fig-comp-graphs-2">
        <w:r>
          <w:rPr>
            <w:rStyle w:val="Hyperlink"/>
          </w:rPr>
          <w:t xml:space="preserve">Figure 9 (b)</w:t>
        </w:r>
      </w:hyperlink>
      <w:r>
        <w:t xml:space="preserve">), this change corresponds to a drop in intensity of positive connections. The Fire node also shows marginally significant changes on closeness and strength in the direct experience comparison. The change in strength mirrors that of the EI change, further suggesting that the centrality of Fire has slightly dropped.</w:t>
      </w:r>
    </w:p>
    <w:tbl>
      <w:tblPr>
        <w:tblStyle w:val="Table"/>
        <w:tblW w:type="pct" w:w="5000"/>
        <w:tblLook w:firstRow="0" w:lastRow="0" w:firstColumn="0" w:lastColumn="0" w:noHBand="0" w:noVBand="0" w:val="0000"/>
        <w:jc w:val="start"/>
      </w:tblPr>
      <w:tblGrid>
        <w:gridCol w:w="7920"/>
      </w:tblGrid>
      <w:tr>
        <w:tc>
          <w:tcPr/>
          <w:bookmarkStart w:id="77" w:name="fig-comp-graphs"/>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71" w:name="fig-comp-graphs-1"/>
                      <w:p>
                        <w:pPr>
                          <w:jc w:val="center"/>
                          <w:jc w:val="center"/>
                          <w:jc w:val="center"/>
                        </w:pPr>
                      </w:p>
                      <w:p>
                        <w:pPr>
                          <w:jc w:val="center"/>
                          <w:jc w:val="center"/>
                          <w:jc w:val="center"/>
                        </w:pPr>
                        <w:pPr>
                          <w:jc w:val="start"/>
                          <w:spacing w:before="200"/>
                          <w:pStyle w:val="ImageCaption"/>
                        </w:pPr>
                        <w:r>
                          <w:t xml:space="preserve">(a) No direct experience</w:t>
                        </w:r>
                      </w:p>
                      <w:bookmarkEnd w:id="71"/>
                    </w:tc>
                  </w:tr>
                </w:tbl>
                <w:p/>
              </w:tc>
              <w:tc>
                <w:tcPr/>
                <w:tbl>
                  <w:tblPr>
                    <w:tblStyle w:val="Table"/>
                    <w:tblW w:type="pct" w:w="5000"/>
                    <w:tblLook w:firstRow="0" w:lastRow="0" w:firstColumn="0" w:lastColumn="0" w:noHBand="0" w:noVBand="0" w:val="0000"/>
                    <w:jc w:val="start"/>
                  </w:tblPr>
                  <w:tblGrid>
                    <w:gridCol w:w="7920"/>
                  </w:tblGrid>
                  <w:tr>
                    <w:tc>
                      <w:tcPr/>
                      <w:bookmarkStart w:id="72" w:name="fig-comp-graphs-2"/>
                      <w:p>
                        <w:pPr>
                          <w:jc w:val="center"/>
                          <w:jc w:val="center"/>
                          <w:jc w:val="center"/>
                        </w:pPr>
                      </w:p>
                      <w:p>
                        <w:pPr>
                          <w:jc w:val="center"/>
                          <w:jc w:val="center"/>
                          <w:jc w:val="center"/>
                        </w:pPr>
                        <w:pPr>
                          <w:jc w:val="start"/>
                          <w:spacing w:before="200"/>
                          <w:pStyle w:val="ImageCaption"/>
                        </w:pPr>
                        <w:r>
                          <w:t xml:space="preserve">(b) Direct experience</w:t>
                        </w:r>
                      </w:p>
                      <w:bookmarkEnd w:id="72"/>
                    </w:tc>
                  </w:tr>
                </w:tbl>
                <w:p/>
              </w:tc>
            </w:tr>
          </w:tbl>
          <w:p>
            <w:pPr>
              <w:framePr w:w="0" w:h="0" w:vAnchor="margin" w:hAnchor="margin" w:xAlign="right" w:yAlign="top"/>
            </w:pPr>
          </w:p>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73" w:name="fig-comp-graphs-3"/>
                      <w:p>
                        <w:pPr>
                          <w:jc w:val="center"/>
                          <w:jc w:val="center"/>
                          <w:jc w:val="center"/>
                        </w:pPr>
                      </w:p>
                      <w:p>
                        <w:pPr>
                          <w:jc w:val="center"/>
                          <w:jc w:val="center"/>
                          <w:jc w:val="center"/>
                        </w:pPr>
                        <w:pPr>
                          <w:jc w:val="start"/>
                          <w:spacing w:before="200"/>
                          <w:pStyle w:val="ImageCaption"/>
                        </w:pPr>
                        <w:r>
                          <w:t xml:space="preserve">(c) No near-miss experience</w:t>
                        </w:r>
                      </w:p>
                      <w:bookmarkEnd w:id="73"/>
                    </w:tc>
                  </w:tr>
                </w:tbl>
                <w:p/>
              </w:tc>
              <w:tc>
                <w:tcPr/>
                <w:tbl>
                  <w:tblPr>
                    <w:tblStyle w:val="Table"/>
                    <w:tblW w:type="pct" w:w="5000"/>
                    <w:tblLook w:firstRow="0" w:lastRow="0" w:firstColumn="0" w:lastColumn="0" w:noHBand="0" w:noVBand="0" w:val="0000"/>
                    <w:jc w:val="start"/>
                  </w:tblPr>
                  <w:tblGrid>
                    <w:gridCol w:w="7920"/>
                  </w:tblGrid>
                  <w:tr>
                    <w:tc>
                      <w:tcPr/>
                      <w:bookmarkStart w:id="74" w:name="fig-comp-graphs-4"/>
                      <w:p>
                        <w:pPr>
                          <w:jc w:val="center"/>
                          <w:jc w:val="center"/>
                          <w:jc w:val="center"/>
                        </w:pPr>
                      </w:p>
                      <w:p>
                        <w:pPr>
                          <w:jc w:val="center"/>
                          <w:jc w:val="center"/>
                          <w:jc w:val="center"/>
                        </w:pPr>
                        <w:pPr>
                          <w:jc w:val="start"/>
                          <w:spacing w:before="200"/>
                          <w:pStyle w:val="ImageCaption"/>
                        </w:pPr>
                        <w:r>
                          <w:t xml:space="preserve">(d) Near-miss experience</w:t>
                        </w:r>
                      </w:p>
                      <w:bookmarkEnd w:id="74"/>
                    </w:tc>
                  </w:tr>
                </w:tbl>
                <w:p/>
              </w:tc>
            </w:tr>
          </w:tbl>
          <w:p>
            <w:pPr>
              <w:framePr w:w="0" w:h="0" w:vAnchor="margin" w:hAnchor="margin" w:xAlign="right" w:yAlign="top"/>
            </w:pPr>
          </w:p>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75" w:name="fig-comp-graphs-5"/>
                      <w:p>
                        <w:pPr>
                          <w:jc w:val="center"/>
                          <w:jc w:val="center"/>
                          <w:jc w:val="center"/>
                        </w:pPr>
                      </w:p>
                      <w:p>
                        <w:pPr>
                          <w:jc w:val="center"/>
                          <w:jc w:val="center"/>
                          <w:jc w:val="center"/>
                        </w:pPr>
                        <w:pPr>
                          <w:jc w:val="start"/>
                          <w:spacing w:before="200"/>
                          <w:pStyle w:val="ImageCaption"/>
                        </w:pPr>
                        <w:r>
                          <w:t xml:space="preserve">(e) Not in EMS employment</w:t>
                        </w:r>
                      </w:p>
                      <w:bookmarkEnd w:id="75"/>
                    </w:tc>
                  </w:tr>
                </w:tbl>
                <w:p/>
              </w:tc>
              <w:tc>
                <w:tcPr/>
                <w:tbl>
                  <w:tblPr>
                    <w:tblStyle w:val="Table"/>
                    <w:tblW w:type="pct" w:w="5000"/>
                    <w:tblLook w:firstRow="0" w:lastRow="0" w:firstColumn="0" w:lastColumn="0" w:noHBand="0" w:noVBand="0" w:val="0000"/>
                    <w:jc w:val="start"/>
                  </w:tblPr>
                  <w:tblGrid>
                    <w:gridCol w:w="7920"/>
                  </w:tblGrid>
                  <w:tr>
                    <w:tc>
                      <w:tcPr/>
                      <w:bookmarkStart w:id="76" w:name="fig-comp-graphs-6"/>
                      <w:p>
                        <w:pPr>
                          <w:jc w:val="center"/>
                          <w:jc w:val="center"/>
                          <w:jc w:val="center"/>
                        </w:pPr>
                      </w:p>
                      <w:p>
                        <w:pPr>
                          <w:jc w:val="center"/>
                          <w:jc w:val="center"/>
                          <w:jc w:val="center"/>
                        </w:pPr>
                        <w:pPr>
                          <w:jc w:val="start"/>
                          <w:spacing w:before="200"/>
                          <w:pStyle w:val="ImageCaption"/>
                        </w:pPr>
                        <w:r>
                          <w:t xml:space="preserve">(f) In EMS employment</w:t>
                        </w:r>
                      </w:p>
                      <w:bookmarkEnd w:id="76"/>
                    </w:tc>
                  </w:tr>
                </w:tbl>
                <w:p/>
              </w:tc>
            </w:tr>
          </w:tbl>
          <w:p>
            <w:pPr>
              <w:jc w:val="center"/>
            </w:pPr>
            <w:pPr>
              <w:jc w:val="start"/>
              <w:spacing w:before="200"/>
              <w:pStyle w:val="ImageCaption"/>
            </w:pPr>
            <w:pPr>
              <w:spacing w:before="200"/>
              <w:pStyle w:val="ImageCaption"/>
            </w:pPr>
            <w:r>
              <w:t xml:space="preserve">Figure 9: Gaussian graphical models of risk perception by substantive control variables, compared using network comparison testing</w:t>
            </w:r>
          </w:p>
          <w:bookmarkEnd w:id="77"/>
        </w:tc>
      </w:tr>
    </w:tbl>
    <w:bookmarkEnd w:id="78"/>
    <w:bookmarkEnd w:id="79"/>
    <w:bookmarkStart w:id="80" w:name="discussion"/>
    <w:p>
      <w:pPr>
        <w:pStyle w:val="Heading1"/>
      </w:pPr>
      <w:r>
        <w:t xml:space="preserve">Discussion</w:t>
      </w:r>
    </w:p>
    <w:p>
      <w:pPr>
        <w:pStyle w:val="FirstParagraph"/>
      </w:pPr>
      <w:r>
        <w:t xml:space="preserve">To repeat from</w:t>
      </w:r>
      <w:r>
        <w:t xml:space="preserve"> </w:t>
      </w:r>
      <w:hyperlink w:anchor="sec-hypotheses">
        <w:r>
          <w:rPr>
            <w:rStyle w:val="Hyperlink"/>
          </w:rPr>
          <w:t xml:space="preserve">Section 3</w:t>
        </w:r>
      </w:hyperlink>
      <w:r>
        <w:t xml:space="preserve">, we had six hypotheses, grouped into system and node level hypotheses. Both groups of hypotheses state the same:</w:t>
      </w:r>
    </w:p>
    <w:p>
      <w:pPr>
        <w:numPr>
          <w:ilvl w:val="0"/>
          <w:numId w:val="1013"/>
        </w:numPr>
      </w:pPr>
      <w:r>
        <w:t xml:space="preserve">System level:</w:t>
      </w:r>
    </w:p>
    <w:p>
      <w:pPr>
        <w:numPr>
          <w:ilvl w:val="1"/>
          <w:numId w:val="1014"/>
        </w:numPr>
        <w:pStyle w:val="Compact"/>
      </w:pPr>
      <m:oMath>
        <m:sSubSup>
          <m:e>
            <m:r>
              <m:t>H</m:t>
            </m:r>
          </m:e>
          <m:sub>
            <m:r>
              <m:t>1</m:t>
            </m:r>
          </m:sub>
          <m:sup>
            <m:r>
              <m:t>S</m:t>
            </m:r>
          </m:sup>
        </m:sSubSup>
        <m:r>
          <m:rPr>
            <m:sty m:val="p"/>
          </m:rPr>
          <m:t>:</m:t>
        </m:r>
      </m:oMath>
      <w:r>
        <w:t xml:space="preserve"> </w:t>
      </w:r>
      <w:r>
        <w:t xml:space="preserve">Experiencing a fire leads to a sparser risk perception network</w:t>
      </w:r>
    </w:p>
    <w:p>
      <w:pPr>
        <w:numPr>
          <w:ilvl w:val="1"/>
          <w:numId w:val="1014"/>
        </w:numPr>
        <w:pStyle w:val="Compact"/>
      </w:pPr>
      <m:oMath>
        <m:sSubSup>
          <m:e>
            <m:r>
              <m:t>H</m:t>
            </m:r>
          </m:e>
          <m:sub>
            <m:r>
              <m:t>2</m:t>
            </m:r>
          </m:sub>
          <m:sup>
            <m:r>
              <m:t>S</m:t>
            </m:r>
          </m:sup>
        </m:sSubSup>
        <m:r>
          <m:rPr>
            <m:sty m:val="p"/>
          </m:rPr>
          <m:t>:</m:t>
        </m:r>
      </m:oMath>
      <w:r>
        <w:t xml:space="preserve"> </w:t>
      </w:r>
      <w:r>
        <w:t xml:space="preserve">Experiencing a near-miss leads to a denser risk perception network</w:t>
      </w:r>
    </w:p>
    <w:p>
      <w:pPr>
        <w:numPr>
          <w:ilvl w:val="1"/>
          <w:numId w:val="1014"/>
        </w:numPr>
        <w:pStyle w:val="Compact"/>
      </w:pPr>
      <m:oMath>
        <m:sSubSup>
          <m:e>
            <m:r>
              <m:t>H</m:t>
            </m:r>
          </m:e>
          <m:sub>
            <m:r>
              <m:t>3</m:t>
            </m:r>
          </m:sub>
          <m:sup>
            <m:r>
              <m:t>S</m:t>
            </m:r>
          </m:sup>
        </m:sSubSup>
        <m:r>
          <m:rPr>
            <m:sty m:val="p"/>
          </m:rPr>
          <m:t>:</m:t>
        </m:r>
      </m:oMath>
      <w:r>
        <w:t xml:space="preserve"> </w:t>
      </w:r>
      <w:r>
        <w:t xml:space="preserve">Working in emergency services leads to a sparser risk perception</w:t>
      </w:r>
    </w:p>
    <w:p>
      <w:pPr>
        <w:numPr>
          <w:ilvl w:val="0"/>
          <w:numId w:val="1013"/>
        </w:numPr>
      </w:pPr>
      <w:r>
        <w:t xml:space="preserve">Node level:</w:t>
      </w:r>
    </w:p>
    <w:p>
      <w:pPr>
        <w:numPr>
          <w:ilvl w:val="1"/>
          <w:numId w:val="1015"/>
        </w:numPr>
        <w:pStyle w:val="Compact"/>
      </w:pPr>
      <m:oMath>
        <m:sSubSup>
          <m:e>
            <m:r>
              <m:t>H</m:t>
            </m:r>
          </m:e>
          <m:sub>
            <m:r>
              <m:t>1</m:t>
            </m:r>
          </m:sub>
          <m:sup>
            <m:r>
              <m:t>N</m:t>
            </m:r>
          </m:sup>
        </m:sSubSup>
        <m:r>
          <m:rPr>
            <m:sty m:val="p"/>
          </m:rPr>
          <m:t>:</m:t>
        </m:r>
      </m:oMath>
      <w:r>
        <w:t xml:space="preserve"> </w:t>
      </w:r>
      <w:r>
        <w:t xml:space="preserve">Experiencing a fire leads to a decrease in the centrality of fire in the risk perception network</w:t>
      </w:r>
    </w:p>
    <w:p>
      <w:pPr>
        <w:numPr>
          <w:ilvl w:val="1"/>
          <w:numId w:val="1015"/>
        </w:numPr>
        <w:pStyle w:val="Compact"/>
      </w:pPr>
      <m:oMath>
        <m:sSubSup>
          <m:e>
            <m:r>
              <m:t>H</m:t>
            </m:r>
          </m:e>
          <m:sub>
            <m:r>
              <m:t>2</m:t>
            </m:r>
          </m:sub>
          <m:sup>
            <m:r>
              <m:t>N</m:t>
            </m:r>
          </m:sup>
        </m:sSubSup>
        <m:r>
          <m:rPr>
            <m:sty m:val="p"/>
          </m:rPr>
          <m:t>:</m:t>
        </m:r>
      </m:oMath>
      <w:r>
        <w:t xml:space="preserve"> </w:t>
      </w:r>
      <w:r>
        <w:t xml:space="preserve">Experiencing a near-miss leads to an increase in the centrality of fire in the risk perception network</w:t>
      </w:r>
    </w:p>
    <w:p>
      <w:pPr>
        <w:numPr>
          <w:ilvl w:val="1"/>
          <w:numId w:val="1015"/>
        </w:numPr>
        <w:pStyle w:val="Compact"/>
      </w:pPr>
      <m:oMath>
        <m:sSubSup>
          <m:e>
            <m:r>
              <m:t>H</m:t>
            </m:r>
          </m:e>
          <m:sub>
            <m:r>
              <m:t>3</m:t>
            </m:r>
          </m:sub>
          <m:sup>
            <m:r>
              <m:t>N</m:t>
            </m:r>
          </m:sup>
        </m:sSubSup>
        <m:r>
          <m:rPr>
            <m:sty m:val="p"/>
          </m:rPr>
          <m:t>:</m:t>
        </m:r>
      </m:oMath>
      <w:r>
        <w:t xml:space="preserve"> </w:t>
      </w:r>
      <w:r>
        <w:t xml:space="preserve">Working in emergency services leads to a decrease in the centrality of fire in the risk perception network</w:t>
      </w:r>
    </w:p>
    <w:p>
      <w:pPr>
        <w:pStyle w:val="FirstParagraph"/>
      </w:pPr>
      <w:r>
        <w:t xml:space="preserve">On the system level, we found no support for</w:t>
      </w:r>
      <w:r>
        <w:t xml:space="preserve"> </w:t>
      </w:r>
      <m:oMath>
        <m:sSubSup>
          <m:e>
            <m:r>
              <m:t>H</m:t>
            </m:r>
          </m:e>
          <m:sub>
            <m:r>
              <m:t>1</m:t>
            </m:r>
          </m:sub>
          <m:sup>
            <m:r>
              <m:t>S</m:t>
            </m:r>
          </m:sup>
        </m:sSubSup>
      </m:oMath>
      <w:r>
        <w:t xml:space="preserve"> </w:t>
      </w:r>
      <w:r>
        <w:t xml:space="preserve">or</w:t>
      </w:r>
      <w:r>
        <w:t xml:space="preserve"> </w:t>
      </w:r>
      <m:oMath>
        <m:sSubSup>
          <m:e>
            <m:r>
              <m:t>H</m:t>
            </m:r>
          </m:e>
          <m:sub>
            <m:r>
              <m:t>3</m:t>
            </m:r>
          </m:sub>
          <m:sup>
            <m:r>
              <m:t>S</m:t>
            </m:r>
          </m:sup>
        </m:sSubSup>
      </m:oMath>
      <w:r>
        <w:t xml:space="preserve">. In both cases, we even found partial support for the opposite direction: for both direct experiences and working in EMS, networks partially have grown more dense than for others.</w:t>
      </w:r>
    </w:p>
    <w:p>
      <w:pPr>
        <w:pStyle w:val="BodyText"/>
      </w:pPr>
      <w:r>
        <w:t xml:space="preserve">However, we found strong support for</w:t>
      </w:r>
      <w:r>
        <w:t xml:space="preserve"> </w:t>
      </w:r>
      <m:oMath>
        <m:sSubSup>
          <m:e>
            <m:r>
              <m:t>H</m:t>
            </m:r>
          </m:e>
          <m:sub>
            <m:r>
              <m:t>2</m:t>
            </m:r>
          </m:sub>
          <m:sup>
            <m:r>
              <m:t>S</m:t>
            </m:r>
          </m:sup>
        </m:sSubSup>
      </m:oMath>
      <w:r>
        <w:t xml:space="preserve">, that a near-miss experience leads to a denser risk perception network.</w:t>
      </w:r>
    </w:p>
    <w:p>
      <w:pPr>
        <w:pStyle w:val="BodyText"/>
      </w:pPr>
      <w:r>
        <w:rPr>
          <w:iCs/>
          <w:i/>
        </w:rPr>
        <w:t xml:space="preserve">UPDATE 12/5/2023: What does it mean for the node to drop in centrality, viz. the idea that experience lowers System II intensity? Is increased centrality == increased intensity, or is it the other way around?</w:t>
      </w:r>
    </w:p>
    <w:p>
      <w:pPr>
        <w:pStyle w:val="BodyText"/>
      </w:pPr>
      <w:r>
        <w:t xml:space="preserve">On the node level, the situation is very different. Overall, we found very little support for our hypotheses. We found marginal support for</w:t>
      </w:r>
      <w:r>
        <w:t xml:space="preserve"> </w:t>
      </w:r>
      <m:oMath>
        <m:sSubSup>
          <m:e>
            <m:r>
              <m:t>H</m:t>
            </m:r>
          </m:e>
          <m:sub>
            <m:r>
              <m:t>1</m:t>
            </m:r>
          </m:sub>
          <m:sup>
            <m:r>
              <m:t>N</m:t>
            </m:r>
          </m:sup>
        </m:sSubSup>
      </m:oMath>
      <w:r>
        <w:t xml:space="preserve">: subjectively experienced probabilities of fire might become less central in the overall network after experiencing a near-miss experience. All other changes were non-significant.</w:t>
      </w:r>
    </w:p>
    <w:bookmarkEnd w:id="80"/>
    <w:bookmarkStart w:id="145" w:name="sec-references"/>
    <w:p>
      <w:pPr>
        <w:pStyle w:val="Heading1"/>
      </w:pPr>
      <w:r>
        <w:t xml:space="preserve">References</w:t>
      </w:r>
    </w:p>
    <w:bookmarkStart w:id="144" w:name="refs"/>
    <w:bookmarkStart w:id="82" w:name="ref-atreya2013"/>
    <w:p>
      <w:pPr>
        <w:pStyle w:val="Bibliography"/>
      </w:pPr>
      <w:r>
        <w:t xml:space="preserve">Atreya, A., Ferreira, S., &amp; Kriesel, W. (2013). Forgetting the Flood? An Analysis of the Flood Risk Discount over Time.</w:t>
      </w:r>
      <w:r>
        <w:t xml:space="preserve"> </w:t>
      </w:r>
      <w:r>
        <w:rPr>
          <w:iCs/>
          <w:i/>
        </w:rPr>
        <w:t xml:space="preserve">Land Economics</w:t>
      </w:r>
      <w:r>
        <w:t xml:space="preserve">,</w:t>
      </w:r>
      <w:r>
        <w:t xml:space="preserve"> </w:t>
      </w:r>
      <w:r>
        <w:rPr>
          <w:iCs/>
          <w:i/>
        </w:rPr>
        <w:t xml:space="preserve">89</w:t>
      </w:r>
      <w:r>
        <w:t xml:space="preserve">(4), 577–596.</w:t>
      </w:r>
      <w:r>
        <w:t xml:space="preserve"> </w:t>
      </w:r>
      <w:hyperlink r:id="rId81">
        <w:r>
          <w:rPr>
            <w:rStyle w:val="Hyperlink"/>
          </w:rPr>
          <w:t xml:space="preserve">https://doi.org/10.3368/le.89.4.577</w:t>
        </w:r>
      </w:hyperlink>
    </w:p>
    <w:bookmarkEnd w:id="82"/>
    <w:bookmarkStart w:id="84" w:name="ref-aven2022"/>
    <w:p>
      <w:pPr>
        <w:pStyle w:val="Bibliography"/>
      </w:pPr>
      <w:r>
        <w:t xml:space="preserve">Aven, T. (2022). On Some Foundational Issues Concerning the Relationship Between Risk and Resilience.</w:t>
      </w:r>
      <w:r>
        <w:t xml:space="preserve"> </w:t>
      </w:r>
      <w:r>
        <w:rPr>
          <w:iCs/>
          <w:i/>
        </w:rPr>
        <w:t xml:space="preserve">Risk Analysis</w:t>
      </w:r>
      <w:r>
        <w:t xml:space="preserve">,</w:t>
      </w:r>
      <w:r>
        <w:t xml:space="preserve"> </w:t>
      </w:r>
      <w:r>
        <w:rPr>
          <w:iCs/>
          <w:i/>
        </w:rPr>
        <w:t xml:space="preserve">42</w:t>
      </w:r>
      <w:r>
        <w:t xml:space="preserve">(9), 2062–2074.</w:t>
      </w:r>
      <w:r>
        <w:t xml:space="preserve"> </w:t>
      </w:r>
      <w:hyperlink r:id="rId83">
        <w:r>
          <w:rPr>
            <w:rStyle w:val="Hyperlink"/>
          </w:rPr>
          <w:t xml:space="preserve">https://doi.org/10.1111/risa.13848</w:t>
        </w:r>
      </w:hyperlink>
    </w:p>
    <w:bookmarkEnd w:id="84"/>
    <w:bookmarkStart w:id="85" w:name="ref-bégout2007"/>
    <w:p>
      <w:pPr>
        <w:pStyle w:val="Bibliography"/>
      </w:pPr>
      <w:r>
        <w:t xml:space="preserve">Bégout, B. (2007).</w:t>
      </w:r>
      <w:r>
        <w:t xml:space="preserve"> </w:t>
      </w:r>
      <w:r>
        <w:rPr>
          <w:iCs/>
          <w:i/>
        </w:rPr>
        <w:t xml:space="preserve">Husserl and the phenomenology of attention</w:t>
      </w:r>
      <w:r>
        <w:t xml:space="preserve"> </w:t>
      </w:r>
      <w:r>
        <w:t xml:space="preserve">(pp. 13–32). Springer.</w:t>
      </w:r>
    </w:p>
    <w:bookmarkEnd w:id="85"/>
    <w:bookmarkStart w:id="87" w:name="ref-bin2013"/>
    <w:p>
      <w:pPr>
        <w:pStyle w:val="Bibliography"/>
      </w:pPr>
      <w:r>
        <w:t xml:space="preserve">Bin, O., &amp; Landry, C. E. (2013). Changes in implicit flood risk premiums: Empirical evidence from the housing market.</w:t>
      </w:r>
      <w:r>
        <w:t xml:space="preserve"> </w:t>
      </w:r>
      <w:r>
        <w:rPr>
          <w:iCs/>
          <w:i/>
        </w:rPr>
        <w:t xml:space="preserve">Journal of Environmental Economics and Management</w:t>
      </w:r>
      <w:r>
        <w:t xml:space="preserve">,</w:t>
      </w:r>
      <w:r>
        <w:t xml:space="preserve"> </w:t>
      </w:r>
      <w:r>
        <w:rPr>
          <w:iCs/>
          <w:i/>
        </w:rPr>
        <w:t xml:space="preserve">65</w:t>
      </w:r>
      <w:r>
        <w:t xml:space="preserve">(3), 361–376.</w:t>
      </w:r>
      <w:r>
        <w:t xml:space="preserve"> </w:t>
      </w:r>
      <w:hyperlink r:id="rId86">
        <w:r>
          <w:rPr>
            <w:rStyle w:val="Hyperlink"/>
          </w:rPr>
          <w:t xml:space="preserve">https://ideas.repec.org//a/eee/jeeman/v65y2013i3p361-376.html</w:t>
        </w:r>
      </w:hyperlink>
    </w:p>
    <w:bookmarkEnd w:id="87"/>
    <w:bookmarkStart w:id="89" w:name="ref-epskamp2018b"/>
    <w:p>
      <w:pPr>
        <w:pStyle w:val="Bibliography"/>
      </w:pPr>
      <w:r>
        <w:t xml:space="preserve">Epskamp, S., Borsboom, D., &amp; Fried, E. I. (2018). Estimating psychological networks and their accuracy:</w:t>
      </w:r>
      <w:r>
        <w:t xml:space="preserve"> </w:t>
      </w:r>
      <w:r>
        <w:t xml:space="preserve">A</w:t>
      </w:r>
      <w:r>
        <w:t xml:space="preserve"> </w:t>
      </w:r>
      <w:r>
        <w:t xml:space="preserve">tutorial paper.</w:t>
      </w:r>
      <w:r>
        <w:t xml:space="preserve"> </w:t>
      </w:r>
      <w:r>
        <w:rPr>
          <w:iCs/>
          <w:i/>
        </w:rPr>
        <w:t xml:space="preserve">Behavior Research Methods</w:t>
      </w:r>
      <w:r>
        <w:t xml:space="preserve">,</w:t>
      </w:r>
      <w:r>
        <w:t xml:space="preserve"> </w:t>
      </w:r>
      <w:r>
        <w:rPr>
          <w:iCs/>
          <w:i/>
        </w:rPr>
        <w:t xml:space="preserve">50</w:t>
      </w:r>
      <w:r>
        <w:t xml:space="preserve">(1), 195–212.</w:t>
      </w:r>
      <w:r>
        <w:t xml:space="preserve"> </w:t>
      </w:r>
      <w:hyperlink r:id="rId88">
        <w:r>
          <w:rPr>
            <w:rStyle w:val="Hyperlink"/>
          </w:rPr>
          <w:t xml:space="preserve">https://doi.org/10.3758/s13428-017-0862-1</w:t>
        </w:r>
      </w:hyperlink>
    </w:p>
    <w:bookmarkEnd w:id="89"/>
    <w:bookmarkStart w:id="90" w:name="ref-epskamp2012"/>
    <w:p>
      <w:pPr>
        <w:pStyle w:val="Bibliography"/>
      </w:pPr>
      <w:r>
        <w:t xml:space="preserve">Epskamp, S., Cramer, A. O. J., Waldorp, L. J., Schmittmann, V. D., &amp; Borsboom, D. (2012).</w:t>
      </w:r>
      <w:r>
        <w:t xml:space="preserve"> </w:t>
      </w:r>
      <w:r>
        <w:t xml:space="preserve">qgraph</w:t>
      </w:r>
      <w:r>
        <w:t xml:space="preserve">:</w:t>
      </w:r>
      <w:r>
        <w:t xml:space="preserve"> </w:t>
      </w:r>
      <w:r>
        <w:t xml:space="preserve">Network</w:t>
      </w:r>
      <w:r>
        <w:t xml:space="preserve"> </w:t>
      </w:r>
      <w:r>
        <w:t xml:space="preserve">visualizations of relationships in psychometric data.</w:t>
      </w:r>
      <w:r>
        <w:t xml:space="preserve"> </w:t>
      </w:r>
      <w:r>
        <w:rPr>
          <w:iCs/>
          <w:i/>
        </w:rPr>
        <w:t xml:space="preserve">Journal of Statistical Software</w:t>
      </w:r>
      <w:r>
        <w:t xml:space="preserve">,</w:t>
      </w:r>
      <w:r>
        <w:t xml:space="preserve"> </w:t>
      </w:r>
      <w:r>
        <w:rPr>
          <w:iCs/>
          <w:i/>
        </w:rPr>
        <w:t xml:space="preserve">48</w:t>
      </w:r>
      <w:r>
        <w:t xml:space="preserve">(4), 1–18.</w:t>
      </w:r>
    </w:p>
    <w:bookmarkEnd w:id="90"/>
    <w:bookmarkStart w:id="92" w:name="ref-foygel2010"/>
    <w:p>
      <w:pPr>
        <w:pStyle w:val="Bibliography"/>
      </w:pPr>
      <w:r>
        <w:t xml:space="preserve">Foygel, R., &amp; Drton, M. (2010).</w:t>
      </w:r>
      <w:r>
        <w:t xml:space="preserve"> </w:t>
      </w:r>
      <w:r>
        <w:rPr>
          <w:iCs/>
          <w:i/>
        </w:rPr>
        <w:t xml:space="preserve">Extended bayesian information criteria for gaussian graphical models</w:t>
      </w:r>
      <w:r>
        <w:t xml:space="preserve">.</w:t>
      </w:r>
      <w:r>
        <w:t xml:space="preserve"> </w:t>
      </w:r>
      <w:r>
        <w:rPr>
          <w:iCs/>
          <w:i/>
        </w:rPr>
        <w:t xml:space="preserve">23</w:t>
      </w:r>
      <w:r>
        <w:t xml:space="preserve">.</w:t>
      </w:r>
      <w:r>
        <w:t xml:space="preserve"> </w:t>
      </w:r>
      <w:hyperlink r:id="rId91">
        <w:r>
          <w:rPr>
            <w:rStyle w:val="Hyperlink"/>
          </w:rPr>
          <w:t xml:space="preserve">https://papers.nips.cc/paper_files/paper/2010/hash/072b030ba126b2f4b2374f342be9ed44-Abstract.html</w:t>
        </w:r>
      </w:hyperlink>
    </w:p>
    <w:bookmarkEnd w:id="92"/>
    <w:bookmarkStart w:id="94" w:name="ref-fried2022"/>
    <w:p>
      <w:pPr>
        <w:pStyle w:val="Bibliography"/>
      </w:pPr>
      <w:r>
        <w:t xml:space="preserve">Fried, E. I., Epskamp, S., Veenman, M., &amp; Van Borkulo, C. D. (2022). Network</w:t>
      </w:r>
      <w:r>
        <w:t xml:space="preserve"> </w:t>
      </w:r>
      <w:r>
        <w:t xml:space="preserve">Stability</w:t>
      </w:r>
      <w:r>
        <w:t xml:space="preserve">,</w:t>
      </w:r>
      <w:r>
        <w:t xml:space="preserve"> </w:t>
      </w:r>
      <w:r>
        <w:t xml:space="preserve">Comparison</w:t>
      </w:r>
      <w:r>
        <w:t xml:space="preserve">, and</w:t>
      </w:r>
      <w:r>
        <w:t xml:space="preserve"> </w:t>
      </w:r>
      <w:r>
        <w:t xml:space="preserve">Replicability</w:t>
      </w:r>
      <w:r>
        <w:t xml:space="preserve">. In</w:t>
      </w:r>
      <w:r>
        <w:t xml:space="preserve"> </w:t>
      </w:r>
      <w:r>
        <w:rPr>
          <w:iCs/>
          <w:i/>
        </w:rPr>
        <w:t xml:space="preserve">Network</w:t>
      </w:r>
      <w:r>
        <w:rPr>
          <w:iCs/>
          <w:i/>
        </w:rPr>
        <w:t xml:space="preserve"> </w:t>
      </w:r>
      <w:r>
        <w:rPr>
          <w:iCs/>
          <w:i/>
        </w:rPr>
        <w:t xml:space="preserve">Psychometrics</w:t>
      </w:r>
      <w:r>
        <w:rPr>
          <w:iCs/>
          <w:i/>
        </w:rPr>
        <w:t xml:space="preserve"> </w:t>
      </w:r>
      <w:r>
        <w:rPr>
          <w:iCs/>
          <w:i/>
        </w:rPr>
        <w:t xml:space="preserve">with</w:t>
      </w:r>
      <w:r>
        <w:rPr>
          <w:iCs/>
          <w:i/>
        </w:rPr>
        <w:t xml:space="preserve"> </w:t>
      </w:r>
      <w:r>
        <w:rPr>
          <w:iCs/>
          <w:i/>
        </w:rPr>
        <w:t xml:space="preserve">R</w:t>
      </w:r>
      <w:r>
        <w:rPr>
          <w:iCs/>
          <w:i/>
        </w:rPr>
        <w:t xml:space="preserve">:</w:t>
      </w:r>
      <w:r>
        <w:rPr>
          <w:iCs/>
          <w:i/>
        </w:rPr>
        <w:t xml:space="preserve"> </w:t>
      </w:r>
      <w:r>
        <w:rPr>
          <w:iCs/>
          <w:i/>
        </w:rPr>
        <w:t xml:space="preserve">A Guide</w:t>
      </w:r>
      <w:r>
        <w:rPr>
          <w:iCs/>
          <w:i/>
        </w:rPr>
        <w:t xml:space="preserve"> </w:t>
      </w:r>
      <w:r>
        <w:rPr>
          <w:iCs/>
          <w:i/>
        </w:rPr>
        <w:t xml:space="preserve">for</w:t>
      </w:r>
      <w:r>
        <w:rPr>
          <w:iCs/>
          <w:i/>
        </w:rPr>
        <w:t xml:space="preserve"> </w:t>
      </w:r>
      <w:r>
        <w:rPr>
          <w:iCs/>
          <w:i/>
        </w:rPr>
        <w:t xml:space="preserve">Behavioral</w:t>
      </w:r>
      <w:r>
        <w:rPr>
          <w:iCs/>
          <w:i/>
        </w:rPr>
        <w:t xml:space="preserve"> </w:t>
      </w:r>
      <w:r>
        <w:rPr>
          <w:iCs/>
          <w:i/>
        </w:rPr>
        <w:t xml:space="preserve">and</w:t>
      </w:r>
      <w:r>
        <w:rPr>
          <w:iCs/>
          <w:i/>
        </w:rPr>
        <w:t xml:space="preserve"> </w:t>
      </w:r>
      <w:r>
        <w:rPr>
          <w:iCs/>
          <w:i/>
        </w:rPr>
        <w:t xml:space="preserve">Social Scientists</w:t>
      </w:r>
      <w:r>
        <w:t xml:space="preserve">.</w:t>
      </w:r>
      <w:r>
        <w:t xml:space="preserve"> </w:t>
      </w:r>
      <w:r>
        <w:t xml:space="preserve">Routledge</w:t>
      </w:r>
      <w:r>
        <w:t xml:space="preserve">.</w:t>
      </w:r>
      <w:r>
        <w:t xml:space="preserve"> </w:t>
      </w:r>
      <w:hyperlink r:id="rId93">
        <w:r>
          <w:rPr>
            <w:rStyle w:val="Hyperlink"/>
          </w:rPr>
          <w:t xml:space="preserve">https://doi.org/10.4324/9781003111238</w:t>
        </w:r>
      </w:hyperlink>
    </w:p>
    <w:bookmarkEnd w:id="94"/>
    <w:bookmarkStart w:id="96" w:name="ref-gallagher2014"/>
    <w:p>
      <w:pPr>
        <w:pStyle w:val="Bibliography"/>
      </w:pPr>
      <w:r>
        <w:t xml:space="preserve">Gallagher, J. (2014). Learning about an Infrequent Event: Evidence from Flood Insurance Take-Up in the United States.</w:t>
      </w:r>
      <w:r>
        <w:t xml:space="preserve"> </w:t>
      </w:r>
      <w:r>
        <w:rPr>
          <w:iCs/>
          <w:i/>
        </w:rPr>
        <w:t xml:space="preserve">American Economic Journal: Applied Economics</w:t>
      </w:r>
      <w:r>
        <w:t xml:space="preserve">,</w:t>
      </w:r>
      <w:r>
        <w:t xml:space="preserve"> </w:t>
      </w:r>
      <w:r>
        <w:rPr>
          <w:iCs/>
          <w:i/>
        </w:rPr>
        <w:t xml:space="preserve">6</w:t>
      </w:r>
      <w:r>
        <w:t xml:space="preserve">(3), 206–233.</w:t>
      </w:r>
      <w:r>
        <w:t xml:space="preserve"> </w:t>
      </w:r>
      <w:hyperlink r:id="rId95">
        <w:r>
          <w:rPr>
            <w:rStyle w:val="Hyperlink"/>
          </w:rPr>
          <w:t xml:space="preserve">https://doi.org/10.1257/app.6.3.206</w:t>
        </w:r>
      </w:hyperlink>
    </w:p>
    <w:bookmarkEnd w:id="96"/>
    <w:bookmarkStart w:id="98" w:name="ref-haas2022"/>
    <w:p>
      <w:pPr>
        <w:pStyle w:val="Bibliography"/>
      </w:pPr>
      <w:r>
        <w:t xml:space="preserve">Haas, A., Laubichler, M., Applegate, J., Steudle, G., &amp; Jaeger, C. C. (2022). A Proposal for Integrating Theories of Complexity for Better Understanding Global Systemic Risks.</w:t>
      </w:r>
      <w:r>
        <w:t xml:space="preserve"> </w:t>
      </w:r>
      <w:r>
        <w:rPr>
          <w:iCs/>
          <w:i/>
        </w:rPr>
        <w:t xml:space="preserve">Risk Analysis</w:t>
      </w:r>
      <w:r>
        <w:t xml:space="preserve">,</w:t>
      </w:r>
      <w:r>
        <w:t xml:space="preserve"> </w:t>
      </w:r>
      <w:r>
        <w:rPr>
          <w:iCs/>
          <w:i/>
        </w:rPr>
        <w:t xml:space="preserve">42</w:t>
      </w:r>
      <w:r>
        <w:t xml:space="preserve">(9), 1945–1951.</w:t>
      </w:r>
      <w:r>
        <w:t xml:space="preserve"> </w:t>
      </w:r>
      <w:hyperlink r:id="rId97">
        <w:r>
          <w:rPr>
            <w:rStyle w:val="Hyperlink"/>
          </w:rPr>
          <w:t xml:space="preserve">https://doi.org/10.1111/risa.13608</w:t>
        </w:r>
      </w:hyperlink>
    </w:p>
    <w:bookmarkEnd w:id="98"/>
    <w:bookmarkStart w:id="99" w:name="ref-heidegger1962"/>
    <w:p>
      <w:pPr>
        <w:pStyle w:val="Bibliography"/>
      </w:pPr>
      <w:r>
        <w:t xml:space="preserve">Heidegger, M. (1962).</w:t>
      </w:r>
      <w:r>
        <w:t xml:space="preserve"> </w:t>
      </w:r>
      <w:r>
        <w:rPr>
          <w:iCs/>
          <w:i/>
        </w:rPr>
        <w:t xml:space="preserve">Being and time</w:t>
      </w:r>
      <w:r>
        <w:t xml:space="preserve">. Harper &amp; Row.</w:t>
      </w:r>
    </w:p>
    <w:bookmarkEnd w:id="99"/>
    <w:bookmarkStart w:id="101" w:name="ref-humphries2008"/>
    <w:p>
      <w:pPr>
        <w:pStyle w:val="Bibliography"/>
      </w:pPr>
      <w:r>
        <w:t xml:space="preserve">Humphries, M. D., &amp; Gurney, K. (2008). Network</w:t>
      </w:r>
      <w:r>
        <w:t xml:space="preserve"> </w:t>
      </w:r>
      <w:r>
        <w:t xml:space="preserve">‘</w:t>
      </w:r>
      <w:r>
        <w:t xml:space="preserve">Small-World-Ness</w:t>
      </w:r>
      <w:r>
        <w:t xml:space="preserve">’</w:t>
      </w:r>
      <w:r>
        <w:t xml:space="preserve">: A Quantitative Method for Determining Canonical Network Equivalence.</w:t>
      </w:r>
      <w:r>
        <w:t xml:space="preserve"> </w:t>
      </w:r>
      <w:r>
        <w:rPr>
          <w:iCs/>
          <w:i/>
        </w:rPr>
        <w:t xml:space="preserve">PLOS ONE</w:t>
      </w:r>
      <w:r>
        <w:t xml:space="preserve">,</w:t>
      </w:r>
      <w:r>
        <w:t xml:space="preserve"> </w:t>
      </w:r>
      <w:r>
        <w:rPr>
          <w:iCs/>
          <w:i/>
        </w:rPr>
        <w:t xml:space="preserve">3</w:t>
      </w:r>
      <w:r>
        <w:t xml:space="preserve">(4), e0002051.</w:t>
      </w:r>
      <w:r>
        <w:t xml:space="preserve"> </w:t>
      </w:r>
      <w:hyperlink r:id="rId100">
        <w:r>
          <w:rPr>
            <w:rStyle w:val="Hyperlink"/>
          </w:rPr>
          <w:t xml:space="preserve">https://doi.org/10.1371/journal.pone.0002051</w:t>
        </w:r>
      </w:hyperlink>
    </w:p>
    <w:bookmarkEnd w:id="101"/>
    <w:bookmarkStart w:id="103" w:name="ref-jones2018"/>
    <w:p>
      <w:pPr>
        <w:pStyle w:val="Bibliography"/>
      </w:pPr>
      <w:r>
        <w:t xml:space="preserve">Jones, P. J., Mair, P., &amp; McNally, R. J. (2018). Visualizing psychological networks:</w:t>
      </w:r>
      <w:r>
        <w:t xml:space="preserve"> </w:t>
      </w:r>
      <w:r>
        <w:t xml:space="preserve">A</w:t>
      </w:r>
      <w:r>
        <w:t xml:space="preserve"> </w:t>
      </w:r>
      <w:r>
        <w:t xml:space="preserve">tutorial in</w:t>
      </w:r>
      <w:r>
        <w:t xml:space="preserve"> </w:t>
      </w:r>
      <w:r>
        <w:t xml:space="preserve">R</w:t>
      </w:r>
      <w:r>
        <w:t xml:space="preserve">.</w:t>
      </w:r>
      <w:r>
        <w:t xml:space="preserve"> </w:t>
      </w:r>
      <w:r>
        <w:rPr>
          <w:iCs/>
          <w:i/>
        </w:rPr>
        <w:t xml:space="preserve">Frontiers in Psychology</w:t>
      </w:r>
      <w:r>
        <w:t xml:space="preserve">,</w:t>
      </w:r>
      <w:r>
        <w:t xml:space="preserve"> </w:t>
      </w:r>
      <w:r>
        <w:rPr>
          <w:iCs/>
          <w:i/>
        </w:rPr>
        <w:t xml:space="preserve">9</w:t>
      </w:r>
      <w:r>
        <w:t xml:space="preserve">.</w:t>
      </w:r>
      <w:r>
        <w:t xml:space="preserve"> </w:t>
      </w:r>
      <w:hyperlink r:id="rId102">
        <w:r>
          <w:rPr>
            <w:rStyle w:val="Hyperlink"/>
          </w:rPr>
          <w:t xml:space="preserve">https://doi.org/10.3389/fpsyg.2018.01742</w:t>
        </w:r>
      </w:hyperlink>
    </w:p>
    <w:bookmarkEnd w:id="103"/>
    <w:bookmarkStart w:id="105" w:name="ref-kellens2013"/>
    <w:p>
      <w:pPr>
        <w:pStyle w:val="Bibliography"/>
      </w:pPr>
      <w:r>
        <w:t xml:space="preserve">Kellens, W., Terpstra, T., &amp; De Maeyer, P. (2013). Perception and Communication of Flood Risks: A Systematic Review of Empirical Research.</w:t>
      </w:r>
      <w:r>
        <w:t xml:space="preserve"> </w:t>
      </w:r>
      <w:r>
        <w:rPr>
          <w:iCs/>
          <w:i/>
        </w:rPr>
        <w:t xml:space="preserve">Risk Analysis</w:t>
      </w:r>
      <w:r>
        <w:t xml:space="preserve">,</w:t>
      </w:r>
      <w:r>
        <w:t xml:space="preserve"> </w:t>
      </w:r>
      <w:r>
        <w:rPr>
          <w:iCs/>
          <w:i/>
        </w:rPr>
        <w:t xml:space="preserve">33</w:t>
      </w:r>
      <w:r>
        <w:t xml:space="preserve">(1), 24–49.</w:t>
      </w:r>
      <w:r>
        <w:t xml:space="preserve"> </w:t>
      </w:r>
      <w:hyperlink r:id="rId104">
        <w:r>
          <w:rPr>
            <w:rStyle w:val="Hyperlink"/>
          </w:rPr>
          <w:t xml:space="preserve">https://doi.org/10.1111/j.1539-6924.2012.01844.x</w:t>
        </w:r>
      </w:hyperlink>
    </w:p>
    <w:bookmarkEnd w:id="105"/>
    <w:bookmarkStart w:id="106" w:name="ref-kim2015"/>
    <w:p>
      <w:pPr>
        <w:pStyle w:val="Bibliography"/>
      </w:pPr>
      <w:r>
        <w:t xml:space="preserve">Kim, S. (2015). Ppcor:</w:t>
      </w:r>
      <w:r>
        <w:t xml:space="preserve"> </w:t>
      </w:r>
      <w:r>
        <w:t xml:space="preserve">An R Package</w:t>
      </w:r>
      <w:r>
        <w:t xml:space="preserve"> </w:t>
      </w:r>
      <w:r>
        <w:t xml:space="preserve">for a</w:t>
      </w:r>
      <w:r>
        <w:t xml:space="preserve"> </w:t>
      </w:r>
      <w:r>
        <w:t xml:space="preserve">Fast Calculation</w:t>
      </w:r>
      <w:r>
        <w:t xml:space="preserve"> </w:t>
      </w:r>
      <w:r>
        <w:t xml:space="preserve">to</w:t>
      </w:r>
      <w:r>
        <w:t xml:space="preserve"> </w:t>
      </w:r>
      <w:r>
        <w:t xml:space="preserve">Semi-partial Correlation Coefficients</w:t>
      </w:r>
      <w:r>
        <w:t xml:space="preserve">.</w:t>
      </w:r>
      <w:r>
        <w:t xml:space="preserve"> </w:t>
      </w:r>
      <w:r>
        <w:rPr>
          <w:iCs/>
          <w:i/>
        </w:rPr>
        <w:t xml:space="preserve">Communications for Statistical Applications and Methods</w:t>
      </w:r>
      <w:r>
        <w:t xml:space="preserve">,</w:t>
      </w:r>
      <w:r>
        <w:t xml:space="preserve"> </w:t>
      </w:r>
      <w:r>
        <w:rPr>
          <w:iCs/>
          <w:i/>
        </w:rPr>
        <w:t xml:space="preserve">22</w:t>
      </w:r>
      <w:r>
        <w:t xml:space="preserve">(6), 665–674.</w:t>
      </w:r>
    </w:p>
    <w:bookmarkEnd w:id="106"/>
    <w:bookmarkStart w:id="108" w:name="ref-dekoning2017"/>
    <w:p>
      <w:pPr>
        <w:pStyle w:val="Bibliography"/>
      </w:pPr>
      <w:r>
        <w:t xml:space="preserve">Koning, K. de, Filatova, T., &amp; Bin, O. (2017). Bridging the Gap Between Revealed and Stated Preferences in Flood-prone Housing Markets.</w:t>
      </w:r>
      <w:r>
        <w:t xml:space="preserve"> </w:t>
      </w:r>
      <w:r>
        <w:rPr>
          <w:iCs/>
          <w:i/>
        </w:rPr>
        <w:t xml:space="preserve">Ecological Economics</w:t>
      </w:r>
      <w:r>
        <w:t xml:space="preserve">,</w:t>
      </w:r>
      <w:r>
        <w:t xml:space="preserve"> </w:t>
      </w:r>
      <w:r>
        <w:rPr>
          <w:iCs/>
          <w:i/>
        </w:rPr>
        <w:t xml:space="preserve">136</w:t>
      </w:r>
      <w:r>
        <w:t xml:space="preserve">, 1–13.</w:t>
      </w:r>
      <w:r>
        <w:t xml:space="preserve"> </w:t>
      </w:r>
      <w:hyperlink r:id="rId107">
        <w:r>
          <w:rPr>
            <w:rStyle w:val="Hyperlink"/>
          </w:rPr>
          <w:t xml:space="preserve">https://doi.org/10.1016/j.ecolecon.2017.01.022</w:t>
        </w:r>
      </w:hyperlink>
    </w:p>
    <w:bookmarkEnd w:id="108"/>
    <w:bookmarkStart w:id="110" w:name="ref-magliocca2018"/>
    <w:p>
      <w:pPr>
        <w:pStyle w:val="Bibliography"/>
      </w:pPr>
      <w:r>
        <w:t xml:space="preserve">Magliocca, N. R., &amp; Walls, M. (2018). The role of subjective risk perceptions in shaping coastal development dynamics.</w:t>
      </w:r>
      <w:r>
        <w:t xml:space="preserve"> </w:t>
      </w:r>
      <w:r>
        <w:rPr>
          <w:iCs/>
          <w:i/>
        </w:rPr>
        <w:t xml:space="preserve">Computers, Environment and Urban Systems</w:t>
      </w:r>
      <w:r>
        <w:t xml:space="preserve">,</w:t>
      </w:r>
      <w:r>
        <w:t xml:space="preserve"> </w:t>
      </w:r>
      <w:r>
        <w:rPr>
          <w:iCs/>
          <w:i/>
        </w:rPr>
        <w:t xml:space="preserve">71</w:t>
      </w:r>
      <w:r>
        <w:t xml:space="preserve">, 1–13.</w:t>
      </w:r>
      <w:r>
        <w:t xml:space="preserve"> </w:t>
      </w:r>
      <w:hyperlink r:id="rId109">
        <w:r>
          <w:rPr>
            <w:rStyle w:val="Hyperlink"/>
          </w:rPr>
          <w:t xml:space="preserve">https://doi.org/10.1016/j.compenvurbsys.2018.03.009</w:t>
        </w:r>
      </w:hyperlink>
    </w:p>
    <w:bookmarkEnd w:id="110"/>
    <w:bookmarkStart w:id="112" w:name="ref-mair2022"/>
    <w:p>
      <w:pPr>
        <w:pStyle w:val="Bibliography"/>
      </w:pPr>
      <w:r>
        <w:t xml:space="preserve">Mair, P., Groenen, P. J. F., &amp; De Leeuw, J. (2022). More on multidimensional scaling in r: Smacof version 2.</w:t>
      </w:r>
      <w:r>
        <w:t xml:space="preserve"> </w:t>
      </w:r>
      <w:r>
        <w:rPr>
          <w:iCs/>
          <w:i/>
        </w:rPr>
        <w:t xml:space="preserve">Journal of Statistical Software</w:t>
      </w:r>
      <w:r>
        <w:t xml:space="preserve">,</w:t>
      </w:r>
      <w:r>
        <w:t xml:space="preserve"> </w:t>
      </w:r>
      <w:r>
        <w:rPr>
          <w:iCs/>
          <w:i/>
        </w:rPr>
        <w:t xml:space="preserve">102</w:t>
      </w:r>
      <w:r>
        <w:t xml:space="preserve">(10), 147.</w:t>
      </w:r>
      <w:r>
        <w:t xml:space="preserve"> </w:t>
      </w:r>
      <w:hyperlink r:id="rId111">
        <w:r>
          <w:rPr>
            <w:rStyle w:val="Hyperlink"/>
          </w:rPr>
          <w:t xml:space="preserve">https://doi.org/10.18637/jss.v102.i10</w:t>
        </w:r>
      </w:hyperlink>
    </w:p>
    <w:bookmarkEnd w:id="112"/>
    <w:bookmarkStart w:id="114" w:name="ref-newman2003"/>
    <w:p>
      <w:pPr>
        <w:pStyle w:val="Bibliography"/>
      </w:pPr>
      <w:r>
        <w:t xml:space="preserve">Newman, M. E. J. (2003). The structure and function of complex networks.</w:t>
      </w:r>
      <w:r>
        <w:t xml:space="preserve"> </w:t>
      </w:r>
      <w:r>
        <w:rPr>
          <w:iCs/>
          <w:i/>
        </w:rPr>
        <w:t xml:space="preserve">SIAM Review</w:t>
      </w:r>
      <w:r>
        <w:t xml:space="preserve">,</w:t>
      </w:r>
      <w:r>
        <w:t xml:space="preserve"> </w:t>
      </w:r>
      <w:r>
        <w:rPr>
          <w:iCs/>
          <w:i/>
        </w:rPr>
        <w:t xml:space="preserve">45</w:t>
      </w:r>
      <w:r>
        <w:t xml:space="preserve">(2), 167–256.</w:t>
      </w:r>
      <w:r>
        <w:t xml:space="preserve"> </w:t>
      </w:r>
      <w:hyperlink r:id="rId113">
        <w:r>
          <w:rPr>
            <w:rStyle w:val="Hyperlink"/>
          </w:rPr>
          <w:t xml:space="preserve">https://doi.org/10.1137/S003614450342480</w:t>
        </w:r>
      </w:hyperlink>
    </w:p>
    <w:bookmarkEnd w:id="114"/>
    <w:bookmarkStart w:id="116" w:name="ref-patil2021"/>
    <w:p>
      <w:pPr>
        <w:pStyle w:val="Bibliography"/>
      </w:pPr>
      <w:r>
        <w:t xml:space="preserve">Patil, I. (2021). Visualizations with statistical details:</w:t>
      </w:r>
      <w:r>
        <w:t xml:space="preserve"> </w:t>
      </w:r>
      <w:r>
        <w:t xml:space="preserve">The</w:t>
      </w:r>
      <w:r>
        <w:t xml:space="preserve"> </w:t>
      </w:r>
      <w:r>
        <w:t xml:space="preserve">’ggstatsplot’</w:t>
      </w:r>
      <w:r>
        <w:t xml:space="preserve"> </w:t>
      </w:r>
      <w:r>
        <w:t xml:space="preserve">approach.</w:t>
      </w:r>
      <w:r>
        <w:t xml:space="preserve"> </w:t>
      </w:r>
      <w:r>
        <w:rPr>
          <w:iCs/>
          <w:i/>
        </w:rPr>
        <w:t xml:space="preserve">Journal of Open Source Software</w:t>
      </w:r>
      <w:r>
        <w:t xml:space="preserve">,</w:t>
      </w:r>
      <w:r>
        <w:t xml:space="preserve"> </w:t>
      </w:r>
      <w:r>
        <w:rPr>
          <w:iCs/>
          <w:i/>
        </w:rPr>
        <w:t xml:space="preserve">6</w:t>
      </w:r>
      <w:r>
        <w:t xml:space="preserve">(61), 3167.</w:t>
      </w:r>
      <w:r>
        <w:t xml:space="preserve"> </w:t>
      </w:r>
      <w:hyperlink r:id="rId115">
        <w:r>
          <w:rPr>
            <w:rStyle w:val="Hyperlink"/>
          </w:rPr>
          <w:t xml:space="preserve">https://doi.org/10.21105/joss.03167</w:t>
        </w:r>
      </w:hyperlink>
    </w:p>
    <w:bookmarkEnd w:id="116"/>
    <w:bookmarkStart w:id="117" w:name="ref-positteam2023"/>
    <w:p>
      <w:pPr>
        <w:pStyle w:val="Bibliography"/>
      </w:pPr>
      <w:r>
        <w:t xml:space="preserve">Posit Team. (2023).</w:t>
      </w:r>
      <w:r>
        <w:t xml:space="preserve"> </w:t>
      </w:r>
      <w:r>
        <w:rPr>
          <w:iCs/>
          <w:i/>
        </w:rPr>
        <w:t xml:space="preserve">RStudio</w:t>
      </w:r>
      <w:r>
        <w:rPr>
          <w:iCs/>
          <w:i/>
        </w:rPr>
        <w:t xml:space="preserve">:</w:t>
      </w:r>
      <w:r>
        <w:rPr>
          <w:iCs/>
          <w:i/>
        </w:rPr>
        <w:t xml:space="preserve"> </w:t>
      </w:r>
      <w:r>
        <w:rPr>
          <w:iCs/>
          <w:i/>
        </w:rPr>
        <w:t xml:space="preserve">Integrated Development Environment</w:t>
      </w:r>
      <w:r>
        <w:rPr>
          <w:iCs/>
          <w:i/>
        </w:rPr>
        <w:t xml:space="preserve"> </w:t>
      </w:r>
      <w:r>
        <w:rPr>
          <w:iCs/>
          <w:i/>
        </w:rPr>
        <w:t xml:space="preserve">for</w:t>
      </w:r>
      <w:r>
        <w:rPr>
          <w:iCs/>
          <w:i/>
        </w:rPr>
        <w:t xml:space="preserve"> </w:t>
      </w:r>
      <w:r>
        <w:rPr>
          <w:iCs/>
          <w:i/>
        </w:rPr>
        <w:t xml:space="preserve">R</w:t>
      </w:r>
      <w:r>
        <w:t xml:space="preserve"> </w:t>
      </w:r>
      <w:r>
        <w:t xml:space="preserve">(Version 2023.3.0.386).</w:t>
      </w:r>
      <w:r>
        <w:t xml:space="preserve"> </w:t>
      </w:r>
      <w:r>
        <w:t xml:space="preserve">Posit Software, PBC</w:t>
      </w:r>
      <w:r>
        <w:t xml:space="preserve">.</w:t>
      </w:r>
    </w:p>
    <w:bookmarkEnd w:id="117"/>
    <w:bookmarkStart w:id="119" w:name="ref-renn2021"/>
    <w:p>
      <w:pPr>
        <w:pStyle w:val="Bibliography"/>
      </w:pPr>
      <w:r>
        <w:t xml:space="preserve">Renn, O. (2021). New challenges for risk analysis: systemic risks.</w:t>
      </w:r>
      <w:r>
        <w:t xml:space="preserve"> </w:t>
      </w:r>
      <w:r>
        <w:rPr>
          <w:iCs/>
          <w:i/>
        </w:rPr>
        <w:t xml:space="preserve">Journal of Risk Research</w:t>
      </w:r>
      <w:r>
        <w:t xml:space="preserve">,</w:t>
      </w:r>
      <w:r>
        <w:t xml:space="preserve"> </w:t>
      </w:r>
      <w:r>
        <w:rPr>
          <w:iCs/>
          <w:i/>
        </w:rPr>
        <w:t xml:space="preserve">24</w:t>
      </w:r>
      <w:r>
        <w:t xml:space="preserve">(1), 127–133.</w:t>
      </w:r>
      <w:r>
        <w:t xml:space="preserve"> </w:t>
      </w:r>
      <w:hyperlink r:id="rId118">
        <w:r>
          <w:rPr>
            <w:rStyle w:val="Hyperlink"/>
          </w:rPr>
          <w:t xml:space="preserve">https://doi.org/10.1080/13669877.2020.1779787</w:t>
        </w:r>
      </w:hyperlink>
    </w:p>
    <w:bookmarkEnd w:id="119"/>
    <w:bookmarkStart w:id="121" w:name="ref-renn2022"/>
    <w:p>
      <w:pPr>
        <w:pStyle w:val="Bibliography"/>
      </w:pPr>
      <w:r>
        <w:t xml:space="preserve">Renn, O., Laubichler, M., Lucas, K., Kröger, W., Schanze, J., Scholz, R. W., &amp; Schweizer, P.-J. (2022). Systemic Risks from Different Perspectives.</w:t>
      </w:r>
      <w:r>
        <w:t xml:space="preserve"> </w:t>
      </w:r>
      <w:r>
        <w:rPr>
          <w:iCs/>
          <w:i/>
        </w:rPr>
        <w:t xml:space="preserve">Risk Analysis</w:t>
      </w:r>
      <w:r>
        <w:t xml:space="preserve">,</w:t>
      </w:r>
      <w:r>
        <w:t xml:space="preserve"> </w:t>
      </w:r>
      <w:r>
        <w:rPr>
          <w:iCs/>
          <w:i/>
        </w:rPr>
        <w:t xml:space="preserve">42</w:t>
      </w:r>
      <w:r>
        <w:t xml:space="preserve">(9), 1902–1920.</w:t>
      </w:r>
      <w:r>
        <w:t xml:space="preserve"> </w:t>
      </w:r>
      <w:hyperlink r:id="rId120">
        <w:r>
          <w:rPr>
            <w:rStyle w:val="Hyperlink"/>
          </w:rPr>
          <w:t xml:space="preserve">https://doi.org/10.1111/risa.13657</w:t>
        </w:r>
      </w:hyperlink>
    </w:p>
    <w:bookmarkEnd w:id="121"/>
    <w:bookmarkStart w:id="123" w:name="ref-renn2019"/>
    <w:p>
      <w:pPr>
        <w:pStyle w:val="Bibliography"/>
      </w:pPr>
      <w:r>
        <w:t xml:space="preserve">Renn, O., Lucas, K., Haas, A., &amp; Jaeger, C. (2019). Things are different today: The challenge of global systemic risks.</w:t>
      </w:r>
      <w:r>
        <w:t xml:space="preserve"> </w:t>
      </w:r>
      <w:r>
        <w:rPr>
          <w:iCs/>
          <w:i/>
        </w:rPr>
        <w:t xml:space="preserve">Journal of Risk Research</w:t>
      </w:r>
      <w:r>
        <w:t xml:space="preserve">,</w:t>
      </w:r>
      <w:r>
        <w:t xml:space="preserve"> </w:t>
      </w:r>
      <w:r>
        <w:rPr>
          <w:iCs/>
          <w:i/>
        </w:rPr>
        <w:t xml:space="preserve">22</w:t>
      </w:r>
      <w:r>
        <w:t xml:space="preserve">(4), 401–415.</w:t>
      </w:r>
      <w:r>
        <w:t xml:space="preserve"> </w:t>
      </w:r>
      <w:hyperlink r:id="rId122">
        <w:r>
          <w:rPr>
            <w:rStyle w:val="Hyperlink"/>
          </w:rPr>
          <w:t xml:space="preserve">https://doi.org/10.1080/13669877.2017.1409252</w:t>
        </w:r>
      </w:hyperlink>
    </w:p>
    <w:bookmarkEnd w:id="123"/>
    <w:bookmarkStart w:id="124" w:name="ref-schütz1962"/>
    <w:p>
      <w:pPr>
        <w:pStyle w:val="Bibliography"/>
      </w:pPr>
      <w:r>
        <w:t xml:space="preserve">Schütz, A. (1962).</w:t>
      </w:r>
      <w:r>
        <w:t xml:space="preserve"> </w:t>
      </w:r>
      <w:r>
        <w:rPr>
          <w:iCs/>
          <w:i/>
        </w:rPr>
        <w:t xml:space="preserve">Collected papers i: The problem of social reality</w:t>
      </w:r>
      <w:r>
        <w:t xml:space="preserve"> </w:t>
      </w:r>
      <w:r>
        <w:t xml:space="preserve">(M. Natanson, Ed.). Martinus Nijhoff.</w:t>
      </w:r>
    </w:p>
    <w:bookmarkEnd w:id="124"/>
    <w:bookmarkStart w:id="125" w:name="ref-schütz1967"/>
    <w:p>
      <w:pPr>
        <w:pStyle w:val="Bibliography"/>
      </w:pPr>
      <w:r>
        <w:t xml:space="preserve">Schütz, A. (1967).</w:t>
      </w:r>
      <w:r>
        <w:t xml:space="preserve"> </w:t>
      </w:r>
      <w:r>
        <w:rPr>
          <w:iCs/>
          <w:i/>
        </w:rPr>
        <w:t xml:space="preserve">The phenomenology of the social world</w:t>
      </w:r>
      <w:r>
        <w:t xml:space="preserve">. Northwestern University Press.</w:t>
      </w:r>
    </w:p>
    <w:bookmarkEnd w:id="125"/>
    <w:bookmarkStart w:id="126" w:name="ref-schütz2011"/>
    <w:p>
      <w:pPr>
        <w:pStyle w:val="Bibliography"/>
      </w:pPr>
      <w:r>
        <w:t xml:space="preserve">Schütz, A. (2011).</w:t>
      </w:r>
      <w:r>
        <w:t xml:space="preserve"> </w:t>
      </w:r>
      <w:r>
        <w:rPr>
          <w:iCs/>
          <w:i/>
        </w:rPr>
        <w:t xml:space="preserve">Collected papers v: Phenomenology and the social sciences</w:t>
      </w:r>
      <w:r>
        <w:t xml:space="preserve"> </w:t>
      </w:r>
      <w:r>
        <w:t xml:space="preserve">(L. Embree, Ed.). Springer Science+Business Media.</w:t>
      </w:r>
    </w:p>
    <w:bookmarkEnd w:id="126"/>
    <w:bookmarkStart w:id="128" w:name="ref-slovic2004"/>
    <w:p>
      <w:pPr>
        <w:pStyle w:val="Bibliography"/>
      </w:pPr>
      <w:r>
        <w:t xml:space="preserve">Slovic, P., Finucane, M. L., Peters, E., &amp; MacGregor, D. G. (2004). Risk as analysis and risk as feelings: Some thoughts about affect, reason, risk, and rationality.</w:t>
      </w:r>
      <w:r>
        <w:t xml:space="preserve"> </w:t>
      </w:r>
      <w:r>
        <w:rPr>
          <w:iCs/>
          <w:i/>
        </w:rPr>
        <w:t xml:space="preserve">Risk Analysis</w:t>
      </w:r>
      <w:r>
        <w:t xml:space="preserve">,</w:t>
      </w:r>
      <w:r>
        <w:t xml:space="preserve"> </w:t>
      </w:r>
      <w:r>
        <w:rPr>
          <w:iCs/>
          <w:i/>
        </w:rPr>
        <w:t xml:space="preserve">23</w:t>
      </w:r>
      <w:r>
        <w:t xml:space="preserve">(2), 311–322. https://doi.org/</w:t>
      </w:r>
      <w:hyperlink r:id="rId127">
        <w:r>
          <w:rPr>
            <w:rStyle w:val="Hyperlink"/>
          </w:rPr>
          <w:t xml:space="preserve">https://doi.org/10.1111/j.0272-4332.2004.00433.x</w:t>
        </w:r>
      </w:hyperlink>
    </w:p>
    <w:bookmarkEnd w:id="128"/>
    <w:bookmarkStart w:id="130" w:name="ref-tierney2023"/>
    <w:p>
      <w:pPr>
        <w:pStyle w:val="Bibliography"/>
      </w:pPr>
      <w:r>
        <w:t xml:space="preserve">Tierney, N., &amp; Cook, D. (2023). Expanding</w:t>
      </w:r>
      <w:r>
        <w:t xml:space="preserve"> </w:t>
      </w:r>
      <w:r>
        <w:t xml:space="preserve">Tidy Data Principles</w:t>
      </w:r>
      <w:r>
        <w:t xml:space="preserve"> </w:t>
      </w:r>
      <w:r>
        <w:t xml:space="preserve">to</w:t>
      </w:r>
      <w:r>
        <w:t xml:space="preserve"> </w:t>
      </w:r>
      <w:r>
        <w:t xml:space="preserve">Facilitate Missing Data Exploration</w:t>
      </w:r>
      <w:r>
        <w:t xml:space="preserve">,</w:t>
      </w:r>
      <w:r>
        <w:t xml:space="preserve"> </w:t>
      </w:r>
      <w:r>
        <w:t xml:space="preserve">Visualization</w:t>
      </w:r>
      <w:r>
        <w:t xml:space="preserve"> </w:t>
      </w:r>
      <w:r>
        <w:t xml:space="preserve">and</w:t>
      </w:r>
      <w:r>
        <w:t xml:space="preserve"> </w:t>
      </w:r>
      <w:r>
        <w:t xml:space="preserve">Assessment</w:t>
      </w:r>
      <w:r>
        <w:t xml:space="preserve"> </w:t>
      </w:r>
      <w:r>
        <w:t xml:space="preserve">of</w:t>
      </w:r>
      <w:r>
        <w:t xml:space="preserve"> </w:t>
      </w:r>
      <w:r>
        <w:t xml:space="preserve">Imputations</w:t>
      </w:r>
      <w:r>
        <w:t xml:space="preserve">.</w:t>
      </w:r>
      <w:r>
        <w:t xml:space="preserve"> </w:t>
      </w:r>
      <w:r>
        <w:rPr>
          <w:iCs/>
          <w:i/>
        </w:rPr>
        <w:t xml:space="preserve">Journal of Statistical Software</w:t>
      </w:r>
      <w:r>
        <w:t xml:space="preserve">,</w:t>
      </w:r>
      <w:r>
        <w:t xml:space="preserve"> </w:t>
      </w:r>
      <w:r>
        <w:rPr>
          <w:iCs/>
          <w:i/>
        </w:rPr>
        <w:t xml:space="preserve">105</w:t>
      </w:r>
      <w:r>
        <w:t xml:space="preserve">(7).</w:t>
      </w:r>
      <w:r>
        <w:t xml:space="preserve"> </w:t>
      </w:r>
      <w:hyperlink r:id="rId129">
        <w:r>
          <w:rPr>
            <w:rStyle w:val="Hyperlink"/>
          </w:rPr>
          <w:t xml:space="preserve">https://doi.org/10.18637/jss.v105.i07</w:t>
        </w:r>
      </w:hyperlink>
    </w:p>
    <w:bookmarkEnd w:id="130"/>
    <w:bookmarkStart w:id="132" w:name="ref-vanborkulo2022"/>
    <w:p>
      <w:pPr>
        <w:pStyle w:val="Bibliography"/>
      </w:pPr>
      <w:r>
        <w:t xml:space="preserve">Van Borkulo, C. D., Van Bork, R., Boschloo, L., Kossakowski, J. J., Tio, P., Schoevers, R. A., Borsboom, D., &amp; Waldorp, L. J. (2022). Comparing network structures on three aspects: A permutation test.</w:t>
      </w:r>
      <w:r>
        <w:t xml:space="preserve"> </w:t>
      </w:r>
      <w:r>
        <w:rPr>
          <w:iCs/>
          <w:i/>
        </w:rPr>
        <w:t xml:space="preserve">Psychological Methods</w:t>
      </w:r>
      <w:r>
        <w:t xml:space="preserve">.</w:t>
      </w:r>
      <w:r>
        <w:t xml:space="preserve"> </w:t>
      </w:r>
      <w:hyperlink r:id="rId131">
        <w:r>
          <w:rPr>
            <w:rStyle w:val="Hyperlink"/>
          </w:rPr>
          <w:t xml:space="preserve">https://doi.org/10.1037/met0000476</w:t>
        </w:r>
      </w:hyperlink>
    </w:p>
    <w:bookmarkEnd w:id="132"/>
    <w:bookmarkStart w:id="134" w:name="ref-wickham2016"/>
    <w:p>
      <w:pPr>
        <w:pStyle w:val="Bibliography"/>
      </w:pPr>
      <w:r>
        <w:t xml:space="preserve">Wickham, H. (2016).</w:t>
      </w:r>
      <w:r>
        <w:t xml:space="preserve"> </w:t>
      </w:r>
      <w:r>
        <w:rPr>
          <w:iCs/>
          <w:i/>
        </w:rPr>
        <w:t xml:space="preserve">Ggplot2:</w:t>
      </w:r>
      <w:r>
        <w:rPr>
          <w:iCs/>
          <w:i/>
        </w:rPr>
        <w:t xml:space="preserve"> </w:t>
      </w:r>
      <w:r>
        <w:rPr>
          <w:iCs/>
          <w:i/>
        </w:rPr>
        <w:t xml:space="preserve">Elegant</w:t>
      </w:r>
      <w:r>
        <w:rPr>
          <w:iCs/>
          <w:i/>
        </w:rPr>
        <w:t xml:space="preserve"> </w:t>
      </w:r>
      <w:r>
        <w:rPr>
          <w:iCs/>
          <w:i/>
        </w:rPr>
        <w:t xml:space="preserve">graphics for data analysis</w:t>
      </w:r>
      <w:r>
        <w:t xml:space="preserve">.</w:t>
      </w:r>
      <w:r>
        <w:t xml:space="preserve"> </w:t>
      </w:r>
      <w:r>
        <w:t xml:space="preserve">Springer-Verlag New York</w:t>
      </w:r>
      <w:r>
        <w:t xml:space="preserve">.</w:t>
      </w:r>
      <w:r>
        <w:t xml:space="preserve"> </w:t>
      </w:r>
      <w:hyperlink r:id="rId133">
        <w:r>
          <w:rPr>
            <w:rStyle w:val="Hyperlink"/>
          </w:rPr>
          <w:t xml:space="preserve">https://ggplot2.tidyverse.org</w:t>
        </w:r>
      </w:hyperlink>
    </w:p>
    <w:bookmarkEnd w:id="134"/>
    <w:bookmarkStart w:id="136" w:name="ref-wickham2019"/>
    <w:p>
      <w:pPr>
        <w:pStyle w:val="Bibliography"/>
      </w:pPr>
      <w:r>
        <w:t xml:space="preserve">Wickham, H., Averick, M., Bryan, J., Chang, W., McGowan, L., François, R., Grolemund, G., Hayes, A., Henry, L., Hester, J., Kuhn, M., Pedersen, T., Miller, E., Bache, S., Müller, K., Ooms, J., Robinson, D., Seidel, D., Spinu, V.,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135">
        <w:r>
          <w:rPr>
            <w:rStyle w:val="Hyperlink"/>
          </w:rPr>
          <w:t xml:space="preserve">https://doi.org/10.21105/joss.01686</w:t>
        </w:r>
      </w:hyperlink>
    </w:p>
    <w:bookmarkEnd w:id="136"/>
    <w:bookmarkStart w:id="137" w:name="ref-xie2014"/>
    <w:p>
      <w:pPr>
        <w:pStyle w:val="Bibliography"/>
      </w:pPr>
      <w:r>
        <w:t xml:space="preserve">Xie, Y. (2014). Knitr:</w:t>
      </w:r>
      <w:r>
        <w:t xml:space="preserve"> </w:t>
      </w:r>
      <w:r>
        <w:t xml:space="preserve">A</w:t>
      </w:r>
      <w:r>
        <w:t xml:space="preserve"> </w:t>
      </w:r>
      <w:r>
        <w:t xml:space="preserve">comprehensive tool for reproducible research in</w:t>
      </w:r>
      <w:r>
        <w:t xml:space="preserve"> </w:t>
      </w:r>
      <w:r>
        <w:t xml:space="preserve">R</w:t>
      </w:r>
      <w:r>
        <w:t xml:space="preserve">. In V. Stodden, F. Leisch, &amp; R. D. Peng (Eds.),</w:t>
      </w:r>
      <w:r>
        <w:t xml:space="preserve"> </w:t>
      </w:r>
      <w:r>
        <w:rPr>
          <w:iCs/>
          <w:i/>
        </w:rPr>
        <w:t xml:space="preserve">Implementing reproducible computational research</w:t>
      </w:r>
      <w:r>
        <w:t xml:space="preserve">.</w:t>
      </w:r>
      <w:r>
        <w:t xml:space="preserve"> </w:t>
      </w:r>
      <w:r>
        <w:t xml:space="preserve">Chapman and Hall/CRC</w:t>
      </w:r>
      <w:r>
        <w:t xml:space="preserve">.</w:t>
      </w:r>
    </w:p>
    <w:bookmarkEnd w:id="137"/>
    <w:bookmarkStart w:id="139" w:name="ref-xie2015"/>
    <w:p>
      <w:pPr>
        <w:pStyle w:val="Bibliography"/>
      </w:pPr>
      <w:r>
        <w:t xml:space="preserve">Xie, Y. (2015).</w:t>
      </w:r>
      <w:r>
        <w:t xml:space="preserve"> </w:t>
      </w:r>
      <w:r>
        <w:rPr>
          <w:iCs/>
          <w:i/>
        </w:rPr>
        <w:t xml:space="preserve">Dynamic documents with</w:t>
      </w:r>
      <w:r>
        <w:rPr>
          <w:iCs/>
          <w:i/>
        </w:rPr>
        <w:t xml:space="preserve"> </w:t>
      </w:r>
      <w:r>
        <w:rPr>
          <w:iCs/>
          <w:i/>
        </w:rPr>
        <w:t xml:space="preserve">R</w:t>
      </w:r>
      <w:r>
        <w:rPr>
          <w:iCs/>
          <w:i/>
        </w:rPr>
        <w:t xml:space="preserve"> </w:t>
      </w:r>
      <w:r>
        <w:rPr>
          <w:iCs/>
          <w:i/>
        </w:rPr>
        <w:t xml:space="preserve">and knitr</w:t>
      </w:r>
      <w:r>
        <w:t xml:space="preserve"> </w:t>
      </w:r>
      <w:r>
        <w:t xml:space="preserve">(2nd ed.).</w:t>
      </w:r>
      <w:r>
        <w:t xml:space="preserve"> </w:t>
      </w:r>
      <w:r>
        <w:t xml:space="preserve">Chapman and Hall/CRC</w:t>
      </w:r>
      <w:r>
        <w:t xml:space="preserve">.</w:t>
      </w:r>
      <w:r>
        <w:t xml:space="preserve"> </w:t>
      </w:r>
      <w:hyperlink r:id="rId138">
        <w:r>
          <w:rPr>
            <w:rStyle w:val="Hyperlink"/>
          </w:rPr>
          <w:t xml:space="preserve">https://yihui.org/knitr/</w:t>
        </w:r>
      </w:hyperlink>
    </w:p>
    <w:bookmarkEnd w:id="139"/>
    <w:bookmarkStart w:id="140" w:name="ref-xie2023"/>
    <w:p>
      <w:pPr>
        <w:pStyle w:val="Bibliography"/>
      </w:pPr>
      <w:r>
        <w:t xml:space="preserve">Xie, Y. (2023).</w:t>
      </w:r>
      <w:r>
        <w:t xml:space="preserve"> </w:t>
      </w:r>
      <w:r>
        <w:rPr>
          <w:iCs/>
          <w:i/>
        </w:rPr>
        <w:t xml:space="preserve">Knitr:</w:t>
      </w:r>
      <w:r>
        <w:rPr>
          <w:iCs/>
          <w:i/>
        </w:rPr>
        <w:t xml:space="preserve"> </w:t>
      </w:r>
      <w:r>
        <w:rPr>
          <w:iCs/>
          <w:i/>
        </w:rPr>
        <w:t xml:space="preserve">A</w:t>
      </w:r>
      <w:r>
        <w:rPr>
          <w:iCs/>
          <w:i/>
        </w:rPr>
        <w:t xml:space="preserve"> </w:t>
      </w:r>
      <w:r>
        <w:rPr>
          <w:iCs/>
          <w:i/>
        </w:rPr>
        <w:t xml:space="preserve">general-purpose package for dynamic report generation in</w:t>
      </w:r>
      <w:r>
        <w:rPr>
          <w:iCs/>
          <w:i/>
        </w:rPr>
        <w:t xml:space="preserve"> </w:t>
      </w:r>
      <w:r>
        <w:rPr>
          <w:iCs/>
          <w:i/>
        </w:rPr>
        <w:t xml:space="preserve">R</w:t>
      </w:r>
      <w:r>
        <w:t xml:space="preserve"> </w:t>
      </w:r>
      <w:r>
        <w:t xml:space="preserve">[Manual].</w:t>
      </w:r>
      <w:r>
        <w:t xml:space="preserve"> </w:t>
      </w:r>
      <w:hyperlink r:id="rId138">
        <w:r>
          <w:rPr>
            <w:rStyle w:val="Hyperlink"/>
          </w:rPr>
          <w:t xml:space="preserve">https://yihui.org/knitr/</w:t>
        </w:r>
      </w:hyperlink>
    </w:p>
    <w:bookmarkEnd w:id="140"/>
    <w:bookmarkStart w:id="142" w:name="ref-zhai2008"/>
    <w:p>
      <w:pPr>
        <w:pStyle w:val="Bibliography"/>
      </w:pPr>
      <w:r>
        <w:t xml:space="preserve">Zhai, G., &amp; Ikeda, S. (2008). Empirical analysis of Japanese flood risk acceptability within multi-risk context.</w:t>
      </w:r>
      <w:r>
        <w:t xml:space="preserve"> </w:t>
      </w:r>
      <w:r>
        <w:rPr>
          <w:iCs/>
          <w:i/>
        </w:rPr>
        <w:t xml:space="preserve">Natural Hazards and Earth System Sciences</w:t>
      </w:r>
      <w:r>
        <w:t xml:space="preserve">,</w:t>
      </w:r>
      <w:r>
        <w:t xml:space="preserve"> </w:t>
      </w:r>
      <w:r>
        <w:rPr>
          <w:iCs/>
          <w:i/>
        </w:rPr>
        <w:t xml:space="preserve">8</w:t>
      </w:r>
      <w:r>
        <w:t xml:space="preserve">(5), 1049–1066.</w:t>
      </w:r>
      <w:r>
        <w:t xml:space="preserve"> </w:t>
      </w:r>
      <w:hyperlink r:id="rId141">
        <w:r>
          <w:rPr>
            <w:rStyle w:val="Hyperlink"/>
          </w:rPr>
          <w:t xml:space="preserve">https://doi.org/10.5194/nhess-8-1049-2008</w:t>
        </w:r>
      </w:hyperlink>
    </w:p>
    <w:bookmarkEnd w:id="142"/>
    <w:bookmarkStart w:id="143" w:name="ref-zhou2020"/>
    <w:p>
      <w:pPr>
        <w:pStyle w:val="Bibliography"/>
      </w:pPr>
      <w:r>
        <w:t xml:space="preserve">Zhou, S. (2020).</w:t>
      </w:r>
      <w:r>
        <w:t xml:space="preserve"> </w:t>
      </w:r>
      <w:r>
        <w:rPr>
          <w:iCs/>
          <w:i/>
        </w:rPr>
        <w:t xml:space="preserve">Intergroup Contact Theory in a Nutshell: A Meta-Meta- Analytic Examination of Intergroup Contact Theory and the Contact Space</w:t>
      </w:r>
      <w:r>
        <w:t xml:space="preserve"> </w:t>
      </w:r>
      <w:r>
        <w:t xml:space="preserve">[PhD thesis].</w:t>
      </w:r>
    </w:p>
    <w:bookmarkEnd w:id="143"/>
    <w:bookmarkEnd w:id="144"/>
    <w:bookmarkEnd w:id="145"/>
    <w:sectPr w:rsidR="004736B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This distinction already suggests that the underlying function is a linear spectrum from low to high intensity. This thought needs to be further developed.</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F50A2F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927C2588"/>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21783BD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3C84E17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4F1A2F6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7A7EB63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4A7C053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7163CFE"/>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9263C9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BF8A7D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FC6658B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4209247" w:numId="1">
    <w:abstractNumId w:val="10"/>
  </w:num>
  <w:num w16cid:durableId="606429036" w:numId="2">
    <w:abstractNumId w:val="9"/>
  </w:num>
  <w:num w16cid:durableId="1718697937" w:numId="3">
    <w:abstractNumId w:val="7"/>
  </w:num>
  <w:num w16cid:durableId="1746957253" w:numId="4">
    <w:abstractNumId w:val="6"/>
  </w:num>
  <w:num w16cid:durableId="95561332" w:numId="5">
    <w:abstractNumId w:val="5"/>
  </w:num>
  <w:num w16cid:durableId="2096046219" w:numId="6">
    <w:abstractNumId w:val="4"/>
  </w:num>
  <w:num w16cid:durableId="1125735875" w:numId="7">
    <w:abstractNumId w:val="8"/>
  </w:num>
  <w:num w16cid:durableId="1111362887" w:numId="8">
    <w:abstractNumId w:val="3"/>
  </w:num>
  <w:num w16cid:durableId="604004051" w:numId="9">
    <w:abstractNumId w:val="2"/>
  </w:num>
  <w:num w16cid:durableId="2089229232" w:numId="10">
    <w:abstractNumId w:val="1"/>
  </w:num>
  <w:num w16cid:durableId="1270965268"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CB3810"/>
    <w:pPr>
      <w:keepNext/>
      <w:keepLines/>
      <w:pageBreakBefore/>
      <w:spacing w:after="0" w:line="480" w:lineRule="auto"/>
      <w:outlineLvl w:val="0"/>
    </w:pPr>
    <w:rPr>
      <w:rFonts w:ascii="Times New Roman" w:cstheme="majorBidi" w:eastAsiaTheme="majorEastAsia" w:hAnsi="Times New Roman"/>
      <w:b/>
      <w:bCs/>
      <w:sz w:val="32"/>
      <w:szCs w:val="32"/>
    </w:rPr>
  </w:style>
  <w:style w:styleId="Heading2" w:type="paragraph">
    <w:name w:val="heading 2"/>
    <w:basedOn w:val="Normal"/>
    <w:next w:val="BodyText"/>
    <w:uiPriority w:val="9"/>
    <w:unhideWhenUsed/>
    <w:qFormat/>
    <w:rsid w:val="00340178"/>
    <w:pPr>
      <w:keepNext/>
      <w:keepLines/>
      <w:spacing w:after="0" w:line="480" w:lineRule="auto"/>
      <w:outlineLvl w:val="1"/>
    </w:pPr>
    <w:rPr>
      <w:rFonts w:ascii="Times New Roman" w:cstheme="majorBidi" w:eastAsiaTheme="majorEastAsia" w:hAnsi="Times New Roman"/>
      <w:b/>
      <w:bCs/>
      <w:sz w:val="28"/>
      <w:szCs w:val="28"/>
    </w:rPr>
  </w:style>
  <w:style w:styleId="Heading3" w:type="paragraph">
    <w:name w:val="heading 3"/>
    <w:basedOn w:val="Normal"/>
    <w:next w:val="BodyText"/>
    <w:uiPriority w:val="9"/>
    <w:unhideWhenUsed/>
    <w:qFormat/>
    <w:rsid w:val="00340178"/>
    <w:pPr>
      <w:keepNext/>
      <w:keepLines/>
      <w:spacing w:after="0" w:line="480" w:lineRule="auto"/>
      <w:outlineLvl w:val="2"/>
    </w:pPr>
    <w:rPr>
      <w:rFonts w:ascii="Times New Roman" w:cstheme="majorBidi" w:eastAsiaTheme="majorEastAsia" w:hAnsi="Times New Roman"/>
      <w:b/>
      <w:bCs/>
    </w:rPr>
  </w:style>
  <w:style w:styleId="Heading4" w:type="paragraph">
    <w:name w:val="heading 4"/>
    <w:basedOn w:val="Normal"/>
    <w:next w:val="BodyText"/>
    <w:uiPriority w:val="9"/>
    <w:unhideWhenUsed/>
    <w:qFormat/>
    <w:rsid w:val="00340178"/>
    <w:pPr>
      <w:keepNext/>
      <w:keepLines/>
      <w:spacing w:after="0" w:line="480" w:lineRule="auto"/>
      <w:outlineLvl w:val="3"/>
    </w:pPr>
    <w:rPr>
      <w:rFonts w:ascii="Times New Roman" w:cstheme="majorBidi" w:eastAsiaTheme="majorEastAsia" w:hAnsi="Times New Roman"/>
      <w:bCs/>
      <w:i/>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340178"/>
    <w:pPr>
      <w:spacing w:after="0" w:line="480" w:lineRule="auto"/>
    </w:pPr>
    <w:rPr>
      <w:rFonts w:ascii="Times New Roman" w:hAnsi="Times New Roman"/>
    </w:rPr>
  </w:style>
  <w:style w:customStyle="1" w:styleId="FirstParagraph" w:type="paragraph">
    <w:name w:val="First Paragraph"/>
    <w:basedOn w:val="BodyText"/>
    <w:next w:val="BodyText"/>
    <w:qFormat/>
    <w:rsid w:val="00340178"/>
  </w:style>
  <w:style w:customStyle="1" w:styleId="Compact" w:type="paragraph">
    <w:name w:val="Compact"/>
    <w:basedOn w:val="BodyText"/>
    <w:qFormat/>
    <w:rsid w:val="00B65104"/>
    <w:pPr>
      <w:spacing w:line="240" w:lineRule="auto"/>
    </w:pPr>
  </w:style>
  <w:style w:styleId="Title" w:type="paragraph">
    <w:name w:val="Title"/>
    <w:basedOn w:val="Normal"/>
    <w:next w:val="BodyText"/>
    <w:qFormat/>
    <w:rsid w:val="00340178"/>
    <w:pPr>
      <w:keepNext/>
      <w:keepLines/>
      <w:spacing w:after="0" w:line="480" w:lineRule="auto"/>
      <w:jc w:val="center"/>
    </w:pPr>
    <w:rPr>
      <w:rFonts w:ascii="Times New Roman" w:cstheme="majorBidi" w:eastAsiaTheme="majorEastAsia" w:hAnsi="Times New Roman"/>
      <w:b/>
      <w:bCs/>
      <w:sz w:val="36"/>
      <w:szCs w:val="36"/>
    </w:rPr>
  </w:style>
  <w:style w:styleId="Subtitle" w:type="paragraph">
    <w:name w:val="Subtitle"/>
    <w:basedOn w:val="Title"/>
    <w:next w:val="BodyText"/>
    <w:qFormat/>
    <w:rsid w:val="00340178"/>
    <w:rPr>
      <w:sz w:val="30"/>
      <w:szCs w:val="30"/>
    </w:rPr>
  </w:style>
  <w:style w:customStyle="1" w:styleId="Author" w:type="paragraph">
    <w:name w:val="Author"/>
    <w:next w:val="BodyText"/>
    <w:qFormat/>
    <w:rsid w:val="00340178"/>
    <w:pPr>
      <w:keepNext/>
      <w:keepLines/>
      <w:spacing w:after="0" w:line="480" w:lineRule="auto"/>
      <w:jc w:val="center"/>
    </w:pPr>
    <w:rPr>
      <w:rFonts w:ascii="Times New Roman" w:hAnsi="Times New Roman"/>
    </w:rPr>
  </w:style>
  <w:style w:styleId="Date" w:type="paragraph">
    <w:name w:val="Date"/>
    <w:next w:val="BodyText"/>
    <w:qFormat/>
    <w:rsid w:val="00340178"/>
    <w:pPr>
      <w:keepNext/>
      <w:keepLines/>
      <w:spacing w:after="0" w:line="480" w:lineRule="auto"/>
      <w:jc w:val="center"/>
    </w:pPr>
    <w:rPr>
      <w:rFonts w:ascii="Times New Roman" w:hAnsi="Times New Roman"/>
    </w:rPr>
  </w:style>
  <w:style w:customStyle="1" w:styleId="Abstract" w:type="paragraph">
    <w:name w:val="Abstract"/>
    <w:basedOn w:val="Normal"/>
    <w:next w:val="BodyText"/>
    <w:qFormat/>
    <w:rsid w:val="00340178"/>
    <w:pPr>
      <w:keepNext/>
      <w:keepLines/>
      <w:spacing w:after="0" w:line="480" w:lineRule="auto"/>
    </w:pPr>
    <w:rPr>
      <w:rFonts w:ascii="Times New Roman" w:hAnsi="Times New Roman"/>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340178"/>
    <w:pPr>
      <w:spacing w:after="120" w:line="240" w:lineRule="auto"/>
      <w:ind w:left="482" w:right="482"/>
    </w:pPr>
  </w:style>
  <w:style w:styleId="FootnoteText" w:type="paragraph">
    <w:name w:val="footnote text"/>
    <w:basedOn w:val="Normal"/>
    <w:uiPriority w:val="9"/>
    <w:unhideWhenUsed/>
    <w:qFormat/>
    <w:rsid w:val="00340178"/>
    <w:pPr>
      <w:spacing w:after="0"/>
    </w:pPr>
    <w:rPr>
      <w:rFonts w:ascii="Times New Roman" w:hAnsi="Times New Roman"/>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340178"/>
    <w:pPr>
      <w:keepNext/>
      <w:keepLines/>
      <w:spacing w:after="0"/>
    </w:pPr>
    <w:rPr>
      <w:rFonts w:ascii="Times New Roman" w:hAnsi="Times New Roman"/>
      <w:b/>
    </w:rPr>
  </w:style>
  <w:style w:customStyle="1" w:styleId="Definition" w:type="paragraph">
    <w:name w:val="Definition"/>
    <w:basedOn w:val="Normal"/>
    <w:rsid w:val="00340178"/>
    <w:pPr>
      <w:spacing w:after="120"/>
    </w:pPr>
    <w:rPr>
      <w:rFonts w:ascii="Times New Roman" w:hAnsi="Times New Roman"/>
    </w:rPr>
  </w:style>
  <w:style w:styleId="Caption" w:type="paragraph">
    <w:name w:val="caption"/>
    <w:basedOn w:val="Normal"/>
    <w:link w:val="CaptionChar"/>
    <w:pPr>
      <w:spacing w:after="120"/>
    </w:pPr>
    <w:rPr>
      <w:i/>
    </w:rPr>
  </w:style>
  <w:style w:customStyle="1" w:styleId="TableCaption" w:type="paragraph">
    <w:name w:val="Table Caption"/>
    <w:basedOn w:val="Caption"/>
    <w:rsid w:val="00340178"/>
    <w:pPr>
      <w:keepNext/>
      <w:spacing w:after="0" w:line="480" w:lineRule="auto"/>
    </w:pPr>
    <w:rPr>
      <w:rFonts w:ascii="Times New Roman" w:hAnsi="Times New Roman"/>
    </w:rPr>
  </w:style>
  <w:style w:customStyle="1" w:styleId="ImageCaption" w:type="paragraph">
    <w:name w:val="Image Caption"/>
    <w:basedOn w:val="Caption"/>
    <w:rsid w:val="00340178"/>
    <w:pPr>
      <w:spacing w:after="0" w:line="480" w:lineRule="auto"/>
    </w:pPr>
    <w:rPr>
      <w:rFonts w:ascii="Times New Roman" w:hAnsi="Times New Roman"/>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340178"/>
    <w:rPr>
      <w:rFonts w:ascii="Consolas" w:hAnsi="Consolas"/>
      <w:color w:val="auto"/>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340178"/>
    <w:rPr>
      <w:rFonts w:ascii="Times New Roman" w:hAnsi="Times New Roman"/>
      <w:color w:val="0070C0"/>
      <w:sz w:val="24"/>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340178"/>
    <w:rPr>
      <w:rFonts w:ascii="Times New Roman" w:hAnsi="Times New Roman"/>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9" Target="https://doi.org/10.1016/j.compenvurbsys.2018.03.009" TargetMode="External" /><Relationship Type="http://schemas.openxmlformats.org/officeDocument/2006/relationships/hyperlink" Id="rId107" Target="https://doi.org/10.1016/j.ecolecon.2017.01.022" TargetMode="External" /><Relationship Type="http://schemas.openxmlformats.org/officeDocument/2006/relationships/hyperlink" Id="rId131" Target="https://doi.org/10.1037/met0000476" TargetMode="External" /><Relationship Type="http://schemas.openxmlformats.org/officeDocument/2006/relationships/hyperlink" Id="rId122" Target="https://doi.org/10.1080/13669877.2017.1409252" TargetMode="External" /><Relationship Type="http://schemas.openxmlformats.org/officeDocument/2006/relationships/hyperlink" Id="rId118" Target="https://doi.org/10.1080/13669877.2020.1779787" TargetMode="External" /><Relationship Type="http://schemas.openxmlformats.org/officeDocument/2006/relationships/hyperlink" Id="rId127" Target="https://doi.org/10.1111/j.0272-4332.2004.00433.x" TargetMode="External" /><Relationship Type="http://schemas.openxmlformats.org/officeDocument/2006/relationships/hyperlink" Id="rId104" Target="https://doi.org/10.1111/j.1539-6924.2012.01844.x" TargetMode="External" /><Relationship Type="http://schemas.openxmlformats.org/officeDocument/2006/relationships/hyperlink" Id="rId97" Target="https://doi.org/10.1111/risa.13608" TargetMode="External" /><Relationship Type="http://schemas.openxmlformats.org/officeDocument/2006/relationships/hyperlink" Id="rId120" Target="https://doi.org/10.1111/risa.13657" TargetMode="External" /><Relationship Type="http://schemas.openxmlformats.org/officeDocument/2006/relationships/hyperlink" Id="rId83" Target="https://doi.org/10.1111/risa.13848" TargetMode="External" /><Relationship Type="http://schemas.openxmlformats.org/officeDocument/2006/relationships/hyperlink" Id="rId113" Target="https://doi.org/10.1137/S003614450342480" TargetMode="External" /><Relationship Type="http://schemas.openxmlformats.org/officeDocument/2006/relationships/hyperlink" Id="rId95" Target="https://doi.org/10.1257/app.6.3.206" TargetMode="External" /><Relationship Type="http://schemas.openxmlformats.org/officeDocument/2006/relationships/hyperlink" Id="rId100" Target="https://doi.org/10.1371/journal.pone.0002051" TargetMode="External" /><Relationship Type="http://schemas.openxmlformats.org/officeDocument/2006/relationships/hyperlink" Id="rId111" Target="https://doi.org/10.18637/jss.v102.i10" TargetMode="External" /><Relationship Type="http://schemas.openxmlformats.org/officeDocument/2006/relationships/hyperlink" Id="rId129" Target="https://doi.org/10.18637/jss.v105.i07" TargetMode="External" /><Relationship Type="http://schemas.openxmlformats.org/officeDocument/2006/relationships/hyperlink" Id="rId135" Target="https://doi.org/10.21105/joss.01686" TargetMode="External" /><Relationship Type="http://schemas.openxmlformats.org/officeDocument/2006/relationships/hyperlink" Id="rId115" Target="https://doi.org/10.21105/joss.03167" TargetMode="External" /><Relationship Type="http://schemas.openxmlformats.org/officeDocument/2006/relationships/hyperlink" Id="rId81" Target="https://doi.org/10.3368/le.89.4.577" TargetMode="External" /><Relationship Type="http://schemas.openxmlformats.org/officeDocument/2006/relationships/hyperlink" Id="rId102" Target="https://doi.org/10.3389/fpsyg.2018.01742" TargetMode="External" /><Relationship Type="http://schemas.openxmlformats.org/officeDocument/2006/relationships/hyperlink" Id="rId88" Target="https://doi.org/10.3758/s13428-017-0862-1" TargetMode="External" /><Relationship Type="http://schemas.openxmlformats.org/officeDocument/2006/relationships/hyperlink" Id="rId93" Target="https://doi.org/10.4324/9781003111238" TargetMode="External" /><Relationship Type="http://schemas.openxmlformats.org/officeDocument/2006/relationships/hyperlink" Id="rId141" Target="https://doi.org/10.5194/nhess-8-1049-2008" TargetMode="External" /><Relationship Type="http://schemas.openxmlformats.org/officeDocument/2006/relationships/hyperlink" Id="rId133" Target="https://ggplot2.tidyverse.org" TargetMode="External" /><Relationship Type="http://schemas.openxmlformats.org/officeDocument/2006/relationships/hyperlink" Id="rId86" Target="https://ideas.repec.org//a/eee/jeeman/v65y2013i3p361-376.html" TargetMode="External" /><Relationship Type="http://schemas.openxmlformats.org/officeDocument/2006/relationships/hyperlink" Id="rId91" Target="https://papers.nips.cc/paper_files/paper/2010/hash/072b030ba126b2f4b2374f342be9ed44-Abstract.html" TargetMode="External" /><Relationship Type="http://schemas.openxmlformats.org/officeDocument/2006/relationships/hyperlink" Id="rId138" Target="https://yihui.org/knitr/" TargetMode="External" /></Relationships>
</file>

<file path=word/_rels/footnotes.xml.rels><?xml version="1.0" encoding="UTF-8"?><Relationships xmlns="http://schemas.openxmlformats.org/package/2006/relationships"><Relationship Type="http://schemas.openxmlformats.org/officeDocument/2006/relationships/hyperlink" Id="rId109" Target="https://doi.org/10.1016/j.compenvurbsys.2018.03.009" TargetMode="External" /><Relationship Type="http://schemas.openxmlformats.org/officeDocument/2006/relationships/hyperlink" Id="rId107" Target="https://doi.org/10.1016/j.ecolecon.2017.01.022" TargetMode="External" /><Relationship Type="http://schemas.openxmlformats.org/officeDocument/2006/relationships/hyperlink" Id="rId131" Target="https://doi.org/10.1037/met0000476" TargetMode="External" /><Relationship Type="http://schemas.openxmlformats.org/officeDocument/2006/relationships/hyperlink" Id="rId122" Target="https://doi.org/10.1080/13669877.2017.1409252" TargetMode="External" /><Relationship Type="http://schemas.openxmlformats.org/officeDocument/2006/relationships/hyperlink" Id="rId118" Target="https://doi.org/10.1080/13669877.2020.1779787" TargetMode="External" /><Relationship Type="http://schemas.openxmlformats.org/officeDocument/2006/relationships/hyperlink" Id="rId127" Target="https://doi.org/10.1111/j.0272-4332.2004.00433.x" TargetMode="External" /><Relationship Type="http://schemas.openxmlformats.org/officeDocument/2006/relationships/hyperlink" Id="rId104" Target="https://doi.org/10.1111/j.1539-6924.2012.01844.x" TargetMode="External" /><Relationship Type="http://schemas.openxmlformats.org/officeDocument/2006/relationships/hyperlink" Id="rId97" Target="https://doi.org/10.1111/risa.13608" TargetMode="External" /><Relationship Type="http://schemas.openxmlformats.org/officeDocument/2006/relationships/hyperlink" Id="rId120" Target="https://doi.org/10.1111/risa.13657" TargetMode="External" /><Relationship Type="http://schemas.openxmlformats.org/officeDocument/2006/relationships/hyperlink" Id="rId83" Target="https://doi.org/10.1111/risa.13848" TargetMode="External" /><Relationship Type="http://schemas.openxmlformats.org/officeDocument/2006/relationships/hyperlink" Id="rId113" Target="https://doi.org/10.1137/S003614450342480" TargetMode="External" /><Relationship Type="http://schemas.openxmlformats.org/officeDocument/2006/relationships/hyperlink" Id="rId95" Target="https://doi.org/10.1257/app.6.3.206" TargetMode="External" /><Relationship Type="http://schemas.openxmlformats.org/officeDocument/2006/relationships/hyperlink" Id="rId100" Target="https://doi.org/10.1371/journal.pone.0002051" TargetMode="External" /><Relationship Type="http://schemas.openxmlformats.org/officeDocument/2006/relationships/hyperlink" Id="rId111" Target="https://doi.org/10.18637/jss.v102.i10" TargetMode="External" /><Relationship Type="http://schemas.openxmlformats.org/officeDocument/2006/relationships/hyperlink" Id="rId129" Target="https://doi.org/10.18637/jss.v105.i07" TargetMode="External" /><Relationship Type="http://schemas.openxmlformats.org/officeDocument/2006/relationships/hyperlink" Id="rId135" Target="https://doi.org/10.21105/joss.01686" TargetMode="External" /><Relationship Type="http://schemas.openxmlformats.org/officeDocument/2006/relationships/hyperlink" Id="rId115" Target="https://doi.org/10.21105/joss.03167" TargetMode="External" /><Relationship Type="http://schemas.openxmlformats.org/officeDocument/2006/relationships/hyperlink" Id="rId81" Target="https://doi.org/10.3368/le.89.4.577" TargetMode="External" /><Relationship Type="http://schemas.openxmlformats.org/officeDocument/2006/relationships/hyperlink" Id="rId102" Target="https://doi.org/10.3389/fpsyg.2018.01742" TargetMode="External" /><Relationship Type="http://schemas.openxmlformats.org/officeDocument/2006/relationships/hyperlink" Id="rId88" Target="https://doi.org/10.3758/s13428-017-0862-1" TargetMode="External" /><Relationship Type="http://schemas.openxmlformats.org/officeDocument/2006/relationships/hyperlink" Id="rId93" Target="https://doi.org/10.4324/9781003111238" TargetMode="External" /><Relationship Type="http://schemas.openxmlformats.org/officeDocument/2006/relationships/hyperlink" Id="rId141" Target="https://doi.org/10.5194/nhess-8-1049-2008" TargetMode="External" /><Relationship Type="http://schemas.openxmlformats.org/officeDocument/2006/relationships/hyperlink" Id="rId133" Target="https://ggplot2.tidyverse.org" TargetMode="External" /><Relationship Type="http://schemas.openxmlformats.org/officeDocument/2006/relationships/hyperlink" Id="rId86" Target="https://ideas.repec.org//a/eee/jeeman/v65y2013i3p361-376.html" TargetMode="External" /><Relationship Type="http://schemas.openxmlformats.org/officeDocument/2006/relationships/hyperlink" Id="rId91" Target="https://papers.nips.cc/paper_files/paper/2010/hash/072b030ba126b2f4b2374f342be9ed44-Abstract.html" TargetMode="External" /><Relationship Type="http://schemas.openxmlformats.org/officeDocument/2006/relationships/hyperlink" Id="rId138" Target="https://yihui.org/knit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67</Words>
  <Characters>358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Affective Risk Perception Networks</dc:title>
  <dc:creator>Jan-Erik Johanson, Alisa Puustinen &amp; Oliver Saal</dc:creator>
  <cp:keywords/>
  <dcterms:created xsi:type="dcterms:W3CDTF">2023-05-26T12:39:26Z</dcterms:created>
  <dcterms:modified xsi:type="dcterms:W3CDTF">2023-05-26T12:39:26Z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an early draft version on a research project I, senior researcher Alisa Puustinen at Pelastusopisto and professor Jan-Erik Anderson at University of Tampere have been working on. Its main point is to argue for a network conception of risk perception, i.e., that individuals’ perceptions of hazards and risks are constructed through a complex system of interactions, as opposed to direct perception and evaluation of singular risk events.We recently decided to divide the paper into two: one empirical section for a journal, and one theoretical discussion for an invited book chapter. The formatting is still very all-over-the-place, I apologize for any illegible graphics!A legible online version is temporarily available at my website:osaal.github.io/affectiveriskperceptionnetworks</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uthor">
    <vt:lpwstr/>
  </property>
  <property fmtid="{D5CDD505-2E9C-101B-9397-08002B2CF9AE}" pid="7" name="csl">
    <vt:lpwstr>_FORMATTING/apa.csl</vt:lpwstr>
  </property>
  <property fmtid="{D5CDD505-2E9C-101B-9397-08002B2CF9AE}" pid="8" name="date">
    <vt:lpwstr>May 26, 2023</vt:lpwstr>
  </property>
  <property fmtid="{D5CDD505-2E9C-101B-9397-08002B2CF9AE}" pid="9" name="date-format">
    <vt:lpwstr>long</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Draft article for ÅAU Sociology summer seminar 1-2 June 2023</vt:lpwstr>
  </property>
  <property fmtid="{D5CDD505-2E9C-101B-9397-08002B2CF9AE}" pid="15" name="toc-title">
    <vt:lpwstr>Table of contents</vt:lpwstr>
  </property>
</Properties>
</file>