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4E9" w:rsidRPr="00A97DD4" w:rsidRDefault="00C314E9" w:rsidP="00F64FA8">
      <w:pPr>
        <w:pStyle w:val="Title"/>
        <w:rPr>
          <w:rFonts w:asciiTheme="majorBidi" w:hAnsiTheme="majorBidi"/>
        </w:rPr>
      </w:pPr>
      <w:r w:rsidRPr="00A97DD4">
        <w:rPr>
          <w:rFonts w:asciiTheme="majorBidi" w:hAnsiTheme="majorBidi"/>
        </w:rPr>
        <w:t>Compte-rendu d'un arrêt de jurisprudence</w:t>
      </w:r>
    </w:p>
    <w:p w:rsidR="00C314E9" w:rsidRPr="00A97DD4" w:rsidRDefault="00F64FA8" w:rsidP="00F64FA8">
      <w:pPr>
        <w:pStyle w:val="Title"/>
        <w:rPr>
          <w:rFonts w:asciiTheme="majorBidi" w:hAnsiTheme="majorBidi"/>
        </w:rPr>
      </w:pPr>
      <w:r w:rsidRPr="00A97DD4">
        <w:rPr>
          <w:rFonts w:asciiTheme="majorBidi" w:hAnsiTheme="majorBidi"/>
        </w:rPr>
        <w:t>D</w:t>
      </w:r>
      <w:r w:rsidR="00C314E9" w:rsidRPr="00A97DD4">
        <w:rPr>
          <w:rFonts w:asciiTheme="majorBidi" w:hAnsiTheme="majorBidi"/>
        </w:rPr>
        <w:t>ans le cadre du cours:</w:t>
      </w:r>
      <w:r w:rsidRPr="00A97DD4">
        <w:rPr>
          <w:rFonts w:asciiTheme="majorBidi" w:hAnsiTheme="majorBidi"/>
        </w:rPr>
        <w:t xml:space="preserve"> </w:t>
      </w:r>
      <w:r w:rsidR="00C314E9" w:rsidRPr="00A97DD4">
        <w:rPr>
          <w:rFonts w:asciiTheme="majorBidi" w:hAnsiTheme="majorBidi"/>
        </w:rPr>
        <w:t>Le droit de l'informatique</w:t>
      </w:r>
    </w:p>
    <w:p w:rsidR="00C314E9" w:rsidRPr="00A97DD4" w:rsidRDefault="00C314E9" w:rsidP="00F64FA8">
      <w:pPr>
        <w:pStyle w:val="Title"/>
        <w:rPr>
          <w:rFonts w:asciiTheme="majorBidi" w:hAnsiTheme="majorBidi"/>
        </w:rPr>
      </w:pPr>
      <w:r w:rsidRPr="00A97DD4">
        <w:rPr>
          <w:rFonts w:asciiTheme="majorBidi" w:hAnsiTheme="majorBidi"/>
        </w:rPr>
        <w:t>JUR6854</w:t>
      </w:r>
    </w:p>
    <w:p w:rsidR="00C314E9" w:rsidRPr="00A97DD4" w:rsidRDefault="00C314E9" w:rsidP="00F64FA8">
      <w:pPr>
        <w:pStyle w:val="Heading1"/>
        <w:rPr>
          <w:rFonts w:asciiTheme="majorBidi" w:hAnsiTheme="majorBidi"/>
          <w:color w:val="auto"/>
        </w:rPr>
      </w:pPr>
      <w:r w:rsidRPr="00A97DD4">
        <w:rPr>
          <w:rFonts w:asciiTheme="majorBidi" w:hAnsiTheme="majorBidi"/>
          <w:color w:val="auto"/>
        </w:rPr>
        <w:t>PARTIE A: Le résumé</w:t>
      </w:r>
    </w:p>
    <w:p w:rsidR="00C314E9" w:rsidRPr="00A97DD4" w:rsidRDefault="00C314E9" w:rsidP="00F64FA8">
      <w:pPr>
        <w:pStyle w:val="Subtitle"/>
        <w:rPr>
          <w:rFonts w:asciiTheme="majorBidi" w:hAnsiTheme="majorBidi"/>
          <w:color w:val="auto"/>
        </w:rPr>
      </w:pPr>
      <w:r w:rsidRPr="00A97DD4">
        <w:rPr>
          <w:rFonts w:asciiTheme="majorBidi" w:hAnsiTheme="majorBidi"/>
          <w:color w:val="auto"/>
        </w:rPr>
        <w:t>1. Le nom des parties: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Matthew David Sp</w:t>
      </w:r>
      <w:r w:rsidR="000B218C">
        <w:rPr>
          <w:rFonts w:asciiTheme="majorBidi" w:hAnsiTheme="majorBidi" w:cstheme="majorBidi"/>
          <w:sz w:val="24"/>
          <w:szCs w:val="24"/>
        </w:rPr>
        <w:t>encer (</w:t>
      </w:r>
      <w:r w:rsidR="000B218C" w:rsidRPr="000B218C">
        <w:rPr>
          <w:rFonts w:asciiTheme="majorBidi" w:hAnsiTheme="majorBidi" w:cstheme="majorBidi"/>
          <w:b/>
          <w:bCs/>
          <w:sz w:val="24"/>
          <w:szCs w:val="24"/>
        </w:rPr>
        <w:t>Appelant</w:t>
      </w:r>
      <w:r w:rsidR="000B218C">
        <w:rPr>
          <w:rFonts w:asciiTheme="majorBidi" w:hAnsiTheme="majorBidi" w:cstheme="majorBidi"/>
          <w:sz w:val="24"/>
          <w:szCs w:val="24"/>
        </w:rPr>
        <w:t xml:space="preserve">) et Sa Majesté </w:t>
      </w:r>
      <w:r w:rsidRPr="00A97DD4">
        <w:rPr>
          <w:rFonts w:asciiTheme="majorBidi" w:hAnsiTheme="majorBidi" w:cstheme="majorBidi"/>
          <w:sz w:val="24"/>
          <w:szCs w:val="24"/>
        </w:rPr>
        <w:t>la Reine (</w:t>
      </w:r>
      <w:r w:rsidRPr="000B218C">
        <w:rPr>
          <w:rFonts w:asciiTheme="majorBidi" w:hAnsiTheme="majorBidi" w:cstheme="majorBidi"/>
          <w:b/>
          <w:bCs/>
          <w:sz w:val="24"/>
          <w:szCs w:val="24"/>
        </w:rPr>
        <w:t>Intimée</w:t>
      </w:r>
      <w:r w:rsidRPr="00A97DD4">
        <w:rPr>
          <w:rFonts w:asciiTheme="majorBidi" w:hAnsiTheme="majorBidi" w:cstheme="majorBidi"/>
          <w:sz w:val="24"/>
          <w:szCs w:val="24"/>
        </w:rPr>
        <w:t>) et</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Directeur des poursuites pénales,</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l’Ontario,</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l’Alberta,</w:t>
      </w:r>
    </w:p>
    <w:p w:rsidR="00C314E9" w:rsidRPr="00A97DD4" w:rsidRDefault="00C314E9" w:rsidP="000B218C">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 xml:space="preserve">commissaire à la protection de </w:t>
      </w:r>
      <w:r w:rsidR="000B218C">
        <w:rPr>
          <w:rFonts w:asciiTheme="majorBidi" w:hAnsiTheme="majorBidi" w:cstheme="majorBidi"/>
          <w:color w:val="000000"/>
          <w:sz w:val="24"/>
          <w:szCs w:val="24"/>
        </w:rPr>
        <w:t>la vie privée du</w:t>
      </w:r>
      <w:r w:rsidRPr="00A97DD4">
        <w:rPr>
          <w:rFonts w:asciiTheme="majorBidi" w:hAnsiTheme="majorBidi" w:cstheme="majorBidi"/>
          <w:color w:val="000000"/>
          <w:sz w:val="24"/>
          <w:szCs w:val="24"/>
        </w:rPr>
        <w:t xml:space="preserve"> Canada,</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Association canadienne des libertés civiles et</w:t>
      </w:r>
    </w:p>
    <w:p w:rsidR="00C314E9" w:rsidRPr="005A6046" w:rsidRDefault="00C314E9" w:rsidP="00F64FA8">
      <w:pPr>
        <w:autoSpaceDE w:val="0"/>
        <w:autoSpaceDN w:val="0"/>
        <w:adjustRightInd w:val="0"/>
        <w:spacing w:after="0" w:line="360" w:lineRule="auto"/>
        <w:jc w:val="both"/>
        <w:rPr>
          <w:rFonts w:asciiTheme="majorBidi" w:hAnsiTheme="majorBidi" w:cstheme="majorBidi"/>
          <w:color w:val="000000"/>
          <w:sz w:val="24"/>
          <w:szCs w:val="24"/>
          <w:lang w:val="en-CA"/>
        </w:rPr>
      </w:pPr>
      <w:r w:rsidRPr="005A6046">
        <w:rPr>
          <w:rFonts w:asciiTheme="majorBidi" w:hAnsiTheme="majorBidi" w:cstheme="majorBidi"/>
          <w:color w:val="000000"/>
          <w:sz w:val="24"/>
          <w:szCs w:val="24"/>
          <w:lang w:val="en-CA"/>
        </w:rPr>
        <w:t>Criminal L</w:t>
      </w:r>
      <w:r w:rsidR="000B218C" w:rsidRPr="005A6046">
        <w:rPr>
          <w:rFonts w:asciiTheme="majorBidi" w:hAnsiTheme="majorBidi" w:cstheme="majorBidi"/>
          <w:color w:val="000000"/>
          <w:sz w:val="24"/>
          <w:szCs w:val="24"/>
          <w:lang w:val="en-CA"/>
        </w:rPr>
        <w:t xml:space="preserve">awyers’ Association of Ontario </w:t>
      </w:r>
      <w:r w:rsidRPr="005A6046">
        <w:rPr>
          <w:rFonts w:asciiTheme="majorBidi" w:hAnsiTheme="majorBidi" w:cstheme="majorBidi"/>
          <w:color w:val="000000"/>
          <w:sz w:val="24"/>
          <w:szCs w:val="24"/>
          <w:lang w:val="en-CA"/>
        </w:rPr>
        <w:t>(</w:t>
      </w:r>
      <w:r w:rsidRPr="005A6046">
        <w:rPr>
          <w:rFonts w:asciiTheme="majorBidi" w:hAnsiTheme="majorBidi" w:cstheme="majorBidi"/>
          <w:b/>
          <w:bCs/>
          <w:color w:val="000000"/>
          <w:sz w:val="24"/>
          <w:szCs w:val="24"/>
          <w:lang w:val="en-CA"/>
        </w:rPr>
        <w:t>Intervenants</w:t>
      </w:r>
      <w:r w:rsidRPr="005A6046">
        <w:rPr>
          <w:rFonts w:asciiTheme="majorBidi" w:hAnsiTheme="majorBidi" w:cstheme="majorBidi"/>
          <w:color w:val="000000"/>
          <w:sz w:val="24"/>
          <w:szCs w:val="24"/>
          <w:lang w:val="en-CA"/>
        </w:rPr>
        <w:t>)</w:t>
      </w:r>
    </w:p>
    <w:p w:rsidR="00C314E9" w:rsidRPr="005A6046" w:rsidRDefault="00C314E9" w:rsidP="00F64FA8">
      <w:pPr>
        <w:autoSpaceDE w:val="0"/>
        <w:autoSpaceDN w:val="0"/>
        <w:adjustRightInd w:val="0"/>
        <w:spacing w:after="0" w:line="360" w:lineRule="auto"/>
        <w:jc w:val="both"/>
        <w:rPr>
          <w:rFonts w:asciiTheme="majorBidi" w:hAnsiTheme="majorBidi" w:cstheme="majorBidi"/>
          <w:sz w:val="24"/>
          <w:szCs w:val="24"/>
          <w:lang w:val="en-CA"/>
        </w:rPr>
      </w:pPr>
    </w:p>
    <w:p w:rsidR="00C314E9" w:rsidRPr="00A97DD4" w:rsidRDefault="00C314E9" w:rsidP="00A97DD4">
      <w:pPr>
        <w:pStyle w:val="Subtitle"/>
      </w:pPr>
      <w:r w:rsidRPr="00A97DD4">
        <w:t>2. La citation précise ou référence: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0B218C">
        <w:rPr>
          <w:rFonts w:asciiTheme="majorBidi" w:hAnsiTheme="majorBidi" w:cstheme="majorBidi"/>
          <w:b/>
          <w:bCs/>
          <w:sz w:val="24"/>
          <w:szCs w:val="24"/>
        </w:rPr>
        <w:t>R. c. Spencer, 2014 CSC 43, [2014] 2 R.C.S</w:t>
      </w:r>
      <w:r w:rsidRPr="00A97DD4">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9 décembre 2013 au 13 juin 2014</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Présents: La juge en chef McLachlin et les juges LeBel, Abella, Rothstein, Cromwell,</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Moldaver, Karakatsanis et Wagner</w:t>
      </w:r>
      <w:r w:rsidR="000B218C">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 Les faits: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3.1. Aspect matériel:</w:t>
      </w:r>
    </w:p>
    <w:p w:rsidR="00C314E9" w:rsidRPr="00A97DD4" w:rsidRDefault="00C314E9" w:rsidP="00B20C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L'appelant, M. Spencer a été reconnu coupable de posses</w:t>
      </w:r>
      <w:r w:rsidR="00B20C83">
        <w:rPr>
          <w:rFonts w:asciiTheme="majorBidi" w:hAnsiTheme="majorBidi" w:cstheme="majorBidi"/>
          <w:sz w:val="24"/>
          <w:szCs w:val="24"/>
        </w:rPr>
        <w:t xml:space="preserve">sion de pornographie juvénile. A </w:t>
      </w:r>
      <w:r w:rsidRPr="00A97DD4">
        <w:rPr>
          <w:rFonts w:asciiTheme="majorBidi" w:hAnsiTheme="majorBidi" w:cstheme="majorBidi"/>
          <w:sz w:val="24"/>
          <w:szCs w:val="24"/>
        </w:rPr>
        <w:t xml:space="preserve"> l'époque </w:t>
      </w:r>
      <w:r w:rsidR="00B20C83">
        <w:rPr>
          <w:rFonts w:asciiTheme="majorBidi" w:hAnsiTheme="majorBidi" w:cstheme="majorBidi"/>
          <w:sz w:val="24"/>
          <w:szCs w:val="24"/>
        </w:rPr>
        <w:t>où les</w:t>
      </w:r>
      <w:r w:rsidRPr="00A97DD4">
        <w:rPr>
          <w:rFonts w:asciiTheme="majorBidi" w:hAnsiTheme="majorBidi" w:cstheme="majorBidi"/>
          <w:sz w:val="24"/>
          <w:szCs w:val="24"/>
        </w:rPr>
        <w:t xml:space="preserve"> faits incriminés</w:t>
      </w:r>
      <w:r w:rsidR="00B20C83">
        <w:rPr>
          <w:rFonts w:asciiTheme="majorBidi" w:hAnsiTheme="majorBidi" w:cstheme="majorBidi"/>
          <w:sz w:val="24"/>
          <w:szCs w:val="24"/>
        </w:rPr>
        <w:t xml:space="preserve"> se sont produits, M. Spencer, se servant de la connexion internet de sa sœur, </w:t>
      </w:r>
      <w:r w:rsidRPr="00A97DD4">
        <w:rPr>
          <w:rFonts w:asciiTheme="majorBidi" w:hAnsiTheme="majorBidi" w:cstheme="majorBidi"/>
          <w:sz w:val="24"/>
          <w:szCs w:val="24"/>
        </w:rPr>
        <w:t>utilisait un logiciel de partage de fichiers poste à poste pour télécharger et stocker de la pornographie juvénile, infraction décrite au par. 163.1 (4) du code criminel</w:t>
      </w:r>
      <w:r w:rsidR="00E0186E">
        <w:rPr>
          <w:rFonts w:asciiTheme="majorBidi" w:hAnsiTheme="majorBidi" w:cstheme="majorBidi"/>
          <w:sz w:val="24"/>
          <w:szCs w:val="24"/>
        </w:rPr>
        <w:t xml:space="preserve"> et</w:t>
      </w:r>
      <w:r w:rsidRPr="00A97DD4">
        <w:rPr>
          <w:rFonts w:asciiTheme="majorBidi" w:hAnsiTheme="majorBidi" w:cstheme="majorBidi"/>
          <w:sz w:val="24"/>
          <w:szCs w:val="24"/>
        </w:rPr>
        <w:t xml:space="preserve"> qui stipule notamment que:</w:t>
      </w:r>
    </w:p>
    <w:p w:rsidR="00C314E9" w:rsidRPr="00B6628A" w:rsidRDefault="00833D4B" w:rsidP="00833D4B">
      <w:pPr>
        <w:autoSpaceDE w:val="0"/>
        <w:autoSpaceDN w:val="0"/>
        <w:adjustRightInd w:val="0"/>
        <w:spacing w:after="0" w:line="240" w:lineRule="auto"/>
        <w:ind w:firstLine="707"/>
        <w:jc w:val="both"/>
        <w:rPr>
          <w:rFonts w:asciiTheme="majorBidi" w:hAnsiTheme="majorBidi" w:cstheme="majorBidi"/>
        </w:rPr>
      </w:pPr>
      <w:r w:rsidRPr="00B6628A">
        <w:rPr>
          <w:rFonts w:asciiTheme="majorBidi" w:hAnsiTheme="majorBidi" w:cstheme="majorBidi"/>
        </w:rPr>
        <w:t>« </w:t>
      </w:r>
      <w:r w:rsidR="00C314E9" w:rsidRPr="00B6628A">
        <w:rPr>
          <w:rFonts w:asciiTheme="majorBidi" w:hAnsiTheme="majorBidi" w:cstheme="majorBidi"/>
        </w:rPr>
        <w:t>Quiconque a en sa possession de la pornographie juvénile est coupable :</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lastRenderedPageBreak/>
        <w:t>a) soit d’un acte criminel passible d’un emprisonnement maximal de dix ans, la peine minimale étant de un an;</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t>b) soit d’une infraction punissable sur déclaration de culpabilité par procédure sommaire et passible d’un emprisonnement maximal de deux ans moins un jour, la peine minimale étant de six mois.</w:t>
      </w:r>
    </w:p>
    <w:p w:rsidR="00C314E9" w:rsidRPr="00A97DD4" w:rsidRDefault="00B20C83" w:rsidP="00833D4B">
      <w:pPr>
        <w:autoSpaceDE w:val="0"/>
        <w:autoSpaceDN w:val="0"/>
        <w:adjustRightInd w:val="0"/>
        <w:spacing w:after="0" w:line="240" w:lineRule="auto"/>
        <w:ind w:left="707"/>
        <w:jc w:val="both"/>
        <w:rPr>
          <w:rFonts w:asciiTheme="majorBidi" w:hAnsiTheme="majorBidi" w:cstheme="majorBidi"/>
          <w:sz w:val="24"/>
          <w:szCs w:val="24"/>
        </w:rPr>
      </w:pPr>
      <w:r w:rsidRPr="00B6628A">
        <w:rPr>
          <w:rFonts w:asciiTheme="majorBidi" w:hAnsiTheme="majorBidi" w:cstheme="majorBidi"/>
        </w:rPr>
        <w:t>c)</w:t>
      </w:r>
      <w:r w:rsidR="00C314E9" w:rsidRPr="00B6628A">
        <w:rPr>
          <w:rFonts w:asciiTheme="majorBidi" w:hAnsiTheme="majorBidi" w:cstheme="majorBidi"/>
        </w:rPr>
        <w:t xml:space="preserve"> passible d’un emprisonnement maximal de deux ans moins un jour, la pe</w:t>
      </w:r>
      <w:r w:rsidR="00833D4B" w:rsidRPr="00B6628A">
        <w:rPr>
          <w:rFonts w:asciiTheme="majorBidi" w:hAnsiTheme="majorBidi" w:cstheme="majorBidi"/>
        </w:rPr>
        <w:t>ine minimale étant de six mois</w:t>
      </w:r>
      <w:r w:rsidR="00833D4B">
        <w:rPr>
          <w:rFonts w:asciiTheme="majorBidi" w:hAnsiTheme="majorBidi" w:cstheme="majorBidi"/>
          <w:sz w:val="24"/>
          <w:szCs w:val="24"/>
        </w:rPr>
        <w:t>.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B6628A">
      <w:pPr>
        <w:autoSpaceDE w:val="0"/>
        <w:autoSpaceDN w:val="0"/>
        <w:adjustRightInd w:val="0"/>
        <w:spacing w:after="0" w:line="360" w:lineRule="auto"/>
        <w:ind w:firstLine="707"/>
        <w:jc w:val="both"/>
        <w:rPr>
          <w:rFonts w:asciiTheme="majorBidi" w:hAnsiTheme="majorBidi" w:cstheme="majorBidi"/>
          <w:sz w:val="24"/>
          <w:szCs w:val="24"/>
        </w:rPr>
      </w:pPr>
      <w:r w:rsidRPr="00A97DD4">
        <w:rPr>
          <w:rFonts w:asciiTheme="majorBidi" w:hAnsiTheme="majorBidi" w:cstheme="majorBidi"/>
          <w:sz w:val="24"/>
          <w:szCs w:val="24"/>
        </w:rPr>
        <w:t>La police, après avoir identifié une adresse IP liée à cette activité, a fait une demande auprès de Shaw, le fournisse</w:t>
      </w:r>
      <w:r w:rsidR="00B6628A">
        <w:rPr>
          <w:rFonts w:asciiTheme="majorBidi" w:hAnsiTheme="majorBidi" w:cstheme="majorBidi"/>
          <w:sz w:val="24"/>
          <w:szCs w:val="24"/>
        </w:rPr>
        <w:t>ur de services Internet (FSI), mais «</w:t>
      </w:r>
      <w:r w:rsidRPr="00A97DD4">
        <w:rPr>
          <w:rFonts w:asciiTheme="majorBidi" w:hAnsiTheme="majorBidi" w:cstheme="majorBidi"/>
          <w:sz w:val="24"/>
          <w:szCs w:val="24"/>
        </w:rPr>
        <w:t>sans autorisati</w:t>
      </w:r>
      <w:r w:rsidR="00B6628A">
        <w:rPr>
          <w:rFonts w:asciiTheme="majorBidi" w:hAnsiTheme="majorBidi" w:cstheme="majorBidi"/>
          <w:sz w:val="24"/>
          <w:szCs w:val="24"/>
        </w:rPr>
        <w:t xml:space="preserve">on judiciaire préalable» </w:t>
      </w:r>
      <w:r w:rsidRPr="00A97DD4">
        <w:rPr>
          <w:rFonts w:asciiTheme="majorBidi" w:hAnsiTheme="majorBidi" w:cstheme="majorBidi"/>
          <w:sz w:val="24"/>
          <w:szCs w:val="24"/>
        </w:rPr>
        <w:t>(par. 2), pour obtenir les renseignements relatifs à cette IP.</w:t>
      </w:r>
      <w:r w:rsidR="00C047A8">
        <w:rPr>
          <w:rFonts w:asciiTheme="majorBidi" w:hAnsiTheme="majorBidi" w:cstheme="majorBidi"/>
          <w:sz w:val="24"/>
          <w:szCs w:val="24"/>
        </w:rPr>
        <w:t xml:space="preserve"> A l’aide des ces renseignements, les policiers ont</w:t>
      </w:r>
      <w:r w:rsidRPr="00A97DD4">
        <w:rPr>
          <w:rFonts w:asciiTheme="majorBidi" w:hAnsiTheme="majorBidi" w:cstheme="majorBidi"/>
          <w:sz w:val="24"/>
          <w:szCs w:val="24"/>
        </w:rPr>
        <w:t xml:space="preserve"> pu </w:t>
      </w:r>
      <w:r w:rsidR="00E0186E" w:rsidRPr="00A97DD4">
        <w:rPr>
          <w:rFonts w:asciiTheme="majorBidi" w:hAnsiTheme="majorBidi" w:cstheme="majorBidi"/>
          <w:sz w:val="24"/>
          <w:szCs w:val="24"/>
        </w:rPr>
        <w:t>identifier</w:t>
      </w:r>
      <w:r w:rsidRPr="00A97DD4">
        <w:rPr>
          <w:rFonts w:asciiTheme="majorBidi" w:hAnsiTheme="majorBidi" w:cstheme="majorBidi"/>
          <w:sz w:val="24"/>
          <w:szCs w:val="24"/>
        </w:rPr>
        <w:t xml:space="preserve"> M. Spencer.</w:t>
      </w:r>
    </w:p>
    <w:p w:rsidR="00E0186E" w:rsidRDefault="00E0186E" w:rsidP="003274E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Au procès, M. Spencer a été reconnu coupable de possession de pornographie juvénile mais a été acquitté du chef </w:t>
      </w:r>
      <w:r w:rsidR="00B822AD">
        <w:rPr>
          <w:rFonts w:asciiTheme="majorBidi" w:hAnsiTheme="majorBidi" w:cstheme="majorBidi"/>
          <w:sz w:val="24"/>
          <w:szCs w:val="24"/>
        </w:rPr>
        <w:t>d’accusation</w:t>
      </w:r>
      <w:r w:rsidR="003274E7">
        <w:rPr>
          <w:rFonts w:asciiTheme="majorBidi" w:hAnsiTheme="majorBidi" w:cstheme="majorBidi"/>
          <w:sz w:val="24"/>
          <w:szCs w:val="24"/>
        </w:rPr>
        <w:t xml:space="preserve"> de la</w:t>
      </w:r>
      <w:r w:rsidR="00B822AD">
        <w:rPr>
          <w:rFonts w:asciiTheme="majorBidi" w:hAnsiTheme="majorBidi" w:cstheme="majorBidi"/>
          <w:sz w:val="24"/>
          <w:szCs w:val="24"/>
        </w:rPr>
        <w:t xml:space="preserve"> « rendre accessible » </w:t>
      </w:r>
      <w:r w:rsidR="003274E7">
        <w:rPr>
          <w:rFonts w:asciiTheme="majorBidi" w:hAnsiTheme="majorBidi" w:cstheme="majorBidi"/>
          <w:sz w:val="24"/>
          <w:szCs w:val="24"/>
        </w:rPr>
        <w:t>à autrui</w:t>
      </w:r>
      <w:r w:rsidR="00B822AD">
        <w:rPr>
          <w:rFonts w:asciiTheme="majorBidi" w:hAnsiTheme="majorBidi" w:cstheme="majorBidi"/>
          <w:sz w:val="24"/>
          <w:szCs w:val="24"/>
        </w:rPr>
        <w:t xml:space="preserve">. La cour d’appel a confirmé le premier jugement tout en prescrivant un nouveau procès quant au deuxième chef d’accusation. M. spencer a fait appel de cette décision. C’est ce pourvoi qui fait l’objet de ce présent jugement de la </w:t>
      </w:r>
      <w:r w:rsidR="003274E7">
        <w:rPr>
          <w:rFonts w:asciiTheme="majorBidi" w:hAnsiTheme="majorBidi" w:cstheme="majorBidi"/>
          <w:sz w:val="24"/>
          <w:szCs w:val="24"/>
        </w:rPr>
        <w:t>C</w:t>
      </w:r>
      <w:r w:rsidR="00B822AD">
        <w:rPr>
          <w:rFonts w:asciiTheme="majorBidi" w:hAnsiTheme="majorBidi" w:cstheme="majorBidi"/>
          <w:sz w:val="24"/>
          <w:szCs w:val="24"/>
        </w:rPr>
        <w:t xml:space="preserve">our </w:t>
      </w:r>
      <w:r w:rsidR="003274E7">
        <w:rPr>
          <w:rFonts w:asciiTheme="majorBidi" w:hAnsiTheme="majorBidi" w:cstheme="majorBidi"/>
          <w:sz w:val="24"/>
          <w:szCs w:val="24"/>
        </w:rPr>
        <w:t>S</w:t>
      </w:r>
      <w:r w:rsidR="00B822AD">
        <w:rPr>
          <w:rFonts w:asciiTheme="majorBidi" w:hAnsiTheme="majorBidi" w:cstheme="majorBidi"/>
          <w:sz w:val="24"/>
          <w:szCs w:val="24"/>
        </w:rPr>
        <w:t>uprême du Canada.</w:t>
      </w:r>
    </w:p>
    <w:p w:rsidR="00C314E9" w:rsidRPr="00A97DD4" w:rsidRDefault="00C314E9" w:rsidP="00B822AD">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3.2. Aspects procéduraux</w:t>
      </w:r>
      <w:r w:rsidR="00B822AD">
        <w:rPr>
          <w:rFonts w:asciiTheme="majorBidi" w:hAnsiTheme="majorBidi" w:cstheme="majorBidi"/>
          <w:sz w:val="24"/>
          <w:szCs w:val="24"/>
        </w:rPr>
        <w:t> :</w:t>
      </w:r>
    </w:p>
    <w:p w:rsidR="00504A07" w:rsidRPr="00504A07" w:rsidRDefault="00504A07" w:rsidP="00B6628A">
      <w:pPr>
        <w:autoSpaceDE w:val="0"/>
        <w:autoSpaceDN w:val="0"/>
        <w:adjustRightInd w:val="0"/>
        <w:spacing w:after="0" w:line="360" w:lineRule="auto"/>
        <w:ind w:firstLine="720"/>
        <w:jc w:val="both"/>
        <w:rPr>
          <w:rFonts w:asciiTheme="majorBidi" w:hAnsiTheme="majorBidi" w:cstheme="majorBidi"/>
          <w:sz w:val="24"/>
          <w:szCs w:val="24"/>
          <w:u w:val="single"/>
        </w:rPr>
      </w:pPr>
      <w:r>
        <w:rPr>
          <w:rFonts w:asciiTheme="majorBidi" w:hAnsiTheme="majorBidi" w:cstheme="majorBidi"/>
          <w:sz w:val="24"/>
          <w:szCs w:val="24"/>
        </w:rPr>
        <w:t>En première instance, le juge Foley a déclaré M. Spencer coupable d’un seul chef d’accusation, à savoir la possession de pornographie infantile. Quant à l’infraction de « rendre accessible »</w:t>
      </w:r>
      <w:r w:rsidR="00244B96">
        <w:rPr>
          <w:rFonts w:asciiTheme="majorBidi" w:hAnsiTheme="majorBidi" w:cstheme="majorBidi"/>
          <w:sz w:val="24"/>
          <w:szCs w:val="24"/>
        </w:rPr>
        <w:t xml:space="preserve">, </w:t>
      </w:r>
      <w:r>
        <w:rPr>
          <w:rFonts w:asciiTheme="majorBidi" w:hAnsiTheme="majorBidi" w:cstheme="majorBidi"/>
          <w:sz w:val="24"/>
          <w:szCs w:val="24"/>
        </w:rPr>
        <w:t>le juge a estimé que l’accusé n’avait pas donné accès à la pornographie juvénile de façon « délibérée » (par. 3)</w:t>
      </w:r>
      <w:r w:rsidR="00B6628A">
        <w:rPr>
          <w:rFonts w:asciiTheme="majorBidi" w:hAnsiTheme="majorBidi" w:cstheme="majorBidi"/>
          <w:sz w:val="24"/>
          <w:szCs w:val="24"/>
        </w:rPr>
        <w:t> ;</w:t>
      </w:r>
      <w:r>
        <w:rPr>
          <w:rFonts w:asciiTheme="majorBidi" w:hAnsiTheme="majorBidi" w:cstheme="majorBidi"/>
          <w:sz w:val="24"/>
          <w:szCs w:val="24"/>
        </w:rPr>
        <w:t xml:space="preserve"> il n’était </w:t>
      </w:r>
      <w:r w:rsidR="00B6628A">
        <w:rPr>
          <w:rFonts w:asciiTheme="majorBidi" w:hAnsiTheme="majorBidi" w:cstheme="majorBidi"/>
          <w:sz w:val="24"/>
          <w:szCs w:val="24"/>
        </w:rPr>
        <w:t xml:space="preserve">donc </w:t>
      </w:r>
      <w:r>
        <w:rPr>
          <w:rFonts w:asciiTheme="majorBidi" w:hAnsiTheme="majorBidi" w:cstheme="majorBidi"/>
          <w:sz w:val="24"/>
          <w:szCs w:val="24"/>
        </w:rPr>
        <w:t>pas coupable de cette infraction.</w:t>
      </w:r>
    </w:p>
    <w:p w:rsidR="00B822AD" w:rsidRPr="00A97DD4" w:rsidRDefault="00B822AD" w:rsidP="003274E7">
      <w:pPr>
        <w:autoSpaceDE w:val="0"/>
        <w:autoSpaceDN w:val="0"/>
        <w:adjustRightInd w:val="0"/>
        <w:spacing w:after="0" w:line="360" w:lineRule="auto"/>
        <w:ind w:firstLine="720"/>
        <w:jc w:val="both"/>
        <w:rPr>
          <w:rFonts w:asciiTheme="majorBidi" w:hAnsiTheme="majorBidi" w:cstheme="majorBidi"/>
          <w:sz w:val="24"/>
          <w:szCs w:val="24"/>
        </w:rPr>
      </w:pPr>
      <w:r w:rsidRPr="00A97DD4">
        <w:rPr>
          <w:rFonts w:asciiTheme="majorBidi" w:hAnsiTheme="majorBidi" w:cstheme="majorBidi"/>
          <w:sz w:val="24"/>
          <w:szCs w:val="24"/>
        </w:rPr>
        <w:t xml:space="preserve"> </w:t>
      </w:r>
      <w:r w:rsidR="00504A07">
        <w:rPr>
          <w:rFonts w:asciiTheme="majorBidi" w:hAnsiTheme="majorBidi" w:cstheme="majorBidi"/>
          <w:sz w:val="24"/>
          <w:szCs w:val="24"/>
        </w:rPr>
        <w:t xml:space="preserve">Au procès, M. Spencer </w:t>
      </w:r>
      <w:r w:rsidRPr="00A97DD4">
        <w:rPr>
          <w:rFonts w:asciiTheme="majorBidi" w:hAnsiTheme="majorBidi" w:cstheme="majorBidi"/>
          <w:sz w:val="24"/>
          <w:szCs w:val="24"/>
        </w:rPr>
        <w:t>a soutenu</w:t>
      </w:r>
      <w:r w:rsidR="00B6628A">
        <w:rPr>
          <w:rFonts w:asciiTheme="majorBidi" w:hAnsiTheme="majorBidi" w:cstheme="majorBidi"/>
          <w:sz w:val="24"/>
          <w:szCs w:val="24"/>
        </w:rPr>
        <w:t>, pour sa part,</w:t>
      </w:r>
      <w:r w:rsidRPr="00A97DD4">
        <w:rPr>
          <w:rFonts w:asciiTheme="majorBidi" w:hAnsiTheme="majorBidi" w:cstheme="majorBidi"/>
          <w:sz w:val="24"/>
          <w:szCs w:val="24"/>
        </w:rPr>
        <w:t xml:space="preserve"> que la preuve ayant mené à son identification devait être écartée au motif que la police avait effectué une fouille ou perquisition inconstitutionnelle  pour obtenir les renseignements relatifs à l'abonnée à qui appartenait l'adresse IP.</w:t>
      </w:r>
    </w:p>
    <w:p w:rsidR="00B822AD" w:rsidRPr="00A97DD4" w:rsidRDefault="00B822AD" w:rsidP="00504A07">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 xml:space="preserve">Le juge du procès </w:t>
      </w:r>
      <w:r w:rsidR="00504A07">
        <w:rPr>
          <w:rFonts w:asciiTheme="majorBidi" w:hAnsiTheme="majorBidi" w:cstheme="majorBidi"/>
          <w:sz w:val="24"/>
          <w:szCs w:val="24"/>
        </w:rPr>
        <w:t>n’était pas du même avis que M. Spencer, jugeant qu’ « il n’y avait pas eu de violation du droit de M. Spencer à la protection contre les fouilles, les perquisi</w:t>
      </w:r>
      <w:r w:rsidR="00F15C75">
        <w:rPr>
          <w:rFonts w:asciiTheme="majorBidi" w:hAnsiTheme="majorBidi" w:cstheme="majorBidi"/>
          <w:sz w:val="24"/>
          <w:szCs w:val="24"/>
        </w:rPr>
        <w:t>tions et les saisies abusives. »</w:t>
      </w:r>
      <w:r w:rsidR="00B6628A">
        <w:rPr>
          <w:rFonts w:asciiTheme="majorBidi" w:hAnsiTheme="majorBidi" w:cstheme="majorBidi"/>
          <w:sz w:val="24"/>
          <w:szCs w:val="24"/>
        </w:rPr>
        <w:t xml:space="preserve"> </w:t>
      </w:r>
      <w:r w:rsidR="00F15C75">
        <w:rPr>
          <w:rFonts w:asciiTheme="majorBidi" w:hAnsiTheme="majorBidi" w:cstheme="majorBidi"/>
          <w:sz w:val="24"/>
          <w:szCs w:val="24"/>
        </w:rPr>
        <w:t>(par. 3)</w:t>
      </w:r>
    </w:p>
    <w:p w:rsidR="00A248EC"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Au procès en appel, la cour d'appel</w:t>
      </w:r>
      <w:r w:rsidR="00244B96">
        <w:rPr>
          <w:rFonts w:asciiTheme="majorBidi" w:hAnsiTheme="majorBidi" w:cstheme="majorBidi"/>
          <w:sz w:val="24"/>
          <w:szCs w:val="24"/>
        </w:rPr>
        <w:t xml:space="preserve"> de la Saskatchewan</w:t>
      </w:r>
      <w:r w:rsidR="00A03BF7">
        <w:rPr>
          <w:rFonts w:asciiTheme="majorBidi" w:hAnsiTheme="majorBidi" w:cstheme="majorBidi"/>
          <w:sz w:val="24"/>
          <w:szCs w:val="24"/>
        </w:rPr>
        <w:t>, à l’unanimité,</w:t>
      </w:r>
      <w:r w:rsidRPr="00A97DD4">
        <w:rPr>
          <w:rFonts w:asciiTheme="majorBidi" w:hAnsiTheme="majorBidi" w:cstheme="majorBidi"/>
          <w:sz w:val="24"/>
          <w:szCs w:val="24"/>
        </w:rPr>
        <w:t xml:space="preserve"> s'est alignée sur la décision du juge du procès concernant l'infraction de possession de pornographie juvénile.</w:t>
      </w:r>
      <w:r w:rsidR="00A248EC">
        <w:rPr>
          <w:rFonts w:asciiTheme="majorBidi" w:hAnsiTheme="majorBidi" w:cstheme="majorBidi"/>
          <w:sz w:val="24"/>
          <w:szCs w:val="24"/>
        </w:rPr>
        <w:t xml:space="preserve"> Le juge Caldwell, s’exprimant pour la majorité, se référant à l’arrêt </w:t>
      </w:r>
      <w:r w:rsidR="00A248EC">
        <w:rPr>
          <w:rFonts w:asciiTheme="majorBidi" w:hAnsiTheme="majorBidi" w:cstheme="majorBidi"/>
          <w:i/>
          <w:iCs/>
          <w:sz w:val="24"/>
          <w:szCs w:val="24"/>
        </w:rPr>
        <w:t xml:space="preserve">Trapp </w:t>
      </w:r>
      <w:r w:rsidR="00A248EC">
        <w:rPr>
          <w:rFonts w:asciiTheme="majorBidi" w:hAnsiTheme="majorBidi" w:cstheme="majorBidi"/>
          <w:sz w:val="24"/>
          <w:szCs w:val="24"/>
        </w:rPr>
        <w:t>déclare :</w:t>
      </w:r>
    </w:p>
    <w:p w:rsidR="00A248EC" w:rsidRDefault="00A248EC" w:rsidP="00833D4B">
      <w:pPr>
        <w:autoSpaceDE w:val="0"/>
        <w:autoSpaceDN w:val="0"/>
        <w:adjustRightInd w:val="0"/>
        <w:spacing w:after="0" w:line="240" w:lineRule="auto"/>
        <w:ind w:left="720"/>
        <w:jc w:val="both"/>
        <w:rPr>
          <w:rFonts w:asciiTheme="majorBidi" w:hAnsiTheme="majorBidi" w:cstheme="majorBidi"/>
          <w:color w:val="000000"/>
          <w:spacing w:val="8"/>
          <w:sz w:val="24"/>
          <w:szCs w:val="24"/>
          <w:shd w:val="clear" w:color="auto" w:fill="FFFFFF"/>
          <w:lang w:val="en-CA"/>
        </w:rPr>
      </w:pPr>
      <w:r w:rsidRPr="00A248EC">
        <w:rPr>
          <w:rFonts w:asciiTheme="majorBidi" w:hAnsiTheme="majorBidi" w:cstheme="majorBidi"/>
          <w:sz w:val="24"/>
          <w:szCs w:val="24"/>
          <w:lang w:val="en-CA"/>
        </w:rPr>
        <w:lastRenderedPageBreak/>
        <w:t>« </w:t>
      </w:r>
      <w:r>
        <w:rPr>
          <w:rFonts w:asciiTheme="majorBidi" w:hAnsiTheme="majorBidi" w:cstheme="majorBidi"/>
          <w:sz w:val="24"/>
          <w:szCs w:val="24"/>
          <w:lang w:val="en-CA"/>
        </w:rPr>
        <w:t>(</w:t>
      </w:r>
      <w:r w:rsidRPr="00A248EC">
        <w:rPr>
          <w:rFonts w:asciiTheme="majorBidi" w:hAnsiTheme="majorBidi" w:cstheme="majorBidi"/>
          <w:sz w:val="24"/>
          <w:szCs w:val="24"/>
          <w:lang w:val="en-CA"/>
        </w:rPr>
        <w:t>…</w:t>
      </w:r>
      <w:r>
        <w:rPr>
          <w:rFonts w:asciiTheme="majorBidi" w:hAnsiTheme="majorBidi" w:cstheme="majorBidi"/>
          <w:sz w:val="24"/>
          <w:szCs w:val="24"/>
          <w:lang w:val="en-CA"/>
        </w:rPr>
        <w:t>)</w:t>
      </w:r>
      <w:r w:rsidRPr="00A248EC">
        <w:rPr>
          <w:rFonts w:asciiTheme="majorBidi" w:hAnsiTheme="majorBidi" w:cstheme="majorBidi"/>
          <w:sz w:val="24"/>
          <w:szCs w:val="24"/>
          <w:lang w:val="en-CA"/>
        </w:rPr>
        <w:t xml:space="preserve"> </w:t>
      </w:r>
      <w:r w:rsidRPr="00A248EC">
        <w:rPr>
          <w:rFonts w:asciiTheme="majorBidi" w:hAnsiTheme="majorBidi" w:cstheme="majorBidi"/>
          <w:color w:val="000000"/>
          <w:spacing w:val="8"/>
          <w:sz w:val="24"/>
          <w:szCs w:val="24"/>
          <w:shd w:val="clear" w:color="auto" w:fill="FFFFFF"/>
          <w:lang w:val="en-CA"/>
        </w:rPr>
        <w:t xml:space="preserve">I would conclude the “search” was authorized by law, the law is reasonable and that the manner in which the search was conducted was reasonable </w:t>
      </w:r>
      <w:r w:rsidRPr="00A248EC">
        <w:rPr>
          <w:rFonts w:asciiTheme="majorBidi" w:hAnsiTheme="majorBidi" w:cstheme="majorBidi"/>
          <w:sz w:val="24"/>
          <w:szCs w:val="24"/>
          <w:lang w:val="en-CA"/>
        </w:rPr>
        <w:t>»</w:t>
      </w:r>
      <w:r>
        <w:rPr>
          <w:rFonts w:asciiTheme="majorBidi" w:hAnsiTheme="majorBidi" w:cstheme="majorBidi"/>
          <w:color w:val="000000"/>
          <w:spacing w:val="8"/>
          <w:sz w:val="24"/>
          <w:szCs w:val="24"/>
          <w:shd w:val="clear" w:color="auto" w:fill="FFFFFF"/>
          <w:lang w:val="en-CA"/>
        </w:rPr>
        <w:t xml:space="preserve"> (par. 46).</w:t>
      </w:r>
    </w:p>
    <w:p w:rsidR="00833D4B" w:rsidRPr="00A248EC" w:rsidRDefault="00833D4B" w:rsidP="00833D4B">
      <w:pPr>
        <w:autoSpaceDE w:val="0"/>
        <w:autoSpaceDN w:val="0"/>
        <w:adjustRightInd w:val="0"/>
        <w:spacing w:after="0" w:line="240" w:lineRule="auto"/>
        <w:ind w:left="720"/>
        <w:jc w:val="both"/>
        <w:rPr>
          <w:rFonts w:asciiTheme="majorBidi" w:hAnsiTheme="majorBidi" w:cstheme="majorBidi"/>
          <w:sz w:val="24"/>
          <w:szCs w:val="24"/>
          <w:lang w:val="en-CA"/>
        </w:rPr>
      </w:pPr>
    </w:p>
    <w:p w:rsidR="00B822AD" w:rsidRPr="005A6046" w:rsidRDefault="00B822AD" w:rsidP="00A248EC">
      <w:pPr>
        <w:autoSpaceDE w:val="0"/>
        <w:autoSpaceDN w:val="0"/>
        <w:adjustRightInd w:val="0"/>
        <w:spacing w:after="0" w:line="360" w:lineRule="auto"/>
        <w:jc w:val="both"/>
        <w:rPr>
          <w:rFonts w:asciiTheme="majorBidi" w:hAnsiTheme="majorBidi" w:cstheme="majorBidi"/>
          <w:sz w:val="24"/>
          <w:szCs w:val="24"/>
          <w:lang w:val="en-CA"/>
        </w:rPr>
      </w:pPr>
      <w:r w:rsidRPr="00A248EC">
        <w:rPr>
          <w:rFonts w:asciiTheme="majorBidi" w:hAnsiTheme="majorBidi" w:cstheme="majorBidi"/>
          <w:sz w:val="24"/>
          <w:szCs w:val="24"/>
          <w:lang w:val="en-CA"/>
        </w:rPr>
        <w:t xml:space="preserve"> </w:t>
      </w:r>
      <w:r w:rsidR="00A248EC">
        <w:rPr>
          <w:rFonts w:asciiTheme="majorBidi" w:hAnsiTheme="majorBidi" w:cstheme="majorBidi"/>
          <w:sz w:val="24"/>
          <w:szCs w:val="24"/>
        </w:rPr>
        <w:t>La cour d’appel</w:t>
      </w:r>
      <w:r w:rsidRPr="00A97DD4">
        <w:rPr>
          <w:rFonts w:asciiTheme="majorBidi" w:hAnsiTheme="majorBidi" w:cstheme="majorBidi"/>
          <w:sz w:val="24"/>
          <w:szCs w:val="24"/>
        </w:rPr>
        <w:t xml:space="preserve"> a cependant ordonné la tenue d'un nouveau procès quant au chef d'accusation de </w:t>
      </w:r>
      <w:r w:rsidR="00504A07">
        <w:rPr>
          <w:rFonts w:asciiTheme="majorBidi" w:hAnsiTheme="majorBidi" w:cstheme="majorBidi"/>
          <w:sz w:val="24"/>
          <w:szCs w:val="24"/>
        </w:rPr>
        <w:t>« rendre accessible »</w:t>
      </w:r>
      <w:r w:rsidRPr="00A97DD4">
        <w:rPr>
          <w:rFonts w:asciiTheme="majorBidi" w:hAnsiTheme="majorBidi" w:cstheme="majorBidi"/>
          <w:sz w:val="24"/>
          <w:szCs w:val="24"/>
        </w:rPr>
        <w:t>.</w:t>
      </w:r>
      <w:r w:rsidR="00A03BF7">
        <w:rPr>
          <w:rFonts w:asciiTheme="majorBidi" w:hAnsiTheme="majorBidi" w:cstheme="majorBidi"/>
          <w:sz w:val="24"/>
          <w:szCs w:val="24"/>
        </w:rPr>
        <w:t xml:space="preserve"> Elle a en effet jugé que le  juge du procès a commis une erreur en exigeant une action délibérée de la part de l’accusé quant à l’infraction de « rendre accessible ».</w:t>
      </w:r>
      <w:r w:rsidR="00A248EC">
        <w:rPr>
          <w:rFonts w:asciiTheme="majorBidi" w:hAnsiTheme="majorBidi" w:cstheme="majorBidi"/>
          <w:sz w:val="24"/>
          <w:szCs w:val="24"/>
        </w:rPr>
        <w:t xml:space="preserve"> </w:t>
      </w:r>
      <w:r w:rsidR="00A248EC" w:rsidRPr="005A6046">
        <w:rPr>
          <w:rFonts w:asciiTheme="majorBidi" w:hAnsiTheme="majorBidi" w:cstheme="majorBidi"/>
          <w:sz w:val="24"/>
          <w:szCs w:val="24"/>
          <w:lang w:val="en-CA"/>
        </w:rPr>
        <w:t>Toujours selon le juge Caldwell :</w:t>
      </w:r>
    </w:p>
    <w:p w:rsidR="00A248EC" w:rsidRPr="005A6046" w:rsidRDefault="00A248EC" w:rsidP="00833D4B">
      <w:pPr>
        <w:autoSpaceDE w:val="0"/>
        <w:autoSpaceDN w:val="0"/>
        <w:adjustRightInd w:val="0"/>
        <w:spacing w:after="0" w:line="240" w:lineRule="auto"/>
        <w:ind w:left="720"/>
        <w:jc w:val="both"/>
        <w:rPr>
          <w:rFonts w:ascii="Times New Roman" w:hAnsi="Times New Roman" w:cs="Times New Roman"/>
          <w:sz w:val="24"/>
          <w:szCs w:val="24"/>
        </w:rPr>
      </w:pPr>
      <w:r w:rsidRPr="00F15C75">
        <w:rPr>
          <w:rFonts w:asciiTheme="majorBidi" w:hAnsiTheme="majorBidi" w:cstheme="majorBidi"/>
          <w:sz w:val="24"/>
          <w:szCs w:val="24"/>
          <w:lang w:val="en-CA"/>
        </w:rPr>
        <w:t xml:space="preserve">« </w:t>
      </w:r>
      <w:r w:rsidRPr="00F15C75">
        <w:rPr>
          <w:rFonts w:asciiTheme="majorBidi" w:hAnsiTheme="majorBidi" w:cstheme="majorBidi"/>
          <w:lang w:val="en-CA"/>
        </w:rPr>
        <w:t xml:space="preserve">(...) </w:t>
      </w:r>
      <w:r w:rsidRPr="00F15C75">
        <w:rPr>
          <w:rFonts w:asciiTheme="majorBidi" w:hAnsiTheme="majorBidi" w:cstheme="majorBidi"/>
          <w:color w:val="000000"/>
          <w:spacing w:val="8"/>
          <w:shd w:val="clear" w:color="auto" w:fill="FFFFFF"/>
          <w:lang w:val="en-CA"/>
        </w:rPr>
        <w:t xml:space="preserve">the Crown did not have to prove actual knowledge as a basis for criminal liability, but the trial judge failed to turn his mind to whether the Crown had proven wilful blindness, a substitute for actual knowledge. </w:t>
      </w:r>
      <w:r w:rsidRPr="005A6046">
        <w:rPr>
          <w:rFonts w:asciiTheme="majorBidi" w:hAnsiTheme="majorBidi" w:cstheme="majorBidi"/>
          <w:color w:val="000000"/>
          <w:spacing w:val="8"/>
          <w:shd w:val="clear" w:color="auto" w:fill="FFFFFF"/>
        </w:rPr>
        <w:t>This constituted a substantive error in law</w:t>
      </w:r>
      <w:r w:rsidRPr="005A6046">
        <w:rPr>
          <w:rFonts w:ascii="Times New Roman" w:hAnsi="Times New Roman" w:cs="Times New Roman"/>
          <w:color w:val="000000"/>
          <w:spacing w:val="8"/>
          <w:sz w:val="24"/>
          <w:szCs w:val="24"/>
          <w:shd w:val="clear" w:color="auto" w:fill="FFFFFF"/>
        </w:rPr>
        <w:t xml:space="preserve"> </w:t>
      </w:r>
      <w:r w:rsidRPr="005A6046">
        <w:rPr>
          <w:rFonts w:ascii="Times New Roman" w:hAnsi="Times New Roman" w:cs="Times New Roman"/>
          <w:sz w:val="24"/>
          <w:szCs w:val="24"/>
        </w:rPr>
        <w:t>» (par. 93).</w:t>
      </w:r>
    </w:p>
    <w:p w:rsidR="00833D4B" w:rsidRPr="005A6046" w:rsidRDefault="00833D4B" w:rsidP="00833D4B">
      <w:pPr>
        <w:autoSpaceDE w:val="0"/>
        <w:autoSpaceDN w:val="0"/>
        <w:adjustRightInd w:val="0"/>
        <w:spacing w:after="0" w:line="240" w:lineRule="auto"/>
        <w:ind w:left="720"/>
        <w:jc w:val="both"/>
        <w:rPr>
          <w:rFonts w:asciiTheme="majorBidi" w:hAnsiTheme="majorBidi" w:cstheme="majorBidi"/>
          <w:sz w:val="24"/>
          <w:szCs w:val="24"/>
        </w:rPr>
      </w:pP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Spencer a alors interjeté appel auprès de la cour suprême du Canada.</w:t>
      </w: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Le pourvoi a été rejeté.</w:t>
      </w:r>
    </w:p>
    <w:p w:rsidR="006F1283" w:rsidRDefault="006F1283"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4. La</w:t>
      </w:r>
      <w:r w:rsidR="00B65DBA">
        <w:rPr>
          <w:rFonts w:asciiTheme="majorBidi" w:hAnsiTheme="majorBidi" w:cstheme="majorBidi"/>
          <w:sz w:val="24"/>
          <w:szCs w:val="24"/>
        </w:rPr>
        <w:t xml:space="preserve"> (Les)</w:t>
      </w:r>
      <w:r w:rsidRPr="00A97DD4">
        <w:rPr>
          <w:rFonts w:asciiTheme="majorBidi" w:hAnsiTheme="majorBidi" w:cstheme="majorBidi"/>
          <w:sz w:val="24"/>
          <w:szCs w:val="24"/>
        </w:rPr>
        <w:t xml:space="preserve"> question</w:t>
      </w:r>
      <w:r w:rsidR="00B65DBA">
        <w:rPr>
          <w:rFonts w:asciiTheme="majorBidi" w:hAnsiTheme="majorBidi" w:cstheme="majorBidi"/>
          <w:sz w:val="24"/>
          <w:szCs w:val="24"/>
        </w:rPr>
        <w:t>(s)</w:t>
      </w:r>
      <w:r w:rsidRPr="00A97DD4">
        <w:rPr>
          <w:rFonts w:asciiTheme="majorBidi" w:hAnsiTheme="majorBidi" w:cstheme="majorBidi"/>
          <w:sz w:val="24"/>
          <w:szCs w:val="24"/>
        </w:rPr>
        <w:t xml:space="preserve"> en litige:</w:t>
      </w:r>
    </w:p>
    <w:p w:rsidR="00B65DBA" w:rsidRDefault="00B65DBA"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Les deux aspects de la question en litige dans cette affaire sont :</w:t>
      </w:r>
    </w:p>
    <w:p w:rsidR="00C8734B" w:rsidRPr="00C8734B" w:rsidRDefault="00B65DBA" w:rsidP="006C78C9">
      <w:pPr>
        <w:pStyle w:val="ListParagraph"/>
        <w:numPr>
          <w:ilvl w:val="0"/>
          <w:numId w:val="2"/>
        </w:numPr>
        <w:autoSpaceDE w:val="0"/>
        <w:autoSpaceDN w:val="0"/>
        <w:adjustRightInd w:val="0"/>
        <w:spacing w:after="0" w:line="360" w:lineRule="auto"/>
        <w:jc w:val="both"/>
        <w:rPr>
          <w:rFonts w:asciiTheme="majorBidi" w:hAnsiTheme="majorBidi" w:cstheme="majorBidi"/>
        </w:rPr>
      </w:pPr>
      <w:r w:rsidRPr="00C8734B">
        <w:rPr>
          <w:rFonts w:asciiTheme="majorBidi" w:hAnsiTheme="majorBidi" w:cstheme="majorBidi"/>
          <w:sz w:val="24"/>
          <w:szCs w:val="24"/>
        </w:rPr>
        <w:t>L’objet de la fouille ou de la perquisition</w:t>
      </w:r>
      <w:r w:rsidR="00833D4B" w:rsidRPr="00C8734B">
        <w:rPr>
          <w:rFonts w:asciiTheme="majorBidi" w:hAnsiTheme="majorBidi" w:cstheme="majorBidi"/>
          <w:sz w:val="24"/>
          <w:szCs w:val="24"/>
        </w:rPr>
        <w:t xml:space="preserve">. </w:t>
      </w:r>
      <w:r w:rsidR="00C8734B" w:rsidRPr="00C8734B">
        <w:rPr>
          <w:rFonts w:asciiTheme="majorBidi" w:hAnsiTheme="majorBidi" w:cstheme="majorBidi"/>
          <w:sz w:val="24"/>
          <w:szCs w:val="24"/>
        </w:rPr>
        <w:t>D’un côté, M. Spencer</w:t>
      </w:r>
      <w:r w:rsidR="00C8734B">
        <w:rPr>
          <w:rFonts w:asciiTheme="majorBidi" w:hAnsiTheme="majorBidi" w:cstheme="majorBidi"/>
          <w:sz w:val="24"/>
          <w:szCs w:val="24"/>
        </w:rPr>
        <w:t xml:space="preserve"> </w:t>
      </w:r>
      <w:r w:rsidR="00C8734B" w:rsidRPr="00C8734B">
        <w:rPr>
          <w:rFonts w:asciiTheme="majorBidi" w:hAnsiTheme="majorBidi" w:cstheme="majorBidi"/>
          <w:sz w:val="24"/>
          <w:szCs w:val="24"/>
        </w:rPr>
        <w:t xml:space="preserve"> </w:t>
      </w:r>
      <w:r w:rsidR="005A6046">
        <w:rPr>
          <w:rFonts w:asciiTheme="majorBidi" w:hAnsiTheme="majorBidi" w:cstheme="majorBidi"/>
          <w:sz w:val="24"/>
          <w:szCs w:val="24"/>
        </w:rPr>
        <w:t>prétend</w:t>
      </w:r>
      <w:r w:rsidR="00C8734B" w:rsidRPr="00C8734B">
        <w:rPr>
          <w:rFonts w:asciiTheme="majorBidi" w:hAnsiTheme="majorBidi" w:cstheme="majorBidi"/>
          <w:sz w:val="24"/>
          <w:szCs w:val="24"/>
        </w:rPr>
        <w:t xml:space="preserve"> que l’objet de la fouille comportait « </w:t>
      </w:r>
      <w:r w:rsidR="00C8734B" w:rsidRPr="00C8734B">
        <w:rPr>
          <w:rFonts w:asciiTheme="majorBidi" w:hAnsiTheme="majorBidi" w:cstheme="majorBidi"/>
          <w:color w:val="000000"/>
        </w:rPr>
        <w:t>des renseignements d’ordre biographique, soit des renseignements personnels et confidentiels sur les personnes habitant à l’adresse fournie par Shaw qui correspondait à l’adresse IP.</w:t>
      </w:r>
      <w:r w:rsidR="00C8734B" w:rsidRPr="00C8734B">
        <w:rPr>
          <w:rFonts w:asciiTheme="majorBidi" w:hAnsiTheme="majorBidi" w:cstheme="majorBidi"/>
          <w:color w:val="000000"/>
          <w:sz w:val="24"/>
          <w:szCs w:val="24"/>
        </w:rPr>
        <w:t xml:space="preserve"> </w:t>
      </w:r>
      <w:r w:rsidR="00C8734B" w:rsidRPr="00C8734B">
        <w:rPr>
          <w:rFonts w:asciiTheme="majorBidi" w:hAnsiTheme="majorBidi" w:cstheme="majorBidi"/>
          <w:sz w:val="24"/>
          <w:szCs w:val="24"/>
        </w:rPr>
        <w:t xml:space="preserve">» (par. 24) De l’autre côté, pour le ministère public, </w:t>
      </w:r>
      <w:r w:rsidR="006C78C9">
        <w:rPr>
          <w:rFonts w:asciiTheme="majorBidi" w:hAnsiTheme="majorBidi" w:cstheme="majorBidi"/>
          <w:sz w:val="24"/>
          <w:szCs w:val="24"/>
        </w:rPr>
        <w:t>les renseignements obtenus sont d’ordre général et ne correspondaient pas à « des données d’ordre biographique relatives à M. Spencer. » (par. 25)</w:t>
      </w:r>
    </w:p>
    <w:p w:rsidR="00B65DBA" w:rsidRPr="00C8734B" w:rsidRDefault="00B65DBA" w:rsidP="00C8734B">
      <w:pPr>
        <w:pStyle w:val="ListParagraph"/>
        <w:numPr>
          <w:ilvl w:val="0"/>
          <w:numId w:val="2"/>
        </w:numPr>
        <w:autoSpaceDE w:val="0"/>
        <w:autoSpaceDN w:val="0"/>
        <w:adjustRightInd w:val="0"/>
        <w:spacing w:after="0" w:line="360" w:lineRule="auto"/>
        <w:jc w:val="both"/>
        <w:rPr>
          <w:rFonts w:asciiTheme="majorBidi" w:hAnsiTheme="majorBidi" w:cstheme="majorBidi"/>
          <w:sz w:val="24"/>
          <w:szCs w:val="24"/>
        </w:rPr>
      </w:pPr>
      <w:r w:rsidRPr="00C8734B">
        <w:rPr>
          <w:rFonts w:asciiTheme="majorBidi" w:hAnsiTheme="majorBidi" w:cstheme="majorBidi"/>
          <w:sz w:val="24"/>
          <w:szCs w:val="24"/>
        </w:rPr>
        <w:t>L’existence d’une attente raisonnable en matière de respect de la vie privée.</w:t>
      </w:r>
      <w:r w:rsidR="00B6628A">
        <w:rPr>
          <w:rFonts w:asciiTheme="majorBidi" w:hAnsiTheme="majorBidi" w:cstheme="majorBidi"/>
          <w:sz w:val="24"/>
          <w:szCs w:val="24"/>
        </w:rPr>
        <w:t xml:space="preserve"> En particulier, il s’agit de « </w:t>
      </w:r>
      <w:r w:rsidR="00B6628A" w:rsidRPr="00B6628A">
        <w:rPr>
          <w:rFonts w:asciiTheme="majorBidi" w:hAnsiTheme="majorBidi" w:cstheme="majorBidi"/>
          <w:color w:val="000000"/>
        </w:rPr>
        <w:t>déterminer si, compte tenu de l’ensemble des circonstances, M. Spencer s’attendait raisonnablement au respect du caractère privé des renseignements fournis par Shaw à la police</w:t>
      </w:r>
      <w:r w:rsidR="00B6628A">
        <w:rPr>
          <w:color w:val="000000"/>
          <w:sz w:val="18"/>
          <w:szCs w:val="18"/>
        </w:rPr>
        <w:t>. </w:t>
      </w:r>
      <w:r w:rsidR="00B6628A">
        <w:rPr>
          <w:rFonts w:asciiTheme="majorBidi" w:hAnsiTheme="majorBidi" w:cstheme="majorBidi"/>
          <w:sz w:val="24"/>
          <w:szCs w:val="24"/>
        </w:rPr>
        <w:t>» (par. 16)</w:t>
      </w:r>
    </w:p>
    <w:p w:rsidR="00B65DBA" w:rsidRPr="00B65DBA" w:rsidRDefault="00B65DBA" w:rsidP="00833D4B">
      <w:pPr>
        <w:pStyle w:val="ListParagraph"/>
        <w:autoSpaceDE w:val="0"/>
        <w:autoSpaceDN w:val="0"/>
        <w:adjustRightInd w:val="0"/>
        <w:spacing w:after="0" w:line="360" w:lineRule="auto"/>
        <w:jc w:val="both"/>
        <w:rPr>
          <w:rFonts w:asciiTheme="majorBidi" w:hAnsiTheme="majorBidi" w:cstheme="majorBidi"/>
          <w:sz w:val="24"/>
          <w:szCs w:val="24"/>
        </w:rPr>
      </w:pPr>
    </w:p>
    <w:p w:rsidR="00F15C75" w:rsidRDefault="00C314E9" w:rsidP="006F12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5. Le jugé:</w:t>
      </w:r>
      <w:r w:rsidR="006F1283">
        <w:rPr>
          <w:rFonts w:asciiTheme="majorBidi" w:hAnsiTheme="majorBidi" w:cstheme="majorBidi"/>
          <w:sz w:val="24"/>
          <w:szCs w:val="24"/>
        </w:rPr>
        <w:t xml:space="preserve"> </w:t>
      </w:r>
    </w:p>
    <w:p w:rsidR="006F1283" w:rsidRPr="00A97DD4" w:rsidRDefault="006F1283" w:rsidP="006F128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Pourvoi </w:t>
      </w:r>
      <w:r w:rsidRPr="00A97DD4">
        <w:rPr>
          <w:rFonts w:asciiTheme="majorBidi" w:hAnsiTheme="majorBidi" w:cstheme="majorBidi"/>
          <w:sz w:val="24"/>
          <w:szCs w:val="24"/>
        </w:rPr>
        <w:t>rejeté.</w:t>
      </w:r>
      <w:r>
        <w:rPr>
          <w:rFonts w:asciiTheme="majorBidi" w:hAnsiTheme="majorBidi" w:cstheme="majorBidi"/>
          <w:sz w:val="24"/>
          <w:szCs w:val="24"/>
        </w:rPr>
        <w:t xml:space="preserve">  Confirmation de culpabilité relative au chef d’accusation de possession de pornographie juvénile. Confirmation de l’ordonnance de la cour d’appel pour la tenue d’un deuxième procès quant au chef d’accusation de « rendre accessible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F15C75" w:rsidRDefault="00F15C75"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lastRenderedPageBreak/>
        <w:t>6. Les motifs:</w:t>
      </w:r>
    </w:p>
    <w:p w:rsidR="0030041C" w:rsidRDefault="0030041C" w:rsidP="0030041C">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Le juge Cromwell</w:t>
      </w:r>
      <w:r w:rsidR="008B36CE">
        <w:rPr>
          <w:rFonts w:asciiTheme="majorBidi" w:hAnsiTheme="majorBidi" w:cstheme="majorBidi"/>
          <w:sz w:val="24"/>
          <w:szCs w:val="24"/>
        </w:rPr>
        <w:t xml:space="preserve">, s’exprimant pour la majorité, a commencé par </w:t>
      </w:r>
      <w:r>
        <w:rPr>
          <w:rFonts w:asciiTheme="majorBidi" w:hAnsiTheme="majorBidi" w:cstheme="majorBidi"/>
          <w:sz w:val="24"/>
          <w:szCs w:val="24"/>
        </w:rPr>
        <w:t>reconnaître que l’action menée par la police représentait bel et bien une fo</w:t>
      </w:r>
      <w:r w:rsidR="00A02206">
        <w:rPr>
          <w:rFonts w:asciiTheme="majorBidi" w:hAnsiTheme="majorBidi" w:cstheme="majorBidi"/>
          <w:sz w:val="24"/>
          <w:szCs w:val="24"/>
        </w:rPr>
        <w:t>uille ou une perquisition. (</w:t>
      </w:r>
      <w:r>
        <w:rPr>
          <w:rFonts w:asciiTheme="majorBidi" w:hAnsiTheme="majorBidi" w:cstheme="majorBidi"/>
          <w:sz w:val="24"/>
          <w:szCs w:val="24"/>
        </w:rPr>
        <w:t>par. 6)</w:t>
      </w:r>
    </w:p>
    <w:p w:rsidR="0030041C" w:rsidRDefault="0030041C" w:rsidP="0030041C">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Le juge s’est ensuite attelé à définir l’objet de cette fouille ou perquisiti</w:t>
      </w:r>
      <w:r w:rsidR="00A02206">
        <w:rPr>
          <w:rFonts w:asciiTheme="majorBidi" w:hAnsiTheme="majorBidi" w:cstheme="majorBidi"/>
          <w:sz w:val="24"/>
          <w:szCs w:val="24"/>
        </w:rPr>
        <w:t xml:space="preserve">on. En se référant aux arrêts </w:t>
      </w:r>
      <w:r w:rsidR="00A02206">
        <w:rPr>
          <w:rFonts w:asciiTheme="majorBidi" w:hAnsiTheme="majorBidi" w:cstheme="majorBidi"/>
          <w:i/>
          <w:iCs/>
          <w:sz w:val="24"/>
          <w:szCs w:val="24"/>
        </w:rPr>
        <w:t>Trapp</w:t>
      </w:r>
      <w:r w:rsidR="00A02206">
        <w:rPr>
          <w:rFonts w:asciiTheme="majorBidi" w:hAnsiTheme="majorBidi" w:cstheme="majorBidi"/>
          <w:sz w:val="24"/>
          <w:szCs w:val="24"/>
        </w:rPr>
        <w:t xml:space="preserve">, </w:t>
      </w:r>
      <w:r w:rsidR="00A02206">
        <w:rPr>
          <w:rFonts w:asciiTheme="majorBidi" w:hAnsiTheme="majorBidi" w:cstheme="majorBidi"/>
          <w:i/>
          <w:iCs/>
          <w:sz w:val="24"/>
          <w:szCs w:val="24"/>
        </w:rPr>
        <w:t>Plant</w:t>
      </w:r>
      <w:r w:rsidR="00A02206">
        <w:rPr>
          <w:rFonts w:asciiTheme="majorBidi" w:hAnsiTheme="majorBidi" w:cstheme="majorBidi"/>
          <w:sz w:val="24"/>
          <w:szCs w:val="24"/>
        </w:rPr>
        <w:t xml:space="preserve">, </w:t>
      </w:r>
      <w:r w:rsidR="00A02206">
        <w:rPr>
          <w:rFonts w:asciiTheme="majorBidi" w:hAnsiTheme="majorBidi" w:cstheme="majorBidi"/>
          <w:i/>
          <w:iCs/>
          <w:sz w:val="24"/>
          <w:szCs w:val="24"/>
        </w:rPr>
        <w:t>tessling</w:t>
      </w:r>
      <w:r w:rsidR="00A02206">
        <w:rPr>
          <w:rFonts w:asciiTheme="majorBidi" w:hAnsiTheme="majorBidi" w:cstheme="majorBidi"/>
          <w:sz w:val="24"/>
          <w:szCs w:val="24"/>
        </w:rPr>
        <w:t>,</w:t>
      </w:r>
      <w:r w:rsidR="00890AAB">
        <w:rPr>
          <w:rFonts w:asciiTheme="majorBidi" w:hAnsiTheme="majorBidi" w:cstheme="majorBidi"/>
          <w:sz w:val="24"/>
          <w:szCs w:val="24"/>
        </w:rPr>
        <w:t xml:space="preserve"> </w:t>
      </w:r>
      <w:r w:rsidR="00A02206">
        <w:rPr>
          <w:rFonts w:asciiTheme="majorBidi" w:hAnsiTheme="majorBidi" w:cstheme="majorBidi"/>
          <w:i/>
          <w:iCs/>
          <w:sz w:val="24"/>
          <w:szCs w:val="24"/>
        </w:rPr>
        <w:t>Kang-Brown</w:t>
      </w:r>
      <w:r w:rsidR="00594C83">
        <w:rPr>
          <w:rFonts w:asciiTheme="majorBidi" w:hAnsiTheme="majorBidi" w:cstheme="majorBidi"/>
          <w:sz w:val="24"/>
          <w:szCs w:val="24"/>
        </w:rPr>
        <w:t xml:space="preserve"> </w:t>
      </w:r>
      <w:r w:rsidR="00890AAB">
        <w:rPr>
          <w:rFonts w:asciiTheme="majorBidi" w:hAnsiTheme="majorBidi" w:cstheme="majorBidi"/>
          <w:sz w:val="24"/>
          <w:szCs w:val="24"/>
        </w:rPr>
        <w:t xml:space="preserve">et </w:t>
      </w:r>
      <w:r w:rsidR="00890AAB">
        <w:rPr>
          <w:rFonts w:asciiTheme="majorBidi" w:hAnsiTheme="majorBidi" w:cstheme="majorBidi"/>
          <w:i/>
          <w:iCs/>
          <w:sz w:val="24"/>
          <w:szCs w:val="24"/>
        </w:rPr>
        <w:t>Gomboc</w:t>
      </w:r>
      <w:r w:rsidR="00A02206">
        <w:rPr>
          <w:rFonts w:asciiTheme="majorBidi" w:hAnsiTheme="majorBidi" w:cstheme="majorBidi"/>
          <w:sz w:val="24"/>
          <w:szCs w:val="24"/>
        </w:rPr>
        <w:t xml:space="preserve"> il est d’avis qu’on ne saurait circonscrire l’objet de la fouille aux seuls nom et adresse d’un abonné. </w:t>
      </w:r>
      <w:r w:rsidR="00890AAB">
        <w:rPr>
          <w:rFonts w:asciiTheme="majorBidi" w:hAnsiTheme="majorBidi" w:cstheme="majorBidi"/>
          <w:sz w:val="24"/>
          <w:szCs w:val="24"/>
        </w:rPr>
        <w:t>Selon lui, i</w:t>
      </w:r>
      <w:r w:rsidR="00A02206">
        <w:rPr>
          <w:rFonts w:asciiTheme="majorBidi" w:hAnsiTheme="majorBidi" w:cstheme="majorBidi"/>
          <w:sz w:val="24"/>
          <w:szCs w:val="24"/>
        </w:rPr>
        <w:t>l faut également tenir compte de la « </w:t>
      </w:r>
      <w:r w:rsidR="00A02206" w:rsidRPr="00A02206">
        <w:rPr>
          <w:rFonts w:asciiTheme="majorBidi" w:hAnsiTheme="majorBidi" w:cstheme="majorBidi"/>
          <w:color w:val="000000"/>
        </w:rPr>
        <w:t>possibilité que ces renseignements révèlent des détails intimes sur le mode de vie et les choix personnels de l’individu</w:t>
      </w:r>
      <w:r w:rsidR="00A02206">
        <w:rPr>
          <w:rFonts w:asciiTheme="majorBidi" w:hAnsiTheme="majorBidi" w:cstheme="majorBidi"/>
          <w:color w:val="000000"/>
        </w:rPr>
        <w:t xml:space="preserve"> (…)</w:t>
      </w:r>
      <w:r w:rsidR="00A02206">
        <w:rPr>
          <w:color w:val="000000"/>
          <w:sz w:val="18"/>
          <w:szCs w:val="18"/>
        </w:rPr>
        <w:t> </w:t>
      </w:r>
      <w:r w:rsidR="00A02206">
        <w:rPr>
          <w:rFonts w:asciiTheme="majorBidi" w:hAnsiTheme="majorBidi" w:cstheme="majorBidi"/>
          <w:sz w:val="24"/>
          <w:szCs w:val="24"/>
        </w:rPr>
        <w:t>»</w:t>
      </w:r>
      <w:r w:rsidR="00890AAB">
        <w:rPr>
          <w:rFonts w:asciiTheme="majorBidi" w:hAnsiTheme="majorBidi" w:cstheme="majorBidi"/>
          <w:sz w:val="24"/>
          <w:szCs w:val="24"/>
        </w:rPr>
        <w:t xml:space="preserve"> (par. 25)</w:t>
      </w:r>
    </w:p>
    <w:p w:rsidR="00890AAB" w:rsidRDefault="00890AAB" w:rsidP="0030041C">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Selon le juge, le cadre d’analyse à adopter pour la détermination de l’objet d’une fouille ou perquisition est celui proposé par la </w:t>
      </w:r>
      <w:r w:rsidR="003D7B06">
        <w:rPr>
          <w:rFonts w:asciiTheme="majorBidi" w:hAnsiTheme="majorBidi" w:cstheme="majorBidi"/>
          <w:sz w:val="24"/>
          <w:szCs w:val="24"/>
        </w:rPr>
        <w:t xml:space="preserve">Cour dans les arrêts </w:t>
      </w:r>
      <w:r w:rsidR="003D7B06">
        <w:rPr>
          <w:rFonts w:asciiTheme="majorBidi" w:hAnsiTheme="majorBidi" w:cstheme="majorBidi"/>
          <w:i/>
          <w:iCs/>
          <w:sz w:val="24"/>
          <w:szCs w:val="24"/>
        </w:rPr>
        <w:t xml:space="preserve">Gomboc </w:t>
      </w:r>
      <w:r w:rsidR="003D7B06">
        <w:rPr>
          <w:rFonts w:asciiTheme="majorBidi" w:hAnsiTheme="majorBidi" w:cstheme="majorBidi"/>
          <w:sz w:val="24"/>
          <w:szCs w:val="24"/>
        </w:rPr>
        <w:t xml:space="preserve">et </w:t>
      </w:r>
      <w:r w:rsidR="003D7B06">
        <w:rPr>
          <w:rFonts w:asciiTheme="majorBidi" w:hAnsiTheme="majorBidi" w:cstheme="majorBidi"/>
          <w:i/>
          <w:iCs/>
          <w:sz w:val="24"/>
          <w:szCs w:val="24"/>
        </w:rPr>
        <w:t>Ward</w:t>
      </w:r>
      <w:r w:rsidR="003D7B06">
        <w:rPr>
          <w:rFonts w:asciiTheme="majorBidi" w:hAnsiTheme="majorBidi" w:cstheme="majorBidi"/>
          <w:sz w:val="24"/>
          <w:szCs w:val="24"/>
        </w:rPr>
        <w:t xml:space="preserve">, à savoir qu’il faut tenir </w:t>
      </w:r>
      <w:r w:rsidR="0056133F">
        <w:rPr>
          <w:rFonts w:asciiTheme="majorBidi" w:hAnsiTheme="majorBidi" w:cstheme="majorBidi"/>
          <w:sz w:val="24"/>
          <w:szCs w:val="24"/>
        </w:rPr>
        <w:t xml:space="preserve">compte </w:t>
      </w:r>
      <w:r w:rsidR="003D7B06">
        <w:rPr>
          <w:rFonts w:asciiTheme="majorBidi" w:hAnsiTheme="majorBidi" w:cstheme="majorBidi"/>
          <w:sz w:val="24"/>
          <w:szCs w:val="24"/>
        </w:rPr>
        <w:t xml:space="preserve">des </w:t>
      </w:r>
      <w:r w:rsidR="00594C83">
        <w:rPr>
          <w:rFonts w:asciiTheme="majorBidi" w:hAnsiTheme="majorBidi" w:cstheme="majorBidi"/>
          <w:sz w:val="24"/>
          <w:szCs w:val="24"/>
        </w:rPr>
        <w:t>« </w:t>
      </w:r>
      <w:r w:rsidR="003D7B06">
        <w:rPr>
          <w:rFonts w:asciiTheme="majorBidi" w:hAnsiTheme="majorBidi" w:cstheme="majorBidi"/>
          <w:sz w:val="24"/>
          <w:szCs w:val="24"/>
        </w:rPr>
        <w:t>inférences</w:t>
      </w:r>
      <w:r w:rsidR="00594C83">
        <w:rPr>
          <w:rFonts w:asciiTheme="majorBidi" w:hAnsiTheme="majorBidi" w:cstheme="majorBidi"/>
          <w:sz w:val="24"/>
          <w:szCs w:val="24"/>
        </w:rPr>
        <w:t> »</w:t>
      </w:r>
      <w:r w:rsidR="003D7B06">
        <w:rPr>
          <w:rFonts w:asciiTheme="majorBidi" w:hAnsiTheme="majorBidi" w:cstheme="majorBidi"/>
          <w:sz w:val="24"/>
          <w:szCs w:val="24"/>
        </w:rPr>
        <w:t xml:space="preserve"> au sujet d’autres renseignements privés </w:t>
      </w:r>
      <w:r w:rsidR="00594C83">
        <w:rPr>
          <w:rFonts w:asciiTheme="majorBidi" w:hAnsiTheme="majorBidi" w:cstheme="majorBidi"/>
          <w:sz w:val="24"/>
          <w:szCs w:val="24"/>
        </w:rPr>
        <w:t xml:space="preserve">que l’on peut tirer à partir </w:t>
      </w:r>
      <w:r w:rsidR="003D7B06">
        <w:rPr>
          <w:rFonts w:asciiTheme="majorBidi" w:hAnsiTheme="majorBidi" w:cstheme="majorBidi"/>
          <w:sz w:val="24"/>
          <w:szCs w:val="24"/>
        </w:rPr>
        <w:t>d’autres renseignements. En l’espèce, il s’est agi de renseignements relatifs à une abonnée qui ont mené à d’autres renseignements plus personnels. Et le juge Cromwell de conclure que :</w:t>
      </w:r>
    </w:p>
    <w:p w:rsidR="003D7B06" w:rsidRDefault="003D7B06" w:rsidP="003E7BAF">
      <w:pPr>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w:t>
      </w:r>
      <w:r w:rsidR="00BC0F18">
        <w:rPr>
          <w:rFonts w:asciiTheme="majorBidi" w:hAnsiTheme="majorBidi" w:cstheme="majorBidi"/>
          <w:sz w:val="24"/>
          <w:szCs w:val="24"/>
        </w:rPr>
        <w:t xml:space="preserve"> </w:t>
      </w:r>
      <w:r w:rsidR="003E7BAF" w:rsidRPr="003E7BAF">
        <w:rPr>
          <w:rFonts w:asciiTheme="majorBidi" w:hAnsiTheme="majorBidi" w:cstheme="majorBidi"/>
          <w:color w:val="000000"/>
        </w:rPr>
        <w:t xml:space="preserve">La fouille n’avait pas simplement pour objet le nom et l’adresse d’une personne qui était liée par contrat à Shaw. Il s’agissait plutôt de l’identité d’une abonnée aux services Internet </w:t>
      </w:r>
      <w:r w:rsidR="003E7BAF" w:rsidRPr="003E7BAF">
        <w:rPr>
          <w:rFonts w:asciiTheme="majorBidi" w:hAnsiTheme="majorBidi" w:cstheme="majorBidi"/>
          <w:i/>
          <w:iCs/>
          <w:color w:val="000000"/>
        </w:rPr>
        <w:t>à qui correspondait</w:t>
      </w:r>
      <w:r w:rsidR="003E7BAF" w:rsidRPr="003E7BAF">
        <w:rPr>
          <w:rFonts w:asciiTheme="majorBidi" w:hAnsiTheme="majorBidi" w:cstheme="majorBidi"/>
          <w:color w:val="000000"/>
        </w:rPr>
        <w:t xml:space="preserve"> </w:t>
      </w:r>
      <w:r w:rsidR="003E7BAF" w:rsidRPr="003E7BAF">
        <w:rPr>
          <w:rFonts w:asciiTheme="majorBidi" w:hAnsiTheme="majorBidi" w:cstheme="majorBidi"/>
          <w:i/>
          <w:iCs/>
          <w:color w:val="000000"/>
        </w:rPr>
        <w:t>une utilisation particulière de ces services</w:t>
      </w:r>
      <w:r w:rsidR="003E7BAF">
        <w:rPr>
          <w:rFonts w:asciiTheme="majorBidi" w:hAnsiTheme="majorBidi" w:cstheme="majorBidi"/>
          <w:sz w:val="24"/>
          <w:szCs w:val="24"/>
        </w:rPr>
        <w:t xml:space="preserve">. </w:t>
      </w:r>
      <w:r>
        <w:rPr>
          <w:rFonts w:asciiTheme="majorBidi" w:hAnsiTheme="majorBidi" w:cstheme="majorBidi"/>
          <w:sz w:val="24"/>
          <w:szCs w:val="24"/>
        </w:rPr>
        <w:t>»</w:t>
      </w:r>
      <w:r w:rsidR="003E7BAF">
        <w:rPr>
          <w:rFonts w:asciiTheme="majorBidi" w:hAnsiTheme="majorBidi" w:cstheme="majorBidi"/>
          <w:sz w:val="24"/>
          <w:szCs w:val="24"/>
        </w:rPr>
        <w:t xml:space="preserve"> (par. 32 ; C’est moi qui souligne)</w:t>
      </w:r>
    </w:p>
    <w:p w:rsidR="003D7B06" w:rsidRDefault="003D7B06" w:rsidP="0030041C">
      <w:pPr>
        <w:autoSpaceDE w:val="0"/>
        <w:autoSpaceDN w:val="0"/>
        <w:adjustRightInd w:val="0"/>
        <w:spacing w:after="0" w:line="360" w:lineRule="auto"/>
        <w:jc w:val="both"/>
        <w:rPr>
          <w:rFonts w:asciiTheme="majorBidi" w:hAnsiTheme="majorBidi" w:cstheme="majorBidi"/>
          <w:sz w:val="24"/>
          <w:szCs w:val="24"/>
        </w:rPr>
      </w:pPr>
    </w:p>
    <w:p w:rsidR="003D7B06" w:rsidRDefault="00751AC7" w:rsidP="00751AC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Compte tenu de l’objet de la fouille, le juge Cromwell se propose</w:t>
      </w:r>
      <w:r w:rsidR="00BC0F18">
        <w:rPr>
          <w:rFonts w:asciiTheme="majorBidi" w:hAnsiTheme="majorBidi" w:cstheme="majorBidi"/>
          <w:sz w:val="24"/>
          <w:szCs w:val="24"/>
        </w:rPr>
        <w:t xml:space="preserve"> ensuite</w:t>
      </w:r>
      <w:r>
        <w:rPr>
          <w:rFonts w:asciiTheme="majorBidi" w:hAnsiTheme="majorBidi" w:cstheme="majorBidi"/>
          <w:sz w:val="24"/>
          <w:szCs w:val="24"/>
        </w:rPr>
        <w:t xml:space="preserve"> de déterminer s’il y a attente raisonnable en matière de respect de la vie privée. Pour y arriver, il commence d’abord par élargir l’interprétation du droit à </w:t>
      </w:r>
      <w:r w:rsidR="000C69E7">
        <w:rPr>
          <w:rFonts w:asciiTheme="majorBidi" w:hAnsiTheme="majorBidi" w:cstheme="majorBidi"/>
          <w:sz w:val="24"/>
          <w:szCs w:val="24"/>
        </w:rPr>
        <w:t xml:space="preserve">la </w:t>
      </w:r>
      <w:r>
        <w:rPr>
          <w:rFonts w:asciiTheme="majorBidi" w:hAnsiTheme="majorBidi" w:cstheme="majorBidi"/>
          <w:sz w:val="24"/>
          <w:szCs w:val="24"/>
        </w:rPr>
        <w:t>vie privée pour y inclure la confidentialité, le contrôle, et surtout l’anonymat, point sur lequel il insiste vu le rôle que cette facette du droit privé joue dans « </w:t>
      </w:r>
      <w:r w:rsidRPr="00751AC7">
        <w:rPr>
          <w:rFonts w:asciiTheme="majorBidi" w:hAnsiTheme="majorBidi" w:cstheme="majorBidi"/>
        </w:rPr>
        <w:t>la protection des droits en matière de vie privé sur Internet</w:t>
      </w:r>
      <w:r>
        <w:rPr>
          <w:rFonts w:asciiTheme="majorBidi" w:hAnsiTheme="majorBidi" w:cstheme="majorBidi"/>
          <w:sz w:val="24"/>
          <w:szCs w:val="24"/>
        </w:rPr>
        <w:t xml:space="preserve">. » (par. 34) </w:t>
      </w:r>
    </w:p>
    <w:p w:rsidR="000C69E7" w:rsidRDefault="00BE54BA" w:rsidP="00BE54BA">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Selon le juge, l’élément « anonymat » fait intervenir l’aspect informationnel du d</w:t>
      </w:r>
      <w:r w:rsidR="000C69E7">
        <w:rPr>
          <w:rFonts w:asciiTheme="majorBidi" w:hAnsiTheme="majorBidi" w:cstheme="majorBidi"/>
          <w:sz w:val="24"/>
          <w:szCs w:val="24"/>
        </w:rPr>
        <w:t>r</w:t>
      </w:r>
      <w:r>
        <w:rPr>
          <w:rFonts w:asciiTheme="majorBidi" w:hAnsiTheme="majorBidi" w:cstheme="majorBidi"/>
          <w:sz w:val="24"/>
          <w:szCs w:val="24"/>
        </w:rPr>
        <w:t xml:space="preserve">oit à la vie privée, et de ce fait devrait tomber sous la protection de l’article 8 de la Charte, </w:t>
      </w:r>
      <w:r w:rsidR="002E1C4D">
        <w:rPr>
          <w:rFonts w:asciiTheme="majorBidi" w:hAnsiTheme="majorBidi" w:cstheme="majorBidi"/>
          <w:sz w:val="24"/>
          <w:szCs w:val="24"/>
        </w:rPr>
        <w:t>re</w:t>
      </w:r>
      <w:r>
        <w:rPr>
          <w:rFonts w:asciiTheme="majorBidi" w:hAnsiTheme="majorBidi" w:cstheme="majorBidi"/>
          <w:sz w:val="24"/>
          <w:szCs w:val="24"/>
        </w:rPr>
        <w:t xml:space="preserve">joignant en cela l’avis du juge Doherty dans l’arrêt </w:t>
      </w:r>
      <w:r>
        <w:rPr>
          <w:rFonts w:asciiTheme="majorBidi" w:hAnsiTheme="majorBidi" w:cstheme="majorBidi"/>
          <w:i/>
          <w:iCs/>
          <w:sz w:val="24"/>
          <w:szCs w:val="24"/>
        </w:rPr>
        <w:t>Ward</w:t>
      </w:r>
      <w:r>
        <w:rPr>
          <w:rFonts w:asciiTheme="majorBidi" w:hAnsiTheme="majorBidi" w:cstheme="majorBidi"/>
          <w:sz w:val="24"/>
          <w:szCs w:val="24"/>
        </w:rPr>
        <w:t xml:space="preserve">. (par. 48) </w:t>
      </w:r>
    </w:p>
    <w:p w:rsidR="008B36CE" w:rsidRDefault="00BE54BA" w:rsidP="000C69E7">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Appliquant ce raisonnement au présent pourvoi, il estime que la demande faite par la police auprès de Shaw pour l’obtention des renseignements r</w:t>
      </w:r>
      <w:r w:rsidR="00C411E6">
        <w:rPr>
          <w:rFonts w:asciiTheme="majorBidi" w:hAnsiTheme="majorBidi" w:cstheme="majorBidi"/>
          <w:sz w:val="24"/>
          <w:szCs w:val="24"/>
        </w:rPr>
        <w:t>elatifs à l’abonnée «</w:t>
      </w:r>
      <w:r w:rsidR="00C411E6" w:rsidRPr="00C411E6">
        <w:rPr>
          <w:rFonts w:asciiTheme="majorBidi" w:hAnsiTheme="majorBidi" w:cstheme="majorBidi"/>
          <w:color w:val="000000"/>
        </w:rPr>
        <w:t xml:space="preserve">porte sur </w:t>
      </w:r>
      <w:r w:rsidR="00C411E6" w:rsidRPr="00C411E6">
        <w:rPr>
          <w:rFonts w:asciiTheme="majorBidi" w:hAnsiTheme="majorBidi" w:cstheme="majorBidi"/>
          <w:i/>
          <w:iCs/>
          <w:color w:val="000000"/>
        </w:rPr>
        <w:t>l’aspect informationnel du droit à la vie privée</w:t>
      </w:r>
      <w:r w:rsidR="00C411E6" w:rsidRPr="00C411E6">
        <w:rPr>
          <w:rFonts w:asciiTheme="majorBidi" w:hAnsiTheme="majorBidi" w:cstheme="majorBidi"/>
          <w:color w:val="000000"/>
        </w:rPr>
        <w:t xml:space="preserve"> relatif à l’anonymat en cherchant à établir un lien entre le suspect et des activités entreprises en ligne, sous le couvert de l’anonymat, activités qui, comme la Cour l’a reconnu dans d’autres circonstances, </w:t>
      </w:r>
      <w:r w:rsidR="00C411E6" w:rsidRPr="00C411E6">
        <w:rPr>
          <w:rFonts w:asciiTheme="majorBidi" w:hAnsiTheme="majorBidi" w:cstheme="majorBidi"/>
          <w:i/>
          <w:iCs/>
          <w:color w:val="000000"/>
        </w:rPr>
        <w:t xml:space="preserve">mettent en jeu d’importants droits en matière de vie privée </w:t>
      </w:r>
      <w:r w:rsidR="00C411E6">
        <w:rPr>
          <w:rFonts w:asciiTheme="majorBidi" w:hAnsiTheme="majorBidi" w:cstheme="majorBidi"/>
          <w:color w:val="000000"/>
        </w:rPr>
        <w:t>(…)</w:t>
      </w:r>
      <w:r w:rsidR="00C411E6">
        <w:rPr>
          <w:color w:val="000000"/>
          <w:sz w:val="18"/>
          <w:szCs w:val="18"/>
        </w:rPr>
        <w:t> </w:t>
      </w:r>
      <w:r>
        <w:rPr>
          <w:rFonts w:asciiTheme="majorBidi" w:hAnsiTheme="majorBidi" w:cstheme="majorBidi"/>
          <w:sz w:val="24"/>
          <w:szCs w:val="24"/>
        </w:rPr>
        <w:t>»</w:t>
      </w:r>
      <w:r w:rsidR="00C411E6">
        <w:rPr>
          <w:rFonts w:asciiTheme="majorBidi" w:hAnsiTheme="majorBidi" w:cstheme="majorBidi"/>
          <w:sz w:val="24"/>
          <w:szCs w:val="24"/>
        </w:rPr>
        <w:t xml:space="preserve"> (par. 50 ; c’est moi qui souligne)</w:t>
      </w:r>
    </w:p>
    <w:p w:rsidR="002E1C4D" w:rsidRDefault="00861D2F" w:rsidP="00594C8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Passant en revue les dispositions du contrat liant Shaw à ses abonnés, le juge </w:t>
      </w:r>
      <w:r w:rsidR="000C69E7">
        <w:rPr>
          <w:rFonts w:asciiTheme="majorBidi" w:hAnsiTheme="majorBidi" w:cstheme="majorBidi"/>
          <w:sz w:val="24"/>
          <w:szCs w:val="24"/>
        </w:rPr>
        <w:t>Cromwell</w:t>
      </w:r>
      <w:r>
        <w:rPr>
          <w:rFonts w:asciiTheme="majorBidi" w:hAnsiTheme="majorBidi" w:cstheme="majorBidi"/>
          <w:sz w:val="24"/>
          <w:szCs w:val="24"/>
        </w:rPr>
        <w:t xml:space="preserve"> conclut à la nécessité de se référer plutôt au cadre législatif pour répondr</w:t>
      </w:r>
      <w:r w:rsidR="002E1C4D">
        <w:rPr>
          <w:rFonts w:asciiTheme="majorBidi" w:hAnsiTheme="majorBidi" w:cstheme="majorBidi"/>
          <w:sz w:val="24"/>
          <w:szCs w:val="24"/>
        </w:rPr>
        <w:t xml:space="preserve">e à </w:t>
      </w:r>
      <w:r w:rsidR="00594C83">
        <w:rPr>
          <w:rFonts w:asciiTheme="majorBidi" w:hAnsiTheme="majorBidi" w:cstheme="majorBidi"/>
          <w:sz w:val="24"/>
          <w:szCs w:val="24"/>
        </w:rPr>
        <w:t>la</w:t>
      </w:r>
      <w:r w:rsidR="002E1C4D">
        <w:rPr>
          <w:rFonts w:asciiTheme="majorBidi" w:hAnsiTheme="majorBidi" w:cstheme="majorBidi"/>
          <w:sz w:val="24"/>
          <w:szCs w:val="24"/>
        </w:rPr>
        <w:t xml:space="preserve"> question</w:t>
      </w:r>
      <w:r w:rsidR="00594C83">
        <w:rPr>
          <w:rFonts w:asciiTheme="majorBidi" w:hAnsiTheme="majorBidi" w:cstheme="majorBidi"/>
          <w:sz w:val="24"/>
          <w:szCs w:val="24"/>
        </w:rPr>
        <w:t xml:space="preserve"> de l’attente raisonnable</w:t>
      </w:r>
      <w:r w:rsidR="002E1C4D">
        <w:rPr>
          <w:rFonts w:asciiTheme="majorBidi" w:hAnsiTheme="majorBidi" w:cstheme="majorBidi"/>
          <w:sz w:val="24"/>
          <w:szCs w:val="24"/>
        </w:rPr>
        <w:t>, arguant que :</w:t>
      </w:r>
    </w:p>
    <w:p w:rsidR="00C314E9" w:rsidRDefault="00861D2F" w:rsidP="002E1C4D">
      <w:pPr>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w:t>
      </w:r>
      <w:r>
        <w:rPr>
          <w:color w:val="000000"/>
          <w:sz w:val="18"/>
          <w:szCs w:val="18"/>
        </w:rPr>
        <w:t> </w:t>
      </w:r>
      <w:r w:rsidRPr="002E1C4D">
        <w:rPr>
          <w:rFonts w:asciiTheme="majorBidi" w:hAnsiTheme="majorBidi" w:cstheme="majorBidi"/>
          <w:color w:val="000000"/>
        </w:rPr>
        <w:t>Les dispositions du contrat, lues conjointement, sont équivoques et prêtent à confusion quant à leurs conséquences sur l’attente raisonnable de l’utilisateur en matière de vie privée relativement aux demandes de la police visant à obtenir des renseignements relatifs à l’abonné</w:t>
      </w:r>
      <w:r>
        <w:rPr>
          <w:color w:val="000000"/>
          <w:sz w:val="18"/>
          <w:szCs w:val="18"/>
        </w:rPr>
        <w:t>. </w:t>
      </w:r>
      <w:r>
        <w:rPr>
          <w:rFonts w:asciiTheme="majorBidi" w:hAnsiTheme="majorBidi" w:cstheme="majorBidi"/>
          <w:sz w:val="24"/>
          <w:szCs w:val="24"/>
        </w:rPr>
        <w:t xml:space="preserve"> » </w:t>
      </w:r>
      <w:r w:rsidR="002E1C4D">
        <w:rPr>
          <w:rFonts w:asciiTheme="majorBidi" w:hAnsiTheme="majorBidi" w:cstheme="majorBidi"/>
          <w:sz w:val="24"/>
          <w:szCs w:val="24"/>
        </w:rPr>
        <w:t>(</w:t>
      </w:r>
      <w:r>
        <w:rPr>
          <w:rFonts w:asciiTheme="majorBidi" w:hAnsiTheme="majorBidi" w:cstheme="majorBidi"/>
          <w:sz w:val="24"/>
          <w:szCs w:val="24"/>
        </w:rPr>
        <w:t>par. 60</w:t>
      </w:r>
      <w:r w:rsidR="002E1C4D">
        <w:rPr>
          <w:rFonts w:asciiTheme="majorBidi" w:hAnsiTheme="majorBidi" w:cstheme="majorBidi"/>
          <w:sz w:val="24"/>
          <w:szCs w:val="24"/>
        </w:rPr>
        <w:t>)</w:t>
      </w:r>
    </w:p>
    <w:p w:rsidR="002E1C4D" w:rsidRDefault="00AE74DB" w:rsidP="00AE74DB">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Les </w:t>
      </w:r>
      <w:r w:rsidR="002E1C4D">
        <w:rPr>
          <w:rFonts w:asciiTheme="majorBidi" w:hAnsiTheme="majorBidi" w:cstheme="majorBidi"/>
          <w:sz w:val="24"/>
          <w:szCs w:val="24"/>
        </w:rPr>
        <w:t xml:space="preserve">dispositions de la LPRPDE, notamment à l’article 7, </w:t>
      </w:r>
      <w:r>
        <w:rPr>
          <w:rFonts w:asciiTheme="majorBidi" w:hAnsiTheme="majorBidi" w:cstheme="majorBidi"/>
          <w:sz w:val="24"/>
          <w:szCs w:val="24"/>
        </w:rPr>
        <w:t>ne sont pas très utiles non plus, selon le juge,</w:t>
      </w:r>
      <w:r w:rsidR="002E1C4D">
        <w:rPr>
          <w:rFonts w:asciiTheme="majorBidi" w:hAnsiTheme="majorBidi" w:cstheme="majorBidi"/>
          <w:sz w:val="24"/>
          <w:szCs w:val="24"/>
        </w:rPr>
        <w:t xml:space="preserve"> </w:t>
      </w:r>
      <w:r>
        <w:rPr>
          <w:rFonts w:asciiTheme="majorBidi" w:hAnsiTheme="majorBidi" w:cstheme="majorBidi"/>
          <w:sz w:val="24"/>
          <w:szCs w:val="24"/>
        </w:rPr>
        <w:t xml:space="preserve">pour </w:t>
      </w:r>
      <w:r w:rsidR="002E1C4D">
        <w:rPr>
          <w:rFonts w:asciiTheme="majorBidi" w:hAnsiTheme="majorBidi" w:cstheme="majorBidi"/>
          <w:sz w:val="24"/>
          <w:szCs w:val="24"/>
        </w:rPr>
        <w:t>déterminer s’il existe une attente raisonnable du droit à la vie privée. (p. 61)</w:t>
      </w:r>
    </w:p>
    <w:p w:rsidR="00AE74DB" w:rsidRDefault="00AE74DB" w:rsidP="00AE74DB">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Selon le sous-alinéa 7(3)</w:t>
      </w:r>
      <w:r>
        <w:rPr>
          <w:rFonts w:asciiTheme="majorBidi" w:hAnsiTheme="majorBidi" w:cstheme="majorBidi"/>
          <w:i/>
          <w:iCs/>
          <w:sz w:val="24"/>
          <w:szCs w:val="24"/>
        </w:rPr>
        <w:t>c</w:t>
      </w:r>
      <w:r>
        <w:rPr>
          <w:rFonts w:asciiTheme="majorBidi" w:hAnsiTheme="majorBidi" w:cstheme="majorBidi"/>
          <w:sz w:val="24"/>
          <w:szCs w:val="24"/>
        </w:rPr>
        <w:t>.1(ii) invoqué par la police, toute demande faite par une institution gouvernementale doit être étayée par une « source de l’autorité légitime » qui, elle-même, dépend de l’existence d’une attente raisonnable en matière de droit à la vie privée. (par. 62) Or, en l’espèce, la demande de la police auprès de Shaw n’était pas étayée par une « source de l’autorité légitime », la police ne détenant pas l’autorité pour obliger un FSI à se conformer à sa demande de renseignements.</w:t>
      </w:r>
    </w:p>
    <w:p w:rsidR="00AE74DB" w:rsidRDefault="00AE74DB" w:rsidP="00AE74DB">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Par conséquent, le juge Cromwell reconna</w:t>
      </w:r>
      <w:r w:rsidR="00572A96">
        <w:rPr>
          <w:rFonts w:asciiTheme="majorBidi" w:hAnsiTheme="majorBidi" w:cstheme="majorBidi"/>
          <w:sz w:val="24"/>
          <w:szCs w:val="24"/>
        </w:rPr>
        <w:t>î</w:t>
      </w:r>
      <w:r>
        <w:rPr>
          <w:rFonts w:asciiTheme="majorBidi" w:hAnsiTheme="majorBidi" w:cstheme="majorBidi"/>
          <w:sz w:val="24"/>
          <w:szCs w:val="24"/>
        </w:rPr>
        <w:t>t l’existence d’une attente raisonnable</w:t>
      </w:r>
      <w:r w:rsidR="00594C83">
        <w:rPr>
          <w:rFonts w:asciiTheme="majorBidi" w:hAnsiTheme="majorBidi" w:cstheme="majorBidi"/>
          <w:sz w:val="24"/>
          <w:szCs w:val="24"/>
        </w:rPr>
        <w:t xml:space="preserve"> en</w:t>
      </w:r>
      <w:r>
        <w:rPr>
          <w:rFonts w:asciiTheme="majorBidi" w:hAnsiTheme="majorBidi" w:cstheme="majorBidi"/>
          <w:sz w:val="24"/>
          <w:szCs w:val="24"/>
        </w:rPr>
        <w:t xml:space="preserve"> matière de d</w:t>
      </w:r>
      <w:r w:rsidR="00594C83">
        <w:rPr>
          <w:rFonts w:asciiTheme="majorBidi" w:hAnsiTheme="majorBidi" w:cstheme="majorBidi"/>
          <w:sz w:val="24"/>
          <w:szCs w:val="24"/>
        </w:rPr>
        <w:t>r</w:t>
      </w:r>
      <w:r>
        <w:rPr>
          <w:rFonts w:asciiTheme="majorBidi" w:hAnsiTheme="majorBidi" w:cstheme="majorBidi"/>
          <w:sz w:val="24"/>
          <w:szCs w:val="24"/>
        </w:rPr>
        <w:t>oit</w:t>
      </w:r>
      <w:r w:rsidR="00594C83">
        <w:rPr>
          <w:rFonts w:asciiTheme="majorBidi" w:hAnsiTheme="majorBidi" w:cstheme="majorBidi"/>
          <w:sz w:val="24"/>
          <w:szCs w:val="24"/>
        </w:rPr>
        <w:t xml:space="preserve"> à la</w:t>
      </w:r>
      <w:r>
        <w:rPr>
          <w:rFonts w:asciiTheme="majorBidi" w:hAnsiTheme="majorBidi" w:cstheme="majorBidi"/>
          <w:sz w:val="24"/>
          <w:szCs w:val="24"/>
        </w:rPr>
        <w:t xml:space="preserve"> privée dans cette affaire. (par. 66)</w:t>
      </w:r>
    </w:p>
    <w:p w:rsidR="009E383E" w:rsidRDefault="00572A96" w:rsidP="00C61B06">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Enfin, bien que le juge reconnaisse que la fouille </w:t>
      </w:r>
      <w:r w:rsidR="00C61B06">
        <w:rPr>
          <w:rFonts w:asciiTheme="majorBidi" w:hAnsiTheme="majorBidi" w:cstheme="majorBidi"/>
          <w:sz w:val="24"/>
          <w:szCs w:val="24"/>
        </w:rPr>
        <w:t>a été</w:t>
      </w:r>
      <w:r>
        <w:rPr>
          <w:rFonts w:asciiTheme="majorBidi" w:hAnsiTheme="majorBidi" w:cstheme="majorBidi"/>
          <w:sz w:val="24"/>
          <w:szCs w:val="24"/>
        </w:rPr>
        <w:t xml:space="preserve"> abusive, puisque elle a été effectuée sans mandat, il rejette néanmoins l’argument de M. Spencer selon lequel la preuve devrait être écartée. D’une part, le juge estime que les policiers avaient agi de bonne foi. (par. 77) D’autre part, au regard de la gravité des faits reprochés en l’espèce, l’exclusion de la preuve « serait susceptible de déconsidérer l’administration de la justice (…) » (par. 81)</w:t>
      </w:r>
    </w:p>
    <w:p w:rsidR="00C61B06" w:rsidRDefault="00C61B06" w:rsidP="00C61B06">
      <w:pPr>
        <w:autoSpaceDE w:val="0"/>
        <w:autoSpaceDN w:val="0"/>
        <w:adjustRightInd w:val="0"/>
        <w:spacing w:after="0" w:line="360" w:lineRule="auto"/>
        <w:ind w:firstLine="720"/>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PARTIE B: Le commentaire</w:t>
      </w:r>
    </w:p>
    <w:p w:rsidR="00201379" w:rsidRPr="00201379" w:rsidRDefault="00B510E2" w:rsidP="00201379">
      <w:pPr>
        <w:autoSpaceDE w:val="0"/>
        <w:autoSpaceDN w:val="0"/>
        <w:adjustRightInd w:val="0"/>
        <w:spacing w:after="0" w:line="360" w:lineRule="auto"/>
        <w:ind w:firstLine="720"/>
        <w:jc w:val="both"/>
        <w:rPr>
          <w:rFonts w:asciiTheme="majorBidi" w:hAnsiTheme="majorBidi" w:cstheme="majorBidi"/>
        </w:rPr>
      </w:pPr>
      <w:r>
        <w:rPr>
          <w:rFonts w:asciiTheme="majorBidi" w:hAnsiTheme="majorBidi" w:cstheme="majorBidi"/>
          <w:sz w:val="24"/>
          <w:szCs w:val="24"/>
        </w:rPr>
        <w:t>Le présent arrêt pose le problème épineux de la conciliation entre la protection de la vie privée et la lutte contre la cybercriminalité</w:t>
      </w:r>
      <w:r w:rsidR="00201379">
        <w:rPr>
          <w:rFonts w:asciiTheme="majorBidi" w:hAnsiTheme="majorBidi" w:cstheme="majorBidi"/>
          <w:sz w:val="24"/>
          <w:szCs w:val="24"/>
        </w:rPr>
        <w:t xml:space="preserve">,  </w:t>
      </w:r>
      <w:r w:rsidR="00201379" w:rsidRPr="00CC3247">
        <w:rPr>
          <w:rFonts w:asciiTheme="majorBidi" w:hAnsiTheme="majorBidi" w:cstheme="majorBidi"/>
          <w:sz w:val="24"/>
          <w:szCs w:val="24"/>
        </w:rPr>
        <w:t>la cybercriminalité étant définie</w:t>
      </w:r>
      <w:r w:rsidR="00201379">
        <w:rPr>
          <w:rFonts w:asciiTheme="majorBidi" w:hAnsiTheme="majorBidi" w:cstheme="majorBidi"/>
        </w:rPr>
        <w:t xml:space="preserve"> « </w:t>
      </w:r>
      <w:r w:rsidR="00201379" w:rsidRPr="00201379">
        <w:rPr>
          <w:rFonts w:asciiTheme="majorBidi" w:hAnsiTheme="majorBidi" w:cstheme="majorBidi"/>
        </w:rPr>
        <w:t>comme regroupant les infractions où l'ordinateur est l'outil du crime et les infractions où l'ordinateur est l'objet du crime</w:t>
      </w:r>
      <w:r w:rsidR="00CC3247">
        <w:rPr>
          <w:rFonts w:asciiTheme="majorBidi" w:hAnsiTheme="majorBidi" w:cstheme="majorBidi"/>
        </w:rPr>
        <w:t>.</w:t>
      </w:r>
      <w:r w:rsidR="00201379">
        <w:rPr>
          <w:rFonts w:asciiTheme="majorBidi" w:hAnsiTheme="majorBidi" w:cstheme="majorBidi"/>
        </w:rPr>
        <w:t xml:space="preserve"> » </w:t>
      </w:r>
      <w:r w:rsidR="00201379" w:rsidRPr="00CC3247">
        <w:rPr>
          <w:rFonts w:asciiTheme="majorBidi" w:hAnsiTheme="majorBidi" w:cstheme="majorBidi"/>
          <w:sz w:val="24"/>
          <w:szCs w:val="24"/>
        </w:rPr>
        <w:t>(Annie Emond et Laura Ellyson 2014 : 1)</w:t>
      </w:r>
    </w:p>
    <w:p w:rsidR="00D949C4" w:rsidRDefault="00467ECE" w:rsidP="00D949C4">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L’usage quasi-généralisé de l’Internet depuis les deux dernières décennies dans toutes les sphères de la vie publique et privée pose de nouveaux défis pour le législateur et les forces de l’application de la loi</w:t>
      </w:r>
      <w:r w:rsidR="00D949C4">
        <w:rPr>
          <w:rFonts w:asciiTheme="majorBidi" w:hAnsiTheme="majorBidi" w:cstheme="majorBidi"/>
          <w:sz w:val="24"/>
          <w:szCs w:val="24"/>
        </w:rPr>
        <w:t>, d’une part. D’autre part, l’utilisation d’Internet expose l’usager non-vigilant à des menaces variées qui vont du simple hameçonnage au vol d’identité.</w:t>
      </w:r>
    </w:p>
    <w:p w:rsidR="00467ECE" w:rsidRDefault="00201379" w:rsidP="00201379">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Permettre aux autorités d’application de la loi de veiller à la sécurité des citoyens</w:t>
      </w:r>
      <w:r w:rsidR="00682133">
        <w:rPr>
          <w:rFonts w:asciiTheme="majorBidi" w:hAnsiTheme="majorBidi" w:cstheme="majorBidi"/>
          <w:sz w:val="24"/>
          <w:szCs w:val="24"/>
        </w:rPr>
        <w:t xml:space="preserve"> en ligne</w:t>
      </w:r>
      <w:r>
        <w:rPr>
          <w:rFonts w:asciiTheme="majorBidi" w:hAnsiTheme="majorBidi" w:cstheme="majorBidi"/>
          <w:sz w:val="24"/>
          <w:szCs w:val="24"/>
        </w:rPr>
        <w:t xml:space="preserve"> tout en respectant leur droit à </w:t>
      </w:r>
      <w:r w:rsidR="00DE7172">
        <w:rPr>
          <w:rFonts w:asciiTheme="majorBidi" w:hAnsiTheme="majorBidi" w:cstheme="majorBidi"/>
          <w:sz w:val="24"/>
          <w:szCs w:val="24"/>
        </w:rPr>
        <w:t>une</w:t>
      </w:r>
      <w:r>
        <w:rPr>
          <w:rFonts w:asciiTheme="majorBidi" w:hAnsiTheme="majorBidi" w:cstheme="majorBidi"/>
          <w:sz w:val="24"/>
          <w:szCs w:val="24"/>
        </w:rPr>
        <w:t xml:space="preserve"> vie privée s’avère un exercice difficile. </w:t>
      </w:r>
      <w:r w:rsidR="00D949C4">
        <w:rPr>
          <w:rFonts w:asciiTheme="majorBidi" w:hAnsiTheme="majorBidi" w:cstheme="majorBidi"/>
          <w:sz w:val="24"/>
          <w:szCs w:val="24"/>
        </w:rPr>
        <w:t xml:space="preserve">D’ailleurs, le juge Cromwell n’a pas manqué de </w:t>
      </w:r>
      <w:r>
        <w:rPr>
          <w:rFonts w:asciiTheme="majorBidi" w:hAnsiTheme="majorBidi" w:cstheme="majorBidi"/>
          <w:sz w:val="24"/>
          <w:szCs w:val="24"/>
        </w:rPr>
        <w:t>rappeler</w:t>
      </w:r>
      <w:r w:rsidR="00D949C4">
        <w:rPr>
          <w:rFonts w:asciiTheme="majorBidi" w:hAnsiTheme="majorBidi" w:cstheme="majorBidi"/>
          <w:sz w:val="24"/>
          <w:szCs w:val="24"/>
        </w:rPr>
        <w:t xml:space="preserve"> les cra</w:t>
      </w:r>
      <w:r w:rsidR="00DE7172">
        <w:rPr>
          <w:rFonts w:asciiTheme="majorBidi" w:hAnsiTheme="majorBidi" w:cstheme="majorBidi"/>
          <w:sz w:val="24"/>
          <w:szCs w:val="24"/>
        </w:rPr>
        <w:t>intes que son jugement pourrai</w:t>
      </w:r>
      <w:r w:rsidR="00D949C4">
        <w:rPr>
          <w:rFonts w:asciiTheme="majorBidi" w:hAnsiTheme="majorBidi" w:cstheme="majorBidi"/>
          <w:sz w:val="24"/>
          <w:szCs w:val="24"/>
        </w:rPr>
        <w:t>t soulever pour les autorités d’applic</w:t>
      </w:r>
      <w:r>
        <w:rPr>
          <w:rFonts w:asciiTheme="majorBidi" w:hAnsiTheme="majorBidi" w:cstheme="majorBidi"/>
          <w:sz w:val="24"/>
          <w:szCs w:val="24"/>
        </w:rPr>
        <w:t>ation de la loi. (cf. par. 67)</w:t>
      </w:r>
    </w:p>
    <w:p w:rsidR="00467ECE" w:rsidRDefault="00201379" w:rsidP="00EC573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00682133">
        <w:rPr>
          <w:rFonts w:asciiTheme="majorBidi" w:hAnsiTheme="majorBidi" w:cstheme="majorBidi"/>
          <w:sz w:val="24"/>
          <w:szCs w:val="24"/>
        </w:rPr>
        <w:t xml:space="preserve">Cependant, comme les révélations d’Edward Snowden l’ont montré, sans un encadrement juridique </w:t>
      </w:r>
      <w:r w:rsidR="00EC5738">
        <w:rPr>
          <w:rFonts w:asciiTheme="majorBidi" w:hAnsiTheme="majorBidi" w:cstheme="majorBidi"/>
          <w:sz w:val="24"/>
          <w:szCs w:val="24"/>
        </w:rPr>
        <w:t xml:space="preserve">strict </w:t>
      </w:r>
      <w:r w:rsidR="00682133">
        <w:rPr>
          <w:rFonts w:asciiTheme="majorBidi" w:hAnsiTheme="majorBidi" w:cstheme="majorBidi"/>
          <w:sz w:val="24"/>
          <w:szCs w:val="24"/>
        </w:rPr>
        <w:t xml:space="preserve">et un contrôle </w:t>
      </w:r>
      <w:r w:rsidR="00EC5738">
        <w:rPr>
          <w:rFonts w:asciiTheme="majorBidi" w:hAnsiTheme="majorBidi" w:cstheme="majorBidi"/>
          <w:sz w:val="24"/>
          <w:szCs w:val="24"/>
        </w:rPr>
        <w:t xml:space="preserve">effectif </w:t>
      </w:r>
      <w:r w:rsidR="00682133">
        <w:rPr>
          <w:rFonts w:asciiTheme="majorBidi" w:hAnsiTheme="majorBidi" w:cstheme="majorBidi"/>
          <w:sz w:val="24"/>
          <w:szCs w:val="24"/>
        </w:rPr>
        <w:t xml:space="preserve">des mesures de surveillance, l’état peut porter </w:t>
      </w:r>
      <w:r w:rsidR="00CC3247">
        <w:rPr>
          <w:rFonts w:asciiTheme="majorBidi" w:hAnsiTheme="majorBidi" w:cstheme="majorBidi"/>
          <w:sz w:val="24"/>
          <w:szCs w:val="24"/>
        </w:rPr>
        <w:t xml:space="preserve">sérieusement </w:t>
      </w:r>
      <w:r w:rsidR="00682133">
        <w:rPr>
          <w:rFonts w:asciiTheme="majorBidi" w:hAnsiTheme="majorBidi" w:cstheme="majorBidi"/>
          <w:sz w:val="24"/>
          <w:szCs w:val="24"/>
        </w:rPr>
        <w:t>atteinte à la vie privé</w:t>
      </w:r>
      <w:r w:rsidR="00EC5738">
        <w:rPr>
          <w:rFonts w:asciiTheme="majorBidi" w:hAnsiTheme="majorBidi" w:cstheme="majorBidi"/>
          <w:sz w:val="24"/>
          <w:szCs w:val="24"/>
        </w:rPr>
        <w:t>e</w:t>
      </w:r>
      <w:r w:rsidR="00682133">
        <w:rPr>
          <w:rFonts w:asciiTheme="majorBidi" w:hAnsiTheme="majorBidi" w:cstheme="majorBidi"/>
          <w:sz w:val="24"/>
          <w:szCs w:val="24"/>
        </w:rPr>
        <w:t xml:space="preserve"> de</w:t>
      </w:r>
      <w:r w:rsidR="00EC5738">
        <w:rPr>
          <w:rFonts w:asciiTheme="majorBidi" w:hAnsiTheme="majorBidi" w:cstheme="majorBidi"/>
          <w:sz w:val="24"/>
          <w:szCs w:val="24"/>
        </w:rPr>
        <w:t>s</w:t>
      </w:r>
      <w:r w:rsidR="00682133">
        <w:rPr>
          <w:rFonts w:asciiTheme="majorBidi" w:hAnsiTheme="majorBidi" w:cstheme="majorBidi"/>
          <w:sz w:val="24"/>
          <w:szCs w:val="24"/>
        </w:rPr>
        <w:t xml:space="preserve"> citoyens</w:t>
      </w:r>
      <w:r w:rsidR="00EC5738">
        <w:rPr>
          <w:rFonts w:asciiTheme="majorBidi" w:hAnsiTheme="majorBidi" w:cstheme="majorBidi"/>
          <w:sz w:val="24"/>
          <w:szCs w:val="24"/>
        </w:rPr>
        <w:t>. Ces révélations ont montré que la surveillance massive est telle que « </w:t>
      </w:r>
      <w:r w:rsidR="00EC5738" w:rsidRPr="00EC5738">
        <w:rPr>
          <w:rFonts w:asciiTheme="majorBidi" w:hAnsiTheme="majorBidi" w:cstheme="majorBidi"/>
          <w:shd w:val="clear" w:color="auto" w:fill="FFFFFF"/>
        </w:rPr>
        <w:t>tout internaute a désormais connaissance de la possibilité – voire de la probabilité – d’être victime de surveillance, et donc des risques encourus lorsqu’il s’exprime ou s’informe sur la toile</w:t>
      </w:r>
      <w:r w:rsidR="00EC5738">
        <w:rPr>
          <w:rFonts w:asciiTheme="majorBidi" w:hAnsiTheme="majorBidi" w:cstheme="majorBidi"/>
          <w:shd w:val="clear" w:color="auto" w:fill="FFFFFF"/>
        </w:rPr>
        <w:t xml:space="preserve">. </w:t>
      </w:r>
      <w:r w:rsidR="00EC5738">
        <w:rPr>
          <w:rFonts w:asciiTheme="majorBidi" w:hAnsiTheme="majorBidi" w:cstheme="majorBidi"/>
          <w:sz w:val="24"/>
          <w:szCs w:val="24"/>
        </w:rPr>
        <w:t xml:space="preserve">» (Marine </w:t>
      </w:r>
      <w:r w:rsidR="00CC3247">
        <w:rPr>
          <w:rFonts w:asciiTheme="majorBidi" w:hAnsiTheme="majorBidi" w:cstheme="majorBidi"/>
          <w:sz w:val="24"/>
          <w:szCs w:val="24"/>
        </w:rPr>
        <w:t>F</w:t>
      </w:r>
      <w:r w:rsidR="00EC5738">
        <w:rPr>
          <w:rFonts w:asciiTheme="majorBidi" w:hAnsiTheme="majorBidi" w:cstheme="majorBidi"/>
          <w:sz w:val="24"/>
          <w:szCs w:val="24"/>
        </w:rPr>
        <w:t>arshian 2015 : 01)</w:t>
      </w:r>
    </w:p>
    <w:p w:rsidR="00467ECE" w:rsidRDefault="00CC3247"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r>
    </w:p>
    <w:p w:rsidR="00467ECE" w:rsidRDefault="00467ECE" w:rsidP="00F64FA8">
      <w:pPr>
        <w:autoSpaceDE w:val="0"/>
        <w:autoSpaceDN w:val="0"/>
        <w:adjustRightInd w:val="0"/>
        <w:spacing w:after="0" w:line="360" w:lineRule="auto"/>
        <w:jc w:val="both"/>
        <w:rPr>
          <w:rFonts w:asciiTheme="majorBidi" w:hAnsiTheme="majorBidi" w:cstheme="majorBidi"/>
          <w:sz w:val="24"/>
          <w:szCs w:val="24"/>
        </w:rPr>
      </w:pPr>
    </w:p>
    <w:p w:rsidR="00845D0A" w:rsidRPr="00A97DD4" w:rsidRDefault="00845D0A" w:rsidP="000B218C">
      <w:pPr>
        <w:pStyle w:val="Heading1"/>
      </w:pPr>
      <w:r>
        <w:t>BIBLIOGRAPHIE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591BB1" w:rsidRDefault="00201379" w:rsidP="00F64FA8">
      <w:pPr>
        <w:spacing w:after="0" w:line="360" w:lineRule="auto"/>
        <w:jc w:val="both"/>
      </w:pPr>
      <w:r>
        <w:t>Chronique – Cybercriminalité : développements jurisprudentiels et perquisitions informatiques, in Repères, Septembre 2014</w:t>
      </w:r>
    </w:p>
    <w:p w:rsidR="0024705F" w:rsidRPr="00A97DD4" w:rsidRDefault="0024705F" w:rsidP="0024705F">
      <w:pPr>
        <w:spacing w:after="0" w:line="360" w:lineRule="auto"/>
        <w:jc w:val="both"/>
        <w:rPr>
          <w:rFonts w:asciiTheme="majorBidi" w:hAnsiTheme="majorBidi" w:cstheme="majorBidi"/>
          <w:sz w:val="24"/>
          <w:szCs w:val="24"/>
        </w:rPr>
      </w:pPr>
      <w:r>
        <w:t>Marine Farshian, « Quand la réalité de la surveillance massive tend à dépasser la fiction orwellienne », La Revue des droits de l’homme [En ligne], Actualités Droits-Libertés, mis en ligne le 28 mai 2015, consulté le 01 octobre 2016. URL : http://revdh.revues.org/1300 ; DOI : 10.4000/revdh.1300</w:t>
      </w:r>
    </w:p>
    <w:sectPr w:rsidR="0024705F" w:rsidRPr="00A97DD4" w:rsidSect="00244B96">
      <w:foot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6A3" w:rsidRDefault="008F16A3" w:rsidP="00845D0A">
      <w:pPr>
        <w:spacing w:after="0" w:line="240" w:lineRule="auto"/>
      </w:pPr>
      <w:r>
        <w:separator/>
      </w:r>
    </w:p>
  </w:endnote>
  <w:endnote w:type="continuationSeparator" w:id="1">
    <w:p w:rsidR="008F16A3" w:rsidRDefault="008F16A3" w:rsidP="00845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321141"/>
      <w:docPartObj>
        <w:docPartGallery w:val="Page Numbers (Bottom of Page)"/>
        <w:docPartUnique/>
      </w:docPartObj>
    </w:sdtPr>
    <w:sdtContent>
      <w:p w:rsidR="00D949C4" w:rsidRDefault="00D949C4">
        <w:pPr>
          <w:pStyle w:val="Footer"/>
          <w:jc w:val="center"/>
        </w:pPr>
        <w:fldSimple w:instr=" PAGE   \* MERGEFORMAT ">
          <w:r w:rsidR="000B5BD6">
            <w:rPr>
              <w:noProof/>
            </w:rPr>
            <w:t>6</w:t>
          </w:r>
        </w:fldSimple>
      </w:p>
    </w:sdtContent>
  </w:sdt>
  <w:p w:rsidR="00D949C4" w:rsidRDefault="00D949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6A3" w:rsidRDefault="008F16A3" w:rsidP="00845D0A">
      <w:pPr>
        <w:spacing w:after="0" w:line="240" w:lineRule="auto"/>
      </w:pPr>
      <w:r>
        <w:separator/>
      </w:r>
    </w:p>
  </w:footnote>
  <w:footnote w:type="continuationSeparator" w:id="1">
    <w:p w:rsidR="008F16A3" w:rsidRDefault="008F16A3" w:rsidP="00845D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066390"/>
    <w:lvl w:ilvl="0">
      <w:numFmt w:val="bullet"/>
      <w:lvlText w:val="*"/>
      <w:lvlJc w:val="left"/>
    </w:lvl>
  </w:abstractNum>
  <w:abstractNum w:abstractNumId="1">
    <w:nsid w:val="76FD2AAA"/>
    <w:multiLevelType w:val="hybridMultilevel"/>
    <w:tmpl w:val="E7E844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314E9"/>
    <w:rsid w:val="000B218C"/>
    <w:rsid w:val="000B5BD6"/>
    <w:rsid w:val="000C69E7"/>
    <w:rsid w:val="000F3529"/>
    <w:rsid w:val="00201379"/>
    <w:rsid w:val="00244B96"/>
    <w:rsid w:val="0024705F"/>
    <w:rsid w:val="0027256A"/>
    <w:rsid w:val="002E1C4D"/>
    <w:rsid w:val="002F0860"/>
    <w:rsid w:val="0030041C"/>
    <w:rsid w:val="00317251"/>
    <w:rsid w:val="003274E7"/>
    <w:rsid w:val="0033506D"/>
    <w:rsid w:val="003D7B06"/>
    <w:rsid w:val="003E7BAF"/>
    <w:rsid w:val="0040027C"/>
    <w:rsid w:val="00430156"/>
    <w:rsid w:val="00467ECE"/>
    <w:rsid w:val="00492E66"/>
    <w:rsid w:val="00504A07"/>
    <w:rsid w:val="00513C43"/>
    <w:rsid w:val="00517FAD"/>
    <w:rsid w:val="0056133F"/>
    <w:rsid w:val="00572A96"/>
    <w:rsid w:val="00591BB1"/>
    <w:rsid w:val="00594C83"/>
    <w:rsid w:val="005A6046"/>
    <w:rsid w:val="005B2384"/>
    <w:rsid w:val="005B4151"/>
    <w:rsid w:val="005C2C03"/>
    <w:rsid w:val="0066150E"/>
    <w:rsid w:val="00673AFA"/>
    <w:rsid w:val="00682133"/>
    <w:rsid w:val="006C78C9"/>
    <w:rsid w:val="006F1283"/>
    <w:rsid w:val="007047C3"/>
    <w:rsid w:val="00751AC7"/>
    <w:rsid w:val="00833D4B"/>
    <w:rsid w:val="00836E84"/>
    <w:rsid w:val="00843B15"/>
    <w:rsid w:val="00843BA4"/>
    <w:rsid w:val="00845D0A"/>
    <w:rsid w:val="00861D2F"/>
    <w:rsid w:val="00890AAB"/>
    <w:rsid w:val="008B36CE"/>
    <w:rsid w:val="008D0450"/>
    <w:rsid w:val="008F16A3"/>
    <w:rsid w:val="008F21E4"/>
    <w:rsid w:val="009856F9"/>
    <w:rsid w:val="009E383E"/>
    <w:rsid w:val="00A02206"/>
    <w:rsid w:val="00A03BF7"/>
    <w:rsid w:val="00A248EC"/>
    <w:rsid w:val="00A65AA2"/>
    <w:rsid w:val="00A97DD4"/>
    <w:rsid w:val="00AC5F17"/>
    <w:rsid w:val="00AE74DB"/>
    <w:rsid w:val="00B20C83"/>
    <w:rsid w:val="00B510E2"/>
    <w:rsid w:val="00B65DBA"/>
    <w:rsid w:val="00B6628A"/>
    <w:rsid w:val="00B822AD"/>
    <w:rsid w:val="00BA12D4"/>
    <w:rsid w:val="00BC0F18"/>
    <w:rsid w:val="00BE54BA"/>
    <w:rsid w:val="00C047A8"/>
    <w:rsid w:val="00C314E9"/>
    <w:rsid w:val="00C411E6"/>
    <w:rsid w:val="00C61B06"/>
    <w:rsid w:val="00C8734B"/>
    <w:rsid w:val="00CC3247"/>
    <w:rsid w:val="00D51A99"/>
    <w:rsid w:val="00D949C4"/>
    <w:rsid w:val="00DE7172"/>
    <w:rsid w:val="00E0186E"/>
    <w:rsid w:val="00E85CA8"/>
    <w:rsid w:val="00EA4FD2"/>
    <w:rsid w:val="00EC5738"/>
    <w:rsid w:val="00F02402"/>
    <w:rsid w:val="00F15C75"/>
    <w:rsid w:val="00F537B1"/>
    <w:rsid w:val="00F64FA8"/>
    <w:rsid w:val="00FF6E8E"/>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4E9"/>
    <w:rPr>
      <w:lang w:val="fr-FR"/>
    </w:rPr>
  </w:style>
  <w:style w:type="paragraph" w:styleId="Heading1">
    <w:name w:val="heading 1"/>
    <w:basedOn w:val="Normal"/>
    <w:next w:val="Normal"/>
    <w:link w:val="Heading1Char"/>
    <w:uiPriority w:val="9"/>
    <w:qFormat/>
    <w:rsid w:val="00F64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FA8"/>
    <w:rPr>
      <w:rFonts w:asciiTheme="majorHAnsi" w:eastAsiaTheme="majorEastAsia" w:hAnsiTheme="majorHAnsi" w:cstheme="majorBidi"/>
      <w:b/>
      <w:bCs/>
      <w:color w:val="365F91" w:themeColor="accent1" w:themeShade="BF"/>
      <w:sz w:val="28"/>
      <w:szCs w:val="28"/>
      <w:lang w:val="fr-FR"/>
    </w:rPr>
  </w:style>
  <w:style w:type="paragraph" w:styleId="Subtitle">
    <w:name w:val="Subtitle"/>
    <w:basedOn w:val="Normal"/>
    <w:next w:val="Normal"/>
    <w:link w:val="SubtitleChar"/>
    <w:uiPriority w:val="11"/>
    <w:qFormat/>
    <w:rsid w:val="00F64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4FA8"/>
    <w:rPr>
      <w:rFonts w:asciiTheme="majorHAnsi" w:eastAsiaTheme="majorEastAsia" w:hAnsiTheme="majorHAnsi" w:cstheme="majorBidi"/>
      <w:i/>
      <w:iCs/>
      <w:color w:val="4F81BD" w:themeColor="accent1"/>
      <w:spacing w:val="15"/>
      <w:sz w:val="24"/>
      <w:szCs w:val="24"/>
      <w:lang w:val="fr-FR"/>
    </w:rPr>
  </w:style>
  <w:style w:type="paragraph" w:styleId="Title">
    <w:name w:val="Title"/>
    <w:basedOn w:val="Normal"/>
    <w:next w:val="Normal"/>
    <w:link w:val="TitleChar"/>
    <w:uiPriority w:val="10"/>
    <w:qFormat/>
    <w:rsid w:val="00F64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4FA8"/>
    <w:rPr>
      <w:rFonts w:asciiTheme="majorHAnsi" w:eastAsiaTheme="majorEastAsia" w:hAnsiTheme="majorHAnsi" w:cstheme="majorBidi"/>
      <w:color w:val="17365D" w:themeColor="text2" w:themeShade="BF"/>
      <w:spacing w:val="5"/>
      <w:kern w:val="28"/>
      <w:sz w:val="52"/>
      <w:szCs w:val="52"/>
      <w:lang w:val="fr-FR"/>
    </w:rPr>
  </w:style>
  <w:style w:type="paragraph" w:styleId="Header">
    <w:name w:val="header"/>
    <w:basedOn w:val="Normal"/>
    <w:link w:val="HeaderChar"/>
    <w:uiPriority w:val="99"/>
    <w:semiHidden/>
    <w:unhideWhenUsed/>
    <w:rsid w:val="00845D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5D0A"/>
    <w:rPr>
      <w:lang w:val="fr-FR"/>
    </w:rPr>
  </w:style>
  <w:style w:type="paragraph" w:styleId="Footer">
    <w:name w:val="footer"/>
    <w:basedOn w:val="Normal"/>
    <w:link w:val="FooterChar"/>
    <w:uiPriority w:val="99"/>
    <w:unhideWhenUsed/>
    <w:rsid w:val="0084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D0A"/>
    <w:rPr>
      <w:lang w:val="fr-FR"/>
    </w:rPr>
  </w:style>
  <w:style w:type="paragraph" w:styleId="ListParagraph">
    <w:name w:val="List Paragraph"/>
    <w:basedOn w:val="Normal"/>
    <w:uiPriority w:val="34"/>
    <w:qFormat/>
    <w:rsid w:val="00B65DBA"/>
    <w:pPr>
      <w:ind w:left="720"/>
      <w:contextualSpacing/>
    </w:pPr>
  </w:style>
  <w:style w:type="character" w:styleId="Hyperlink">
    <w:name w:val="Hyperlink"/>
    <w:basedOn w:val="DefaultParagraphFont"/>
    <w:uiPriority w:val="99"/>
    <w:semiHidden/>
    <w:unhideWhenUsed/>
    <w:rsid w:val="009E383E"/>
    <w:rPr>
      <w:color w:val="0000FF"/>
      <w:u w:val="single"/>
    </w:rPr>
  </w:style>
  <w:style w:type="character" w:customStyle="1" w:styleId="decisia-reflex2-icon">
    <w:name w:val="decisia-reflex2-icon"/>
    <w:basedOn w:val="DefaultParagraphFont"/>
    <w:rsid w:val="009E38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7F88-57F1-42C1-95F3-55839432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6</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55</cp:revision>
  <dcterms:created xsi:type="dcterms:W3CDTF">2017-11-07T20:40:00Z</dcterms:created>
  <dcterms:modified xsi:type="dcterms:W3CDTF">2017-11-09T06:17:00Z</dcterms:modified>
</cp:coreProperties>
</file>