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2409" w14:textId="77777777" w:rsidR="00EB202A" w:rsidRDefault="00EB202A" w:rsidP="00EB202A">
      <w:pPr>
        <w:pStyle w:val="Heading2"/>
      </w:pPr>
      <w:r>
        <w:t>Slide 16</w:t>
      </w:r>
    </w:p>
    <w:p w14:paraId="75BD2B50" w14:textId="5AF43377" w:rsidR="00EB202A" w:rsidRDefault="00EB202A" w:rsidP="00EB202A">
      <w:r w:rsidRPr="00EB202A">
        <w:t xml:space="preserve">Here we present our </w:t>
      </w:r>
      <w:r w:rsidRPr="00EB202A">
        <w:rPr>
          <w:i/>
          <w:iCs/>
        </w:rPr>
        <w:t>Prediction for October 2025</w:t>
      </w:r>
      <w:r w:rsidRPr="00EB202A">
        <w:t>, highlighting expected fire incident risks across the City of Montreal.</w:t>
      </w:r>
      <w:r w:rsidRPr="00EB202A">
        <w:br/>
        <w:t xml:space="preserve">On the </w:t>
      </w:r>
      <w:r w:rsidRPr="00EB202A">
        <w:rPr>
          <w:b/>
          <w:bCs/>
        </w:rPr>
        <w:t>left</w:t>
      </w:r>
      <w:r w:rsidRPr="00EB202A">
        <w:t xml:space="preserve">, the continuous probability map shows fire risk levels from </w:t>
      </w:r>
      <w:r w:rsidRPr="00EB202A">
        <w:rPr>
          <w:i/>
          <w:iCs/>
        </w:rPr>
        <w:t xml:space="preserve">very low in </w:t>
      </w:r>
      <w:r>
        <w:rPr>
          <w:i/>
          <w:iCs/>
        </w:rPr>
        <w:t>gray</w:t>
      </w:r>
      <w:r w:rsidRPr="00EB202A">
        <w:t xml:space="preserve"> to </w:t>
      </w:r>
      <w:r w:rsidRPr="00EB202A">
        <w:rPr>
          <w:i/>
          <w:iCs/>
        </w:rPr>
        <w:t>very high in red</w:t>
      </w:r>
      <w:r w:rsidRPr="00EB202A">
        <w:t>, providing a citywide gradient of potential fire likelihood.</w:t>
      </w:r>
      <w:r w:rsidRPr="00EB202A">
        <w:br/>
        <w:t xml:space="preserve">On the </w:t>
      </w:r>
      <w:r w:rsidRPr="00EB202A">
        <w:rPr>
          <w:b/>
          <w:bCs/>
        </w:rPr>
        <w:t>right</w:t>
      </w:r>
      <w:r w:rsidRPr="00EB202A">
        <w:t xml:space="preserve">, the categorical map translates these probabilities into five distinct </w:t>
      </w:r>
      <w:r w:rsidRPr="00EB202A">
        <w:rPr>
          <w:i/>
          <w:iCs/>
        </w:rPr>
        <w:t>risk zones</w:t>
      </w:r>
      <w:r w:rsidRPr="00EB202A">
        <w:t>, allowing for clearer identification of priority areas.</w:t>
      </w:r>
      <w:r w:rsidRPr="00EB202A">
        <w:br/>
        <w:t>Together, these maps guide where preventive resources should be focused.</w:t>
      </w:r>
      <w:r w:rsidRPr="00EB202A">
        <w:br/>
        <w:t>Next, we’ll look at how these predicted high-risk zones align with historical fire patterns.”</w:t>
      </w:r>
    </w:p>
    <w:p w14:paraId="57CD939B" w14:textId="77777777" w:rsidR="00EB202A" w:rsidRDefault="00EB202A" w:rsidP="00EB202A"/>
    <w:p w14:paraId="7F2045DA" w14:textId="61031F4D" w:rsidR="00EB202A" w:rsidRDefault="00EB202A" w:rsidP="00EB202A">
      <w:pPr>
        <w:pStyle w:val="Heading2"/>
      </w:pPr>
      <w:r>
        <w:t>Slide 1</w:t>
      </w:r>
      <w:r>
        <w:t>7</w:t>
      </w:r>
    </w:p>
    <w:p w14:paraId="36B5FFBA" w14:textId="26C2FE2E" w:rsidR="00EB202A" w:rsidRDefault="00EB202A" w:rsidP="00EB202A">
      <w:r w:rsidRPr="00EB202A">
        <w:t xml:space="preserve">This slide shows how we divided Montreal into </w:t>
      </w:r>
      <w:r w:rsidRPr="00EB202A">
        <w:rPr>
          <w:i/>
          <w:iCs/>
        </w:rPr>
        <w:t>five priority tiers</w:t>
      </w:r>
      <w:r w:rsidRPr="00EB202A">
        <w:t xml:space="preserve"> based on fire risk.</w:t>
      </w:r>
      <w:r w:rsidRPr="00EB202A">
        <w:br/>
        <w:t xml:space="preserve">The </w:t>
      </w:r>
      <w:r w:rsidRPr="00EB202A">
        <w:rPr>
          <w:b/>
          <w:bCs/>
        </w:rPr>
        <w:t>chart on the left</w:t>
      </w:r>
      <w:r w:rsidRPr="00EB202A">
        <w:t xml:space="preserve"> shows how many areas fall into each tier — most are </w:t>
      </w:r>
      <w:r w:rsidRPr="00EB202A">
        <w:rPr>
          <w:i/>
          <w:iCs/>
        </w:rPr>
        <w:t>Monitor</w:t>
      </w:r>
      <w:r w:rsidRPr="00EB202A">
        <w:t xml:space="preserve">, and only 5% are </w:t>
      </w:r>
      <w:r w:rsidRPr="00EB202A">
        <w:rPr>
          <w:i/>
          <w:iCs/>
        </w:rPr>
        <w:t>Critical</w:t>
      </w:r>
      <w:r w:rsidRPr="00EB202A">
        <w:t>.</w:t>
      </w:r>
      <w:r w:rsidRPr="00EB202A">
        <w:br/>
        <w:t xml:space="preserve">The </w:t>
      </w:r>
      <w:r w:rsidRPr="00EB202A">
        <w:rPr>
          <w:b/>
          <w:bCs/>
        </w:rPr>
        <w:t>map on the right</w:t>
      </w:r>
      <w:r w:rsidRPr="00EB202A">
        <w:t xml:space="preserve"> shows where these tiers are located across the city.</w:t>
      </w:r>
      <w:r w:rsidRPr="00EB202A">
        <w:br/>
        <w:t xml:space="preserve">This helps focus prevention efforts on the </w:t>
      </w:r>
      <w:r w:rsidRPr="00EB202A">
        <w:rPr>
          <w:i/>
          <w:iCs/>
        </w:rPr>
        <w:t>highest-risk</w:t>
      </w:r>
      <w:r w:rsidRPr="00EB202A">
        <w:t xml:space="preserve"> areas first.</w:t>
      </w:r>
      <w:r w:rsidRPr="00EB202A">
        <w:br/>
        <w:t xml:space="preserve">Next, we’ll see how these tiers guide our </w:t>
      </w:r>
      <w:r w:rsidRPr="00EB202A">
        <w:rPr>
          <w:i/>
          <w:iCs/>
        </w:rPr>
        <w:t>planning and response</w:t>
      </w:r>
      <w:r w:rsidRPr="00EB202A">
        <w:t>.</w:t>
      </w:r>
    </w:p>
    <w:p w14:paraId="77100B13" w14:textId="7C3F9076" w:rsidR="00486395" w:rsidRDefault="00486395" w:rsidP="00486395">
      <w:pPr>
        <w:pStyle w:val="Heading2"/>
      </w:pPr>
      <w:r>
        <w:t>Slide 18</w:t>
      </w:r>
    </w:p>
    <w:p w14:paraId="705B50C8" w14:textId="6869AA5E" w:rsidR="00486395" w:rsidRDefault="00486395" w:rsidP="00486395">
      <w:r w:rsidRPr="00486395">
        <w:t xml:space="preserve">This slide shares our first recommendation — </w:t>
      </w:r>
      <w:r w:rsidRPr="00486395">
        <w:rPr>
          <w:i/>
          <w:iCs/>
        </w:rPr>
        <w:t>dynamic inspection prioritization</w:t>
      </w:r>
      <w:r w:rsidRPr="00486395">
        <w:t>.</w:t>
      </w:r>
      <w:r w:rsidRPr="00486395">
        <w:br/>
        <w:t xml:space="preserve">We suggest doing </w:t>
      </w:r>
      <w:r w:rsidRPr="00486395">
        <w:rPr>
          <w:b/>
          <w:bCs/>
        </w:rPr>
        <w:t>more frequent inspections</w:t>
      </w:r>
      <w:r w:rsidRPr="00486395">
        <w:t xml:space="preserve"> in areas that have a </w:t>
      </w:r>
      <w:r w:rsidRPr="00486395">
        <w:rPr>
          <w:i/>
          <w:iCs/>
        </w:rPr>
        <w:t>higher fire risk</w:t>
      </w:r>
      <w:r w:rsidRPr="00486395">
        <w:t>, and keeping regular checks in lower-risk areas.</w:t>
      </w:r>
      <w:r w:rsidRPr="00486395">
        <w:br/>
        <w:t xml:space="preserve">On the </w:t>
      </w:r>
      <w:r w:rsidRPr="00486395">
        <w:rPr>
          <w:b/>
          <w:bCs/>
        </w:rPr>
        <w:t>right</w:t>
      </w:r>
      <w:r w:rsidRPr="00486395">
        <w:t xml:space="preserve">, the map shows </w:t>
      </w:r>
      <w:r w:rsidRPr="00486395">
        <w:rPr>
          <w:i/>
          <w:iCs/>
        </w:rPr>
        <w:t>critical zones in dark red</w:t>
      </w:r>
      <w:r w:rsidRPr="00486395">
        <w:t xml:space="preserve"> and </w:t>
      </w:r>
      <w:r w:rsidRPr="00486395">
        <w:rPr>
          <w:i/>
          <w:iCs/>
        </w:rPr>
        <w:t>high-priority areas in red</w:t>
      </w:r>
      <w:r w:rsidRPr="00486395">
        <w:t>, where inspections should happen first.</w:t>
      </w:r>
      <w:r w:rsidRPr="00486395">
        <w:br/>
        <w:t xml:space="preserve">These zones should be </w:t>
      </w:r>
      <w:r w:rsidRPr="00486395">
        <w:rPr>
          <w:b/>
          <w:bCs/>
        </w:rPr>
        <w:t>updated every month or every few months</w:t>
      </w:r>
      <w:r w:rsidRPr="00486395">
        <w:t xml:space="preserve"> as new data comes in.</w:t>
      </w:r>
      <w:r w:rsidRPr="00486395">
        <w:br/>
        <w:t>This way, inspection efforts stay focused and flexible.</w:t>
      </w:r>
      <w:r w:rsidRPr="00486395">
        <w:br/>
        <w:t xml:space="preserve">Next, we’ll see how similar </w:t>
      </w:r>
      <w:r w:rsidRPr="00486395">
        <w:rPr>
          <w:i/>
          <w:iCs/>
        </w:rPr>
        <w:t>evidence-based actions</w:t>
      </w:r>
      <w:r w:rsidRPr="00486395">
        <w:t xml:space="preserve"> can guide </w:t>
      </w:r>
      <w:r w:rsidRPr="00486395">
        <w:rPr>
          <w:i/>
          <w:iCs/>
        </w:rPr>
        <w:t>resource planning and prevention work</w:t>
      </w:r>
      <w:r w:rsidRPr="00486395">
        <w:t>.</w:t>
      </w:r>
    </w:p>
    <w:p w14:paraId="62B66B91" w14:textId="1E8AA1FA" w:rsidR="00486395" w:rsidRDefault="00486395" w:rsidP="00486395">
      <w:pPr>
        <w:pStyle w:val="Heading2"/>
      </w:pPr>
      <w:r>
        <w:t>Slide 1</w:t>
      </w:r>
      <w:r>
        <w:t>9</w:t>
      </w:r>
    </w:p>
    <w:p w14:paraId="34B4458B" w14:textId="676309D2" w:rsidR="00395B12" w:rsidRPr="00395B12" w:rsidRDefault="00395B12" w:rsidP="00395B12">
      <w:r w:rsidRPr="00395B12">
        <w:t xml:space="preserve">Our second recommendation focuses on </w:t>
      </w:r>
      <w:r w:rsidRPr="00395B12">
        <w:rPr>
          <w:i/>
          <w:iCs/>
        </w:rPr>
        <w:t>model maintenance</w:t>
      </w:r>
      <w:r w:rsidRPr="00395B12">
        <w:t>.</w:t>
      </w:r>
      <w:r w:rsidRPr="00395B12">
        <w:br/>
        <w:t xml:space="preserve">To keep predictions accurate, the model should be </w:t>
      </w:r>
      <w:r w:rsidRPr="00395B12">
        <w:rPr>
          <w:b/>
          <w:bCs/>
        </w:rPr>
        <w:t>retrained regularly</w:t>
      </w:r>
      <w:r w:rsidRPr="00395B12">
        <w:t>, with updates to the features and routine performance checks.</w:t>
      </w:r>
      <w:r w:rsidRPr="00395B12">
        <w:br/>
        <w:t xml:space="preserve">On the </w:t>
      </w:r>
      <w:r w:rsidRPr="00395B12">
        <w:rPr>
          <w:b/>
          <w:bCs/>
        </w:rPr>
        <w:t>right</w:t>
      </w:r>
      <w:r w:rsidRPr="00395B12">
        <w:t xml:space="preserve">, the map shows the </w:t>
      </w:r>
      <w:r w:rsidRPr="00395B12">
        <w:rPr>
          <w:b/>
          <w:bCs/>
        </w:rPr>
        <w:t>top 10 high-risk areas</w:t>
      </w:r>
      <w:r w:rsidRPr="00395B12">
        <w:t xml:space="preserve"> predicted for </w:t>
      </w:r>
      <w:r w:rsidRPr="00395B12">
        <w:rPr>
          <w:i/>
          <w:iCs/>
        </w:rPr>
        <w:t>October 2025</w:t>
      </w:r>
      <w:r w:rsidRPr="00395B12">
        <w:t>.</w:t>
      </w:r>
      <w:r w:rsidRPr="00395B12">
        <w:br/>
        <w:t xml:space="preserve">These areas can help guide field teams and planners to focus their efforts where the risk is </w:t>
      </w:r>
      <w:r w:rsidRPr="00395B12">
        <w:lastRenderedPageBreak/>
        <w:t>highest.</w:t>
      </w:r>
      <w:r w:rsidRPr="00395B12">
        <w:br/>
        <w:t>By keeping the model updated and closely monitored, we make sure our predictions stay reliable over time.</w:t>
      </w:r>
      <w:r w:rsidRPr="00395B12">
        <w:br/>
        <w:t xml:space="preserve">Next, we’ll look at how these ongoing improvements support </w:t>
      </w:r>
      <w:r w:rsidRPr="00395B12">
        <w:rPr>
          <w:i/>
          <w:iCs/>
        </w:rPr>
        <w:t>long-term fire prevention planning</w:t>
      </w:r>
      <w:r w:rsidRPr="00395B12">
        <w:t>.</w:t>
      </w:r>
    </w:p>
    <w:p w14:paraId="0835FA59" w14:textId="77777777" w:rsidR="00486395" w:rsidRPr="00486395" w:rsidRDefault="00486395" w:rsidP="00486395"/>
    <w:p w14:paraId="644DDD3B" w14:textId="0ECA057E" w:rsidR="00486395" w:rsidRDefault="00486395" w:rsidP="00486395">
      <w:pPr>
        <w:pStyle w:val="Heading2"/>
      </w:pPr>
      <w:r>
        <w:t>Slide 20</w:t>
      </w:r>
    </w:p>
    <w:p w14:paraId="613FAC00" w14:textId="5A01E4CB" w:rsidR="00486395" w:rsidRPr="00EB202A" w:rsidRDefault="00395B12" w:rsidP="00395B12">
      <w:r w:rsidRPr="00395B12">
        <w:t xml:space="preserve">In conclusion, we developed a </w:t>
      </w:r>
      <w:r w:rsidRPr="00395B12">
        <w:rPr>
          <w:i/>
          <w:iCs/>
        </w:rPr>
        <w:t>machine learning framework</w:t>
      </w:r>
      <w:r w:rsidRPr="00395B12">
        <w:t xml:space="preserve"> to predict fire risk across Montreal’s census tracts.</w:t>
      </w:r>
      <w:r w:rsidRPr="00395B12">
        <w:br/>
        <w:t xml:space="preserve">Our model, combining </w:t>
      </w:r>
      <w:r w:rsidRPr="00395B12">
        <w:rPr>
          <w:i/>
          <w:iCs/>
        </w:rPr>
        <w:t>Random Forest</w:t>
      </w:r>
      <w:r w:rsidRPr="00395B12">
        <w:t xml:space="preserve"> and </w:t>
      </w:r>
      <w:proofErr w:type="spellStart"/>
      <w:r w:rsidRPr="00395B12">
        <w:rPr>
          <w:i/>
          <w:iCs/>
        </w:rPr>
        <w:t>XGBoost</w:t>
      </w:r>
      <w:proofErr w:type="spellEnd"/>
      <w:r w:rsidRPr="00395B12">
        <w:t xml:space="preserve">, reached an </w:t>
      </w:r>
      <w:r w:rsidRPr="00395B12">
        <w:rPr>
          <w:b/>
          <w:bCs/>
        </w:rPr>
        <w:t>F1 score of 0.68</w:t>
      </w:r>
      <w:r w:rsidRPr="00395B12">
        <w:t>, showing good accuracy in identifying high-risk areas.</w:t>
      </w:r>
      <w:r w:rsidRPr="00395B12">
        <w:br/>
        <w:t xml:space="preserve">The analysis gives us </w:t>
      </w:r>
      <w:r w:rsidRPr="00395B12">
        <w:rPr>
          <w:b/>
          <w:bCs/>
        </w:rPr>
        <w:t>important insights</w:t>
      </w:r>
      <w:r w:rsidRPr="00395B12">
        <w:t xml:space="preserve"> into how urban factors affect fire risk and shows how data can guide </w:t>
      </w:r>
      <w:r w:rsidRPr="00395B12">
        <w:rPr>
          <w:i/>
          <w:iCs/>
        </w:rPr>
        <w:t>smarter resource allocation</w:t>
      </w:r>
      <w:r w:rsidRPr="00395B12">
        <w:t>.</w:t>
      </w:r>
      <w:r w:rsidRPr="00395B12">
        <w:br/>
        <w:t xml:space="preserve">Together, these results highlight the </w:t>
      </w:r>
      <w:r w:rsidRPr="00395B12">
        <w:rPr>
          <w:b/>
          <w:bCs/>
        </w:rPr>
        <w:t>potential of data-driven planning</w:t>
      </w:r>
      <w:r w:rsidRPr="00395B12">
        <w:t xml:space="preserve"> to make fire prevention more targeted and effective.</w:t>
      </w:r>
      <w:r w:rsidRPr="00395B12">
        <w:br/>
        <w:t>Thank you — and this concludes our presentation</w:t>
      </w:r>
    </w:p>
    <w:sectPr w:rsidR="00486395" w:rsidRPr="00EB2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DC9"/>
    <w:multiLevelType w:val="hybridMultilevel"/>
    <w:tmpl w:val="22A20830"/>
    <w:lvl w:ilvl="0" w:tplc="2F8672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43AF"/>
    <w:multiLevelType w:val="multilevel"/>
    <w:tmpl w:val="8CD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1255247">
    <w:abstractNumId w:val="1"/>
  </w:num>
  <w:num w:numId="2" w16cid:durableId="109959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2A"/>
    <w:rsid w:val="00395B12"/>
    <w:rsid w:val="00486395"/>
    <w:rsid w:val="0055317E"/>
    <w:rsid w:val="00EB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A5E8"/>
  <w15:chartTrackingRefBased/>
  <w15:docId w15:val="{328EF95A-2C18-46FB-BF9A-0A92F6A6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Elhamy Adly Wanis</dc:creator>
  <cp:keywords/>
  <dc:description/>
  <cp:lastModifiedBy>Osama Elhamy Adly Wanis</cp:lastModifiedBy>
  <cp:revision>1</cp:revision>
  <dcterms:created xsi:type="dcterms:W3CDTF">2025-11-05T05:18:00Z</dcterms:created>
  <dcterms:modified xsi:type="dcterms:W3CDTF">2025-11-05T05:51:00Z</dcterms:modified>
</cp:coreProperties>
</file>