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3831" w14:textId="418BB5C5" w:rsidR="002D74CE" w:rsidRDefault="002D74CE" w:rsidP="002D74CE">
      <w:pPr>
        <w:pStyle w:val="NormalWeb"/>
        <w:rPr>
          <w:color w:val="000000"/>
          <w:sz w:val="27"/>
          <w:szCs w:val="27"/>
        </w:rPr>
      </w:pPr>
      <w:r>
        <w:rPr>
          <w:color w:val="000000"/>
          <w:sz w:val="27"/>
          <w:szCs w:val="27"/>
        </w:rPr>
        <w:t xml:space="preserve">This model predicts </w:t>
      </w:r>
      <w:r>
        <w:rPr>
          <w:color w:val="000000"/>
          <w:sz w:val="27"/>
          <w:szCs w:val="27"/>
        </w:rPr>
        <w:t>curve progression in Adolescent</w:t>
      </w:r>
      <w:r>
        <w:rPr>
          <w:color w:val="000000"/>
          <w:sz w:val="27"/>
          <w:szCs w:val="27"/>
        </w:rPr>
        <w:t xml:space="preserve"> Idiopathic Scoliosis patients. The outcome is predicted in terms of </w:t>
      </w:r>
      <w:r w:rsidR="007D0D35">
        <w:rPr>
          <w:color w:val="000000"/>
          <w:sz w:val="27"/>
          <w:szCs w:val="27"/>
        </w:rPr>
        <w:t xml:space="preserve">the </w:t>
      </w:r>
      <w:r>
        <w:rPr>
          <w:color w:val="000000"/>
          <w:sz w:val="27"/>
          <w:szCs w:val="27"/>
        </w:rPr>
        <w:t>"</w:t>
      </w:r>
      <w:r>
        <w:rPr>
          <w:color w:val="000000"/>
          <w:sz w:val="27"/>
          <w:szCs w:val="27"/>
        </w:rPr>
        <w:t>Final Cobb angle</w:t>
      </w:r>
      <w:r>
        <w:rPr>
          <w:color w:val="000000"/>
          <w:sz w:val="27"/>
          <w:szCs w:val="27"/>
        </w:rPr>
        <w:t>"</w:t>
      </w:r>
      <w:r>
        <w:rPr>
          <w:color w:val="000000"/>
          <w:sz w:val="27"/>
          <w:szCs w:val="27"/>
        </w:rPr>
        <w:t>.</w:t>
      </w:r>
    </w:p>
    <w:p w14:paraId="030C9602" w14:textId="75498665" w:rsidR="002D74CE" w:rsidRDefault="002D74CE" w:rsidP="002D74CE">
      <w:pPr>
        <w:pStyle w:val="NormalWeb"/>
        <w:rPr>
          <w:color w:val="000000"/>
          <w:sz w:val="27"/>
          <w:szCs w:val="27"/>
        </w:rPr>
      </w:pPr>
      <w:r>
        <w:rPr>
          <w:color w:val="000000"/>
          <w:sz w:val="27"/>
          <w:szCs w:val="27"/>
        </w:rPr>
        <w:t xml:space="preserve">This model was developed using data from </w:t>
      </w:r>
      <w:r>
        <w:rPr>
          <w:color w:val="000000"/>
          <w:sz w:val="27"/>
          <w:szCs w:val="27"/>
        </w:rPr>
        <w:t>193</w:t>
      </w:r>
      <w:r>
        <w:rPr>
          <w:color w:val="000000"/>
          <w:sz w:val="27"/>
          <w:szCs w:val="27"/>
        </w:rPr>
        <w:t xml:space="preserve"> patients with idiopathic scoliosis</w:t>
      </w:r>
      <w:r>
        <w:rPr>
          <w:color w:val="000000"/>
          <w:sz w:val="27"/>
          <w:szCs w:val="27"/>
        </w:rPr>
        <w:t>. The model was trained on data from 144 subjects</w:t>
      </w:r>
      <w:r>
        <w:rPr>
          <w:color w:val="000000"/>
          <w:sz w:val="27"/>
          <w:szCs w:val="27"/>
        </w:rPr>
        <w:t xml:space="preserve"> and tested on data from </w:t>
      </w:r>
      <w:r>
        <w:rPr>
          <w:color w:val="000000"/>
          <w:sz w:val="27"/>
          <w:szCs w:val="27"/>
        </w:rPr>
        <w:t>49 subjects</w:t>
      </w:r>
      <w:r>
        <w:rPr>
          <w:color w:val="000000"/>
          <w:sz w:val="27"/>
          <w:szCs w:val="27"/>
        </w:rPr>
        <w:t xml:space="preserve">. The expected prediction </w:t>
      </w:r>
      <w:r>
        <w:rPr>
          <w:color w:val="000000"/>
          <w:sz w:val="27"/>
          <w:szCs w:val="27"/>
        </w:rPr>
        <w:t>error</w:t>
      </w:r>
      <w:r>
        <w:rPr>
          <w:color w:val="000000"/>
          <w:sz w:val="27"/>
          <w:szCs w:val="27"/>
        </w:rPr>
        <w:t xml:space="preserve"> is </w:t>
      </w:r>
      <w:r>
        <w:rPr>
          <w:color w:val="000000"/>
          <w:sz w:val="27"/>
          <w:szCs w:val="27"/>
        </w:rPr>
        <w:t>4.6 degrees.</w:t>
      </w:r>
      <w:r>
        <w:rPr>
          <w:color w:val="000000"/>
          <w:sz w:val="27"/>
          <w:szCs w:val="27"/>
        </w:rPr>
        <w:t xml:space="preserve"> The patients were aged </w:t>
      </w:r>
      <w:r w:rsidR="007D0D35">
        <w:rPr>
          <w:color w:val="000000"/>
          <w:sz w:val="27"/>
          <w:szCs w:val="27"/>
        </w:rPr>
        <w:t>12.7</w:t>
      </w:r>
      <w:r>
        <w:rPr>
          <w:color w:val="000000"/>
          <w:sz w:val="27"/>
          <w:szCs w:val="27"/>
        </w:rPr>
        <w:t xml:space="preserve"> ± 1.7 years (range 10-</w:t>
      </w:r>
      <w:r w:rsidR="007D0D35">
        <w:rPr>
          <w:color w:val="000000"/>
          <w:sz w:val="27"/>
          <w:szCs w:val="27"/>
        </w:rPr>
        <w:t>17.8</w:t>
      </w:r>
      <w:r>
        <w:rPr>
          <w:color w:val="000000"/>
          <w:sz w:val="27"/>
          <w:szCs w:val="27"/>
        </w:rPr>
        <w:t xml:space="preserve">) </w:t>
      </w:r>
      <w:r w:rsidR="007D0D35">
        <w:rPr>
          <w:color w:val="000000"/>
          <w:sz w:val="27"/>
          <w:szCs w:val="27"/>
        </w:rPr>
        <w:t xml:space="preserve">and </w:t>
      </w:r>
      <w:r>
        <w:rPr>
          <w:color w:val="000000"/>
          <w:sz w:val="27"/>
          <w:szCs w:val="27"/>
        </w:rPr>
        <w:t xml:space="preserve">had major Cobb angles of </w:t>
      </w:r>
      <w:r w:rsidR="007D0D35">
        <w:rPr>
          <w:color w:val="000000"/>
          <w:sz w:val="27"/>
          <w:szCs w:val="27"/>
        </w:rPr>
        <w:t>48.9</w:t>
      </w:r>
      <w:r>
        <w:rPr>
          <w:color w:val="000000"/>
          <w:sz w:val="27"/>
          <w:szCs w:val="27"/>
        </w:rPr>
        <w:t xml:space="preserve">± </w:t>
      </w:r>
      <w:r w:rsidR="007D0D35">
        <w:rPr>
          <w:color w:val="000000"/>
          <w:sz w:val="27"/>
          <w:szCs w:val="27"/>
        </w:rPr>
        <w:t>13.9</w:t>
      </w:r>
      <w:r>
        <w:rPr>
          <w:color w:val="000000"/>
          <w:sz w:val="27"/>
          <w:szCs w:val="27"/>
        </w:rPr>
        <w:t>°</w:t>
      </w:r>
      <w:r w:rsidR="007D0D35">
        <w:rPr>
          <w:color w:val="000000"/>
          <w:sz w:val="27"/>
          <w:szCs w:val="27"/>
        </w:rPr>
        <w:t>.</w:t>
      </w:r>
      <w:r>
        <w:rPr>
          <w:color w:val="000000"/>
          <w:sz w:val="27"/>
          <w:szCs w:val="27"/>
        </w:rPr>
        <w:t xml:space="preserve"> </w:t>
      </w:r>
      <w:r w:rsidR="007D0D35">
        <w:rPr>
          <w:color w:val="000000"/>
          <w:sz w:val="27"/>
          <w:szCs w:val="27"/>
        </w:rPr>
        <w:t>All patients did not undergo surgery for spine curve correction.</w:t>
      </w:r>
    </w:p>
    <w:p w14:paraId="14E374EA" w14:textId="703168F1" w:rsidR="002D74CE" w:rsidRDefault="002D74CE" w:rsidP="002D74CE">
      <w:pPr>
        <w:pStyle w:val="NormalWeb"/>
        <w:rPr>
          <w:color w:val="000000"/>
          <w:sz w:val="27"/>
          <w:szCs w:val="27"/>
        </w:rPr>
      </w:pPr>
      <w:r>
        <w:rPr>
          <w:color w:val="000000"/>
          <w:sz w:val="27"/>
          <w:szCs w:val="27"/>
        </w:rPr>
        <w:t xml:space="preserve">All data was obtained from a single center; the model’s performance on patients from other centers, or patients </w:t>
      </w:r>
      <w:r w:rsidR="007D0D35">
        <w:rPr>
          <w:color w:val="000000"/>
          <w:sz w:val="27"/>
          <w:szCs w:val="27"/>
        </w:rPr>
        <w:t>with features out of</w:t>
      </w:r>
      <w:r w:rsidR="00C43415">
        <w:rPr>
          <w:color w:val="000000"/>
          <w:sz w:val="27"/>
          <w:szCs w:val="27"/>
        </w:rPr>
        <w:t xml:space="preserve"> the </w:t>
      </w:r>
      <w:r w:rsidR="007D0D35">
        <w:rPr>
          <w:color w:val="000000"/>
          <w:sz w:val="27"/>
          <w:szCs w:val="27"/>
        </w:rPr>
        <w:t>range specified in the table above</w:t>
      </w:r>
      <w:r>
        <w:rPr>
          <w:color w:val="000000"/>
          <w:sz w:val="27"/>
          <w:szCs w:val="27"/>
        </w:rPr>
        <w:t>, is unpredictable. Please test the model using retrospective data from your own center. We hope to encourage the eventual use of prediction models such as this in clinical practice. We appreciate any feedback.</w:t>
      </w:r>
    </w:p>
    <w:p w14:paraId="2B185506" w14:textId="6ECA1DEE" w:rsidR="00D51EAC" w:rsidRPr="00D51EAC" w:rsidRDefault="00C43415" w:rsidP="00F64D07">
      <w:pPr>
        <w:pStyle w:val="NormalWeb"/>
        <w:rPr>
          <w:color w:val="000000"/>
          <w:sz w:val="27"/>
          <w:szCs w:val="27"/>
        </w:rPr>
      </w:pPr>
      <w:r>
        <w:rPr>
          <w:color w:val="000000"/>
          <w:sz w:val="27"/>
          <w:szCs w:val="27"/>
        </w:rPr>
        <w:t>If you use this model, please cite our paper:</w:t>
      </w:r>
    </w:p>
    <w:tbl>
      <w:tblPr>
        <w:tblW w:w="8735"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3735"/>
        <w:gridCol w:w="2488"/>
        <w:gridCol w:w="2512"/>
      </w:tblGrid>
      <w:tr w:rsidR="00F64D07" w:rsidRPr="00D51EAC" w14:paraId="1E9E89F6" w14:textId="039A1F9D" w:rsidTr="00F64D07">
        <w:tc>
          <w:tcPr>
            <w:tcW w:w="3735" w:type="dxa"/>
            <w:tcBorders>
              <w:top w:val="single" w:sz="6" w:space="0" w:color="000000"/>
              <w:left w:val="single" w:sz="6" w:space="0" w:color="000000"/>
              <w:bottom w:val="single" w:sz="6" w:space="0" w:color="000000"/>
              <w:right w:val="single" w:sz="6" w:space="0" w:color="000000"/>
            </w:tcBorders>
            <w:vAlign w:val="center"/>
            <w:hideMark/>
          </w:tcPr>
          <w:p w14:paraId="31C6EA39" w14:textId="77777777" w:rsidR="00F64D07" w:rsidRPr="00D51EAC" w:rsidRDefault="00F64D07" w:rsidP="00D51EAC">
            <w:pPr>
              <w:rPr>
                <w:b/>
                <w:bCs/>
              </w:rPr>
            </w:pPr>
            <w:r w:rsidRPr="00D51EAC">
              <w:rPr>
                <w:b/>
                <w:bCs/>
              </w:rPr>
              <w:t>Features</w:t>
            </w:r>
          </w:p>
        </w:tc>
        <w:tc>
          <w:tcPr>
            <w:tcW w:w="2488" w:type="dxa"/>
            <w:tcBorders>
              <w:top w:val="single" w:sz="6" w:space="0" w:color="000000"/>
              <w:left w:val="single" w:sz="6" w:space="0" w:color="000000"/>
              <w:bottom w:val="single" w:sz="6" w:space="0" w:color="000000"/>
              <w:right w:val="single" w:sz="6" w:space="0" w:color="000000"/>
            </w:tcBorders>
            <w:vAlign w:val="center"/>
            <w:hideMark/>
          </w:tcPr>
          <w:p w14:paraId="37145131" w14:textId="13629A3A" w:rsidR="00F64D07" w:rsidRPr="00D51EAC" w:rsidRDefault="00F64D07" w:rsidP="00D51EAC">
            <w:pPr>
              <w:rPr>
                <w:b/>
                <w:bCs/>
              </w:rPr>
            </w:pPr>
            <w:r>
              <w:rPr>
                <w:b/>
                <w:bCs/>
              </w:rPr>
              <w:t>Description</w:t>
            </w:r>
          </w:p>
        </w:tc>
        <w:tc>
          <w:tcPr>
            <w:tcW w:w="2512" w:type="dxa"/>
            <w:tcBorders>
              <w:top w:val="single" w:sz="6" w:space="0" w:color="000000"/>
              <w:left w:val="single" w:sz="6" w:space="0" w:color="000000"/>
              <w:bottom w:val="single" w:sz="6" w:space="0" w:color="000000"/>
              <w:right w:val="single" w:sz="6" w:space="0" w:color="000000"/>
            </w:tcBorders>
          </w:tcPr>
          <w:p w14:paraId="4ABB7245" w14:textId="77777777" w:rsidR="00F64D07" w:rsidRDefault="00F64D07" w:rsidP="00D51EAC">
            <w:pPr>
              <w:rPr>
                <w:b/>
                <w:bCs/>
              </w:rPr>
            </w:pPr>
          </w:p>
        </w:tc>
      </w:tr>
      <w:tr w:rsidR="00F64D07" w:rsidRPr="00D51EAC" w14:paraId="4BCE47CE" w14:textId="141BAFAA" w:rsidTr="00F64D07">
        <w:tc>
          <w:tcPr>
            <w:tcW w:w="3735" w:type="dxa"/>
            <w:tcBorders>
              <w:top w:val="single" w:sz="6" w:space="0" w:color="000000"/>
              <w:left w:val="single" w:sz="6" w:space="0" w:color="000000"/>
              <w:bottom w:val="single" w:sz="6" w:space="0" w:color="000000"/>
              <w:right w:val="single" w:sz="6" w:space="0" w:color="000000"/>
            </w:tcBorders>
            <w:vAlign w:val="center"/>
            <w:hideMark/>
          </w:tcPr>
          <w:p w14:paraId="23AE96D5" w14:textId="77777777" w:rsidR="00F64D07" w:rsidRPr="00D51EAC" w:rsidRDefault="00F64D07" w:rsidP="00D51EAC">
            <w:r w:rsidRPr="00D51EAC">
              <w:t>Initial Cobb angle</w:t>
            </w:r>
          </w:p>
        </w:tc>
        <w:tc>
          <w:tcPr>
            <w:tcW w:w="2488" w:type="dxa"/>
            <w:tcBorders>
              <w:top w:val="single" w:sz="6" w:space="0" w:color="000000"/>
              <w:left w:val="single" w:sz="6" w:space="0" w:color="000000"/>
              <w:bottom w:val="single" w:sz="6" w:space="0" w:color="000000"/>
              <w:right w:val="single" w:sz="6" w:space="0" w:color="000000"/>
            </w:tcBorders>
            <w:vAlign w:val="center"/>
          </w:tcPr>
          <w:p w14:paraId="7BDD3846" w14:textId="3D074B8C" w:rsidR="00F64D07" w:rsidRPr="00D51EAC" w:rsidRDefault="00F64D07" w:rsidP="00D51EAC">
            <w:r>
              <w:rPr>
                <w:rFonts w:ascii="Calibri" w:eastAsia="+mn-ea" w:hAnsi="Calibri" w:cs="+mn-cs"/>
                <w:color w:val="000000"/>
                <w:kern w:val="24"/>
              </w:rPr>
              <w:t xml:space="preserve">Cobb angle is the angle measured between the lines which are above the most tilted vertebrae superior </w:t>
            </w:r>
            <w:r>
              <w:rPr>
                <w:rFonts w:ascii="Calibri" w:eastAsia="+mn-ea" w:hAnsi="Calibri" w:cs="+mn-cs"/>
                <w:color w:val="000000"/>
                <w:kern w:val="24"/>
              </w:rPr>
              <w:t>to</w:t>
            </w:r>
            <w:r>
              <w:rPr>
                <w:rFonts w:ascii="Calibri" w:eastAsia="+mn-ea" w:hAnsi="Calibri" w:cs="+mn-cs"/>
                <w:color w:val="000000"/>
                <w:kern w:val="24"/>
              </w:rPr>
              <w:t xml:space="preserve"> </w:t>
            </w:r>
            <w:r>
              <w:rPr>
                <w:rFonts w:ascii="Calibri" w:eastAsia="+mn-ea" w:hAnsi="Calibri" w:cs="+mn-cs"/>
                <w:color w:val="000000"/>
                <w:kern w:val="24"/>
              </w:rPr>
              <w:t xml:space="preserve">the </w:t>
            </w:r>
            <w:r>
              <w:rPr>
                <w:rFonts w:ascii="Calibri" w:eastAsia="+mn-ea" w:hAnsi="Calibri" w:cs="+mn-cs"/>
                <w:color w:val="000000"/>
                <w:kern w:val="24"/>
              </w:rPr>
              <w:t xml:space="preserve">apex and below the most tilted vertebrae inferior </w:t>
            </w:r>
            <w:r>
              <w:rPr>
                <w:rFonts w:ascii="Calibri" w:eastAsia="+mn-ea" w:hAnsi="Calibri" w:cs="+mn-cs"/>
                <w:color w:val="000000"/>
                <w:kern w:val="24"/>
              </w:rPr>
              <w:t>to</w:t>
            </w:r>
            <w:r>
              <w:rPr>
                <w:rFonts w:ascii="Calibri" w:eastAsia="+mn-ea" w:hAnsi="Calibri" w:cs="+mn-cs"/>
                <w:color w:val="000000"/>
                <w:kern w:val="24"/>
              </w:rPr>
              <w:t xml:space="preserve"> </w:t>
            </w:r>
            <w:r>
              <w:rPr>
                <w:rFonts w:ascii="Calibri" w:eastAsia="+mn-ea" w:hAnsi="Calibri" w:cs="+mn-cs"/>
                <w:color w:val="000000"/>
                <w:kern w:val="24"/>
              </w:rPr>
              <w:t xml:space="preserve">the </w:t>
            </w:r>
            <w:r>
              <w:rPr>
                <w:rFonts w:ascii="Calibri" w:eastAsia="+mn-ea" w:hAnsi="Calibri" w:cs="+mn-cs"/>
                <w:color w:val="000000"/>
                <w:kern w:val="24"/>
              </w:rPr>
              <w:t>apex</w:t>
            </w:r>
          </w:p>
        </w:tc>
        <w:tc>
          <w:tcPr>
            <w:tcW w:w="2512" w:type="dxa"/>
            <w:tcBorders>
              <w:top w:val="single" w:sz="6" w:space="0" w:color="000000"/>
              <w:left w:val="single" w:sz="6" w:space="0" w:color="000000"/>
              <w:bottom w:val="single" w:sz="6" w:space="0" w:color="000000"/>
              <w:right w:val="single" w:sz="6" w:space="0" w:color="000000"/>
            </w:tcBorders>
          </w:tcPr>
          <w:p w14:paraId="052EC422" w14:textId="77777777" w:rsidR="00F64D07" w:rsidRPr="00D51EAC" w:rsidRDefault="00F64D07" w:rsidP="00D51EAC"/>
        </w:tc>
      </w:tr>
      <w:tr w:rsidR="00F64D07" w:rsidRPr="00D51EAC" w14:paraId="16853199" w14:textId="6E2708BE" w:rsidTr="00F64D07">
        <w:tc>
          <w:tcPr>
            <w:tcW w:w="3735" w:type="dxa"/>
            <w:tcBorders>
              <w:top w:val="single" w:sz="6" w:space="0" w:color="000000"/>
              <w:left w:val="single" w:sz="6" w:space="0" w:color="000000"/>
              <w:bottom w:val="single" w:sz="6" w:space="0" w:color="000000"/>
              <w:right w:val="single" w:sz="6" w:space="0" w:color="000000"/>
            </w:tcBorders>
            <w:vAlign w:val="center"/>
            <w:hideMark/>
          </w:tcPr>
          <w:p w14:paraId="414BC36A" w14:textId="77777777" w:rsidR="00F64D07" w:rsidRPr="00D51EAC" w:rsidRDefault="00F64D07" w:rsidP="00D51EAC">
            <w:r w:rsidRPr="00D51EAC">
              <w:t>Flexibility (%)</w:t>
            </w:r>
          </w:p>
        </w:tc>
        <w:tc>
          <w:tcPr>
            <w:tcW w:w="2488" w:type="dxa"/>
            <w:tcBorders>
              <w:top w:val="single" w:sz="6" w:space="0" w:color="000000"/>
              <w:left w:val="single" w:sz="6" w:space="0" w:color="000000"/>
              <w:bottom w:val="single" w:sz="6" w:space="0" w:color="000000"/>
              <w:right w:val="single" w:sz="6" w:space="0" w:color="000000"/>
            </w:tcBorders>
            <w:vAlign w:val="center"/>
          </w:tcPr>
          <w:p w14:paraId="12949167" w14:textId="53F6667D" w:rsidR="00F64D07" w:rsidRPr="00D51EAC" w:rsidRDefault="008A325F" w:rsidP="00D51EAC">
            <w:r>
              <w:rPr>
                <w:rFonts w:ascii="Calibri" w:eastAsia="+mn-ea" w:hAnsi="Calibri" w:cs="+mn-cs"/>
                <w:color w:val="000000"/>
                <w:kern w:val="24"/>
              </w:rPr>
              <w:t xml:space="preserve">The flexibility </w:t>
            </w:r>
            <w:r>
              <w:rPr>
                <w:rFonts w:ascii="Calibri" w:eastAsia="+mn-ea" w:hAnsi="Calibri" w:cs="+mn-cs"/>
                <w:color w:val="000000"/>
                <w:kern w:val="24"/>
              </w:rPr>
              <w:t xml:space="preserve">is </w:t>
            </w:r>
            <w:r>
              <w:rPr>
                <w:rFonts w:ascii="Calibri" w:eastAsia="+mn-ea" w:hAnsi="Calibri" w:cs="+mn-cs"/>
                <w:color w:val="000000"/>
                <w:kern w:val="24"/>
              </w:rPr>
              <w:t xml:space="preserve">calculated as </w:t>
            </w:r>
            <w:r>
              <w:rPr>
                <w:rFonts w:ascii="Calibri" w:eastAsia="+mn-ea" w:hAnsi="Calibri" w:cs="+mn-cs"/>
                <w:color w:val="000000"/>
                <w:kern w:val="24"/>
              </w:rPr>
              <w:t xml:space="preserve">the </w:t>
            </w:r>
            <w:r>
              <w:rPr>
                <w:rFonts w:ascii="Calibri" w:eastAsia="+mn-ea" w:hAnsi="Calibri" w:cs="+mn-cs"/>
                <w:color w:val="000000"/>
                <w:kern w:val="24"/>
              </w:rPr>
              <w:t>percent change in cobb angle between the standing radiograph and the side bending radiograph</w:t>
            </w:r>
          </w:p>
        </w:tc>
        <w:tc>
          <w:tcPr>
            <w:tcW w:w="2512" w:type="dxa"/>
            <w:tcBorders>
              <w:top w:val="single" w:sz="6" w:space="0" w:color="000000"/>
              <w:left w:val="single" w:sz="6" w:space="0" w:color="000000"/>
              <w:bottom w:val="single" w:sz="6" w:space="0" w:color="000000"/>
              <w:right w:val="single" w:sz="6" w:space="0" w:color="000000"/>
            </w:tcBorders>
          </w:tcPr>
          <w:p w14:paraId="6A874A4C" w14:textId="77777777" w:rsidR="00F64D07" w:rsidRPr="00D51EAC" w:rsidRDefault="00F64D07" w:rsidP="00D51EAC"/>
        </w:tc>
      </w:tr>
      <w:tr w:rsidR="00F64D07" w:rsidRPr="00D51EAC" w14:paraId="07812AB6" w14:textId="633A2764" w:rsidTr="00F64D07">
        <w:tc>
          <w:tcPr>
            <w:tcW w:w="3735" w:type="dxa"/>
            <w:tcBorders>
              <w:top w:val="single" w:sz="6" w:space="0" w:color="000000"/>
              <w:left w:val="single" w:sz="6" w:space="0" w:color="000000"/>
              <w:bottom w:val="single" w:sz="6" w:space="0" w:color="000000"/>
              <w:right w:val="single" w:sz="6" w:space="0" w:color="000000"/>
            </w:tcBorders>
            <w:vAlign w:val="center"/>
            <w:hideMark/>
          </w:tcPr>
          <w:p w14:paraId="563389C3" w14:textId="77777777" w:rsidR="00F64D07" w:rsidRPr="00D51EAC" w:rsidRDefault="00F64D07" w:rsidP="00D51EAC">
            <w:r w:rsidRPr="00D51EAC">
              <w:t>Lumbar lordosis angle</w:t>
            </w:r>
          </w:p>
        </w:tc>
        <w:tc>
          <w:tcPr>
            <w:tcW w:w="2488" w:type="dxa"/>
            <w:tcBorders>
              <w:top w:val="single" w:sz="6" w:space="0" w:color="000000"/>
              <w:left w:val="single" w:sz="6" w:space="0" w:color="000000"/>
              <w:bottom w:val="single" w:sz="6" w:space="0" w:color="000000"/>
              <w:right w:val="single" w:sz="6" w:space="0" w:color="000000"/>
            </w:tcBorders>
            <w:vAlign w:val="center"/>
          </w:tcPr>
          <w:p w14:paraId="01B300EB" w14:textId="0074A875" w:rsidR="00F64D07" w:rsidRDefault="00F64D07" w:rsidP="00927DA0">
            <w:r w:rsidRPr="00927DA0">
              <w:t xml:space="preserve">Lordosis and Kyphosis angles </w:t>
            </w:r>
            <w:r>
              <w:t>are</w:t>
            </w:r>
            <w:r w:rsidRPr="00927DA0">
              <w:t xml:space="preserve"> measured from lateral radiographs</w:t>
            </w:r>
          </w:p>
          <w:p w14:paraId="40724B99" w14:textId="7BCB03B8" w:rsidR="00F64D07" w:rsidRPr="00927DA0" w:rsidRDefault="00F64D07" w:rsidP="00927DA0">
            <w:r w:rsidRPr="00927DA0">
              <w:t xml:space="preserve">Lordosis angle </w:t>
            </w:r>
            <w:r>
              <w:t>is the</w:t>
            </w:r>
            <w:r w:rsidRPr="00927DA0">
              <w:t xml:space="preserve"> </w:t>
            </w:r>
            <w:r>
              <w:t>angle</w:t>
            </w:r>
            <w:r w:rsidRPr="00927DA0">
              <w:t xml:space="preserve"> between the superior endplate of L1 and the inferior endplate of L5</w:t>
            </w:r>
          </w:p>
          <w:p w14:paraId="4B36F7BC" w14:textId="4A3C256D" w:rsidR="00F64D07" w:rsidRDefault="00F64D07" w:rsidP="00927DA0">
            <w:r w:rsidRPr="00927DA0">
              <w:lastRenderedPageBreak/>
              <w:t xml:space="preserve">Kyphosis angle </w:t>
            </w:r>
            <w:r>
              <w:t xml:space="preserve">is the angle </w:t>
            </w:r>
            <w:r w:rsidRPr="00927DA0">
              <w:t xml:space="preserve">between </w:t>
            </w:r>
            <w:r>
              <w:t xml:space="preserve">the </w:t>
            </w:r>
            <w:r w:rsidRPr="00927DA0">
              <w:t>superior endplate of T</w:t>
            </w:r>
            <w:r>
              <w:t>2</w:t>
            </w:r>
            <w:r w:rsidRPr="00927DA0">
              <w:t xml:space="preserve"> and the inferior endplate of T12</w:t>
            </w:r>
          </w:p>
          <w:p w14:paraId="23AB587B" w14:textId="77777777" w:rsidR="00F64D07" w:rsidRPr="00927DA0" w:rsidRDefault="00F64D07" w:rsidP="00927DA0"/>
          <w:p w14:paraId="16CAC244" w14:textId="4D3EA1D5" w:rsidR="00F64D07" w:rsidRPr="00927DA0" w:rsidRDefault="00F64D07" w:rsidP="00927DA0"/>
          <w:p w14:paraId="1238EED6" w14:textId="02050BE8" w:rsidR="00F64D07" w:rsidRPr="00D51EAC" w:rsidRDefault="00F64D07" w:rsidP="00D51EAC"/>
        </w:tc>
        <w:tc>
          <w:tcPr>
            <w:tcW w:w="2512" w:type="dxa"/>
            <w:tcBorders>
              <w:top w:val="single" w:sz="6" w:space="0" w:color="000000"/>
              <w:left w:val="single" w:sz="6" w:space="0" w:color="000000"/>
              <w:bottom w:val="single" w:sz="6" w:space="0" w:color="000000"/>
              <w:right w:val="single" w:sz="6" w:space="0" w:color="000000"/>
            </w:tcBorders>
          </w:tcPr>
          <w:p w14:paraId="490602BE" w14:textId="77777777" w:rsidR="00F64D07" w:rsidRPr="00D51EAC" w:rsidRDefault="00F64D07" w:rsidP="00D51EAC"/>
        </w:tc>
      </w:tr>
      <w:tr w:rsidR="00F64D07" w:rsidRPr="00D51EAC" w14:paraId="216B686D" w14:textId="33E86DB3" w:rsidTr="00F64D07">
        <w:tc>
          <w:tcPr>
            <w:tcW w:w="3735" w:type="dxa"/>
            <w:tcBorders>
              <w:top w:val="single" w:sz="6" w:space="0" w:color="000000"/>
              <w:left w:val="single" w:sz="6" w:space="0" w:color="000000"/>
              <w:bottom w:val="single" w:sz="6" w:space="0" w:color="000000"/>
              <w:right w:val="single" w:sz="6" w:space="0" w:color="000000"/>
            </w:tcBorders>
            <w:vAlign w:val="center"/>
            <w:hideMark/>
          </w:tcPr>
          <w:p w14:paraId="606B52F7" w14:textId="430B324E" w:rsidR="00F64D07" w:rsidRPr="00D51EAC" w:rsidRDefault="00F64D07" w:rsidP="00D51EAC">
            <w:r w:rsidRPr="00D51EAC">
              <w:t xml:space="preserve">Age at </w:t>
            </w:r>
            <w:r w:rsidR="008A325F">
              <w:t>prediction</w:t>
            </w:r>
            <w:r w:rsidRPr="00D51EAC">
              <w:t xml:space="preserve"> (years)</w:t>
            </w:r>
          </w:p>
        </w:tc>
        <w:tc>
          <w:tcPr>
            <w:tcW w:w="2488" w:type="dxa"/>
            <w:tcBorders>
              <w:top w:val="single" w:sz="6" w:space="0" w:color="000000"/>
              <w:left w:val="single" w:sz="6" w:space="0" w:color="000000"/>
              <w:bottom w:val="single" w:sz="6" w:space="0" w:color="000000"/>
              <w:right w:val="single" w:sz="6" w:space="0" w:color="000000"/>
            </w:tcBorders>
            <w:vAlign w:val="center"/>
          </w:tcPr>
          <w:p w14:paraId="105AC04D" w14:textId="6656644F" w:rsidR="00F64D07" w:rsidRPr="00D51EAC" w:rsidRDefault="008A325F" w:rsidP="00D51EAC">
            <w:r>
              <w:t>Age of the patient at which</w:t>
            </w:r>
            <w:r w:rsidR="00813F6D">
              <w:t xml:space="preserve"> the prediction is made</w:t>
            </w:r>
            <w:r>
              <w:t xml:space="preserve"> </w:t>
            </w:r>
          </w:p>
        </w:tc>
        <w:tc>
          <w:tcPr>
            <w:tcW w:w="2512" w:type="dxa"/>
            <w:tcBorders>
              <w:top w:val="single" w:sz="6" w:space="0" w:color="000000"/>
              <w:left w:val="single" w:sz="6" w:space="0" w:color="000000"/>
              <w:bottom w:val="single" w:sz="6" w:space="0" w:color="000000"/>
              <w:right w:val="single" w:sz="6" w:space="0" w:color="000000"/>
            </w:tcBorders>
          </w:tcPr>
          <w:p w14:paraId="76C53A8D" w14:textId="77777777" w:rsidR="00F64D07" w:rsidRPr="00D51EAC" w:rsidRDefault="00F64D07" w:rsidP="00D51EAC"/>
        </w:tc>
      </w:tr>
      <w:tr w:rsidR="00F64D07" w:rsidRPr="00D51EAC" w14:paraId="184AE302" w14:textId="07641ADA" w:rsidTr="00F64D07">
        <w:tc>
          <w:tcPr>
            <w:tcW w:w="3735" w:type="dxa"/>
            <w:tcBorders>
              <w:top w:val="single" w:sz="6" w:space="0" w:color="000000"/>
              <w:left w:val="single" w:sz="6" w:space="0" w:color="000000"/>
              <w:bottom w:val="single" w:sz="6" w:space="0" w:color="000000"/>
              <w:right w:val="single" w:sz="6" w:space="0" w:color="000000"/>
            </w:tcBorders>
            <w:vAlign w:val="center"/>
            <w:hideMark/>
          </w:tcPr>
          <w:p w14:paraId="6A587AA9" w14:textId="77777777" w:rsidR="00F64D07" w:rsidRPr="00D51EAC" w:rsidRDefault="00F64D07" w:rsidP="00D51EAC">
            <w:r w:rsidRPr="00D51EAC">
              <w:t>Number of levels involved</w:t>
            </w:r>
          </w:p>
        </w:tc>
        <w:tc>
          <w:tcPr>
            <w:tcW w:w="2488" w:type="dxa"/>
            <w:tcBorders>
              <w:top w:val="single" w:sz="6" w:space="0" w:color="000000"/>
              <w:left w:val="single" w:sz="6" w:space="0" w:color="000000"/>
              <w:bottom w:val="single" w:sz="6" w:space="0" w:color="000000"/>
              <w:right w:val="single" w:sz="6" w:space="0" w:color="000000"/>
            </w:tcBorders>
            <w:vAlign w:val="center"/>
            <w:hideMark/>
          </w:tcPr>
          <w:p w14:paraId="5F668E4B" w14:textId="4A65E022" w:rsidR="00F64D07" w:rsidRPr="00D51EAC" w:rsidRDefault="00813F6D" w:rsidP="00D51EAC">
            <w:r>
              <w:t>The number of vertebral levels involved in the major curve</w:t>
            </w:r>
            <w:r w:rsidR="00BB4032">
              <w:t xml:space="preserve">. </w:t>
            </w:r>
            <w:r w:rsidR="002C3727">
              <w:t>In t</w:t>
            </w:r>
            <w:r w:rsidR="00BB4032">
              <w:t>he figure on the right</w:t>
            </w:r>
            <w:r w:rsidR="002C3727">
              <w:t>, seven levels are involved in the curve</w:t>
            </w:r>
          </w:p>
        </w:tc>
        <w:tc>
          <w:tcPr>
            <w:tcW w:w="2512" w:type="dxa"/>
            <w:tcBorders>
              <w:top w:val="single" w:sz="6" w:space="0" w:color="000000"/>
              <w:left w:val="single" w:sz="6" w:space="0" w:color="000000"/>
              <w:bottom w:val="single" w:sz="6" w:space="0" w:color="000000"/>
              <w:right w:val="single" w:sz="6" w:space="0" w:color="000000"/>
            </w:tcBorders>
          </w:tcPr>
          <w:p w14:paraId="2666D8C4" w14:textId="77777777" w:rsidR="00F64D07" w:rsidRPr="00D51EAC" w:rsidRDefault="00F64D07" w:rsidP="00D51EAC"/>
        </w:tc>
      </w:tr>
      <w:tr w:rsidR="00F64D07" w:rsidRPr="00D51EAC" w14:paraId="052C959D" w14:textId="52969A30" w:rsidTr="00F64D07">
        <w:tc>
          <w:tcPr>
            <w:tcW w:w="3735" w:type="dxa"/>
            <w:tcBorders>
              <w:top w:val="single" w:sz="6" w:space="0" w:color="000000"/>
              <w:left w:val="single" w:sz="6" w:space="0" w:color="000000"/>
              <w:bottom w:val="single" w:sz="6" w:space="0" w:color="000000"/>
              <w:right w:val="single" w:sz="6" w:space="0" w:color="000000"/>
            </w:tcBorders>
            <w:vAlign w:val="center"/>
            <w:hideMark/>
          </w:tcPr>
          <w:p w14:paraId="1A022B98" w14:textId="451DF7A4" w:rsidR="00F64D07" w:rsidRPr="00D51EAC" w:rsidRDefault="00F64D07" w:rsidP="00D51EAC">
            <w:r w:rsidRPr="00D51EAC">
              <w:t xml:space="preserve">Risser"+" stage at </w:t>
            </w:r>
            <w:r>
              <w:t>first-time</w:t>
            </w:r>
            <w:r w:rsidRPr="00D51EAC">
              <w:t xml:space="preserve"> point</w:t>
            </w:r>
          </w:p>
        </w:tc>
        <w:tc>
          <w:tcPr>
            <w:tcW w:w="2488" w:type="dxa"/>
            <w:tcBorders>
              <w:top w:val="single" w:sz="6" w:space="0" w:color="000000"/>
              <w:left w:val="single" w:sz="6" w:space="0" w:color="000000"/>
              <w:bottom w:val="single" w:sz="6" w:space="0" w:color="000000"/>
              <w:right w:val="single" w:sz="6" w:space="0" w:color="000000"/>
            </w:tcBorders>
            <w:vAlign w:val="center"/>
            <w:hideMark/>
          </w:tcPr>
          <w:p w14:paraId="318E630B" w14:textId="384EFC49" w:rsidR="00D566AC" w:rsidRDefault="00D566AC" w:rsidP="00D566AC">
            <w:pPr>
              <w:pStyle w:val="NormalWeb"/>
              <w:spacing w:before="0" w:beforeAutospacing="0" w:after="0" w:afterAutospacing="0"/>
              <w:rPr>
                <w:rFonts w:ascii="Calibri" w:eastAsia="+mn-ea" w:hAnsi="Calibri" w:cs="+mn-cs"/>
                <w:color w:val="000000"/>
                <w:kern w:val="24"/>
              </w:rPr>
            </w:pPr>
            <w:r w:rsidRPr="00D566AC">
              <w:rPr>
                <w:rFonts w:ascii="Calibri" w:eastAsia="+mn-ea" w:hAnsi="Calibri" w:cs="+mn-cs"/>
                <w:color w:val="000000"/>
                <w:kern w:val="24"/>
              </w:rPr>
              <w:t xml:space="preserve">Risser + staging system is an </w:t>
            </w:r>
            <w:r>
              <w:rPr>
                <w:rFonts w:ascii="Calibri" w:eastAsia="+mn-ea" w:hAnsi="Calibri" w:cs="+mn-cs"/>
                <w:color w:val="000000"/>
                <w:kern w:val="24"/>
              </w:rPr>
              <w:t>eight-point</w:t>
            </w:r>
            <w:r w:rsidRPr="00D566AC">
              <w:rPr>
                <w:rFonts w:ascii="Calibri" w:eastAsia="+mn-ea" w:hAnsi="Calibri" w:cs="+mn-cs"/>
                <w:color w:val="000000"/>
                <w:kern w:val="24"/>
              </w:rPr>
              <w:t xml:space="preserve"> system</w:t>
            </w:r>
          </w:p>
          <w:p w14:paraId="0CF216CC" w14:textId="31D5FB68" w:rsidR="004654CC" w:rsidRPr="00D566AC" w:rsidRDefault="004654CC" w:rsidP="00D566AC">
            <w:pPr>
              <w:pStyle w:val="NormalWeb"/>
              <w:spacing w:before="0" w:beforeAutospacing="0" w:after="0" w:afterAutospacing="0"/>
            </w:pPr>
            <w:r w:rsidRPr="004654CC">
              <w:t>describes the pattern of ossification of the iliac apophysis and subsequent fusion of the apophysis to the ilium</w:t>
            </w:r>
            <w:r>
              <w:t>.</w:t>
            </w:r>
          </w:p>
          <w:p w14:paraId="3E7A76D6" w14:textId="791A8FB5" w:rsidR="00D566AC" w:rsidRPr="00D566AC" w:rsidRDefault="00D566AC" w:rsidP="00D566AC">
            <w:pPr>
              <w:spacing w:after="0" w:line="240" w:lineRule="auto"/>
              <w:rPr>
                <w:rFonts w:ascii="Times New Roman" w:eastAsia="Times New Roman" w:hAnsi="Times New Roman" w:cs="Times New Roman"/>
                <w:sz w:val="24"/>
                <w:szCs w:val="24"/>
              </w:rPr>
            </w:pPr>
            <w:r w:rsidRPr="00D566AC">
              <w:rPr>
                <w:rFonts w:ascii="Calibri" w:eastAsia="+mn-ea" w:hAnsi="Calibri" w:cs="+mn-cs"/>
                <w:color w:val="000000"/>
                <w:kern w:val="24"/>
                <w:sz w:val="24"/>
                <w:szCs w:val="24"/>
              </w:rPr>
              <w:t xml:space="preserve">It </w:t>
            </w:r>
            <w:r w:rsidRPr="00D566AC">
              <w:rPr>
                <w:rFonts w:ascii="Calibri" w:eastAsia="+mn-ea" w:hAnsi="Calibri" w:cs="+mn-cs"/>
                <w:color w:val="000000"/>
                <w:kern w:val="24"/>
                <w:sz w:val="24"/>
                <w:szCs w:val="24"/>
              </w:rPr>
              <w:t>combines the</w:t>
            </w:r>
            <w:r w:rsidRPr="00D566AC">
              <w:rPr>
                <w:rFonts w:ascii="Calibri" w:eastAsia="+mn-ea" w:hAnsi="Calibri" w:cs="+mn-cs"/>
                <w:color w:val="000000"/>
                <w:kern w:val="24"/>
                <w:sz w:val="24"/>
                <w:szCs w:val="24"/>
              </w:rPr>
              <w:t xml:space="preserve"> conventional Risser staging system with triradiate cartilage maturity assessment</w:t>
            </w:r>
            <w:r w:rsidR="004654CC">
              <w:rPr>
                <w:rFonts w:ascii="Calibri" w:eastAsia="+mn-ea" w:hAnsi="Calibri" w:cs="+mn-cs"/>
                <w:color w:val="000000"/>
                <w:kern w:val="24"/>
                <w:sz w:val="24"/>
                <w:szCs w:val="24"/>
              </w:rPr>
              <w:t>.</w:t>
            </w:r>
            <w:r w:rsidRPr="00D566AC">
              <w:rPr>
                <w:rFonts w:ascii="Calibri" w:eastAsia="+mn-ea" w:hAnsi="Calibri" w:cs="+mn-cs"/>
                <w:color w:val="000000"/>
                <w:kern w:val="24"/>
                <w:sz w:val="24"/>
                <w:szCs w:val="24"/>
              </w:rPr>
              <w:t xml:space="preserve"> </w:t>
            </w:r>
          </w:p>
          <w:p w14:paraId="4F6880A0" w14:textId="77777777" w:rsidR="00D566AC" w:rsidRDefault="00D566AC" w:rsidP="00D566AC">
            <w:pPr>
              <w:spacing w:after="0" w:line="240" w:lineRule="auto"/>
              <w:rPr>
                <w:rFonts w:ascii="Calibri" w:eastAsia="+mn-ea" w:hAnsi="Calibri" w:cs="+mn-cs"/>
                <w:color w:val="000000"/>
                <w:kern w:val="24"/>
                <w:sz w:val="24"/>
                <w:szCs w:val="24"/>
              </w:rPr>
            </w:pPr>
            <w:r w:rsidRPr="00D566AC">
              <w:rPr>
                <w:rFonts w:ascii="Calibri" w:eastAsia="+mn-ea" w:hAnsi="Calibri" w:cs="+mn-cs"/>
                <w:color w:val="000000"/>
                <w:kern w:val="24"/>
                <w:sz w:val="24"/>
                <w:szCs w:val="24"/>
              </w:rPr>
              <w:t>The Risser+ system consists of grade:</w:t>
            </w:r>
          </w:p>
          <w:p w14:paraId="7B2DC169" w14:textId="71061EA8" w:rsidR="00D566AC" w:rsidRPr="00D566AC" w:rsidRDefault="00D566AC" w:rsidP="00D566AC">
            <w:pPr>
              <w:spacing w:after="0" w:line="240" w:lineRule="auto"/>
              <w:rPr>
                <w:rFonts w:ascii="Times New Roman" w:eastAsia="Times New Roman" w:hAnsi="Times New Roman" w:cs="Times New Roman"/>
                <w:sz w:val="24"/>
                <w:szCs w:val="24"/>
              </w:rPr>
            </w:pPr>
            <w:r w:rsidRPr="00D566AC">
              <w:rPr>
                <w:rFonts w:ascii="Calibri" w:eastAsia="+mn-ea" w:hAnsi="Calibri" w:cs="+mn-cs"/>
                <w:color w:val="000000"/>
                <w:kern w:val="24"/>
                <w:sz w:val="24"/>
                <w:szCs w:val="24"/>
              </w:rPr>
              <w:t>0-</w:t>
            </w:r>
            <w:r>
              <w:rPr>
                <w:rFonts w:ascii="Calibri" w:eastAsia="+mn-ea" w:hAnsi="Calibri" w:cs="+mn-cs"/>
                <w:color w:val="000000"/>
                <w:kern w:val="24"/>
                <w:sz w:val="24"/>
                <w:szCs w:val="24"/>
              </w:rPr>
              <w:t xml:space="preserve"> </w:t>
            </w:r>
            <w:r w:rsidRPr="00D566AC">
              <w:rPr>
                <w:rFonts w:ascii="Calibri" w:eastAsia="+mn-ea" w:hAnsi="Calibri" w:cs="+mn-cs"/>
                <w:color w:val="000000"/>
                <w:kern w:val="24"/>
                <w:sz w:val="24"/>
                <w:szCs w:val="24"/>
              </w:rPr>
              <w:t>(open TRC)</w:t>
            </w:r>
          </w:p>
          <w:p w14:paraId="2561D8E6" w14:textId="5F8F05FA" w:rsidR="00D566AC" w:rsidRPr="00D566AC" w:rsidRDefault="00D566AC" w:rsidP="00D566AC">
            <w:pPr>
              <w:spacing w:after="0" w:line="240" w:lineRule="auto"/>
              <w:rPr>
                <w:rFonts w:ascii="Times New Roman" w:eastAsia="Times New Roman" w:hAnsi="Times New Roman" w:cs="Times New Roman"/>
                <w:sz w:val="24"/>
                <w:szCs w:val="24"/>
              </w:rPr>
            </w:pPr>
            <w:r w:rsidRPr="00D566AC">
              <w:rPr>
                <w:rFonts w:ascii="Calibri" w:eastAsia="+mn-ea" w:hAnsi="Calibri" w:cs="+mn-cs"/>
                <w:color w:val="000000"/>
                <w:kern w:val="24"/>
                <w:sz w:val="24"/>
                <w:szCs w:val="24"/>
              </w:rPr>
              <w:t xml:space="preserve">0+ (Closed TRC), </w:t>
            </w:r>
          </w:p>
          <w:p w14:paraId="6AA14ED6" w14:textId="77777777" w:rsidR="00001AD7" w:rsidRDefault="00D566AC" w:rsidP="00D566AC">
            <w:pPr>
              <w:spacing w:after="0" w:line="240" w:lineRule="auto"/>
              <w:rPr>
                <w:rFonts w:ascii="Calibri" w:eastAsia="+mn-ea" w:hAnsi="Calibri" w:cs="+mn-cs"/>
                <w:color w:val="000000"/>
                <w:kern w:val="24"/>
                <w:sz w:val="24"/>
                <w:szCs w:val="24"/>
              </w:rPr>
            </w:pPr>
            <w:r w:rsidRPr="00D566AC">
              <w:rPr>
                <w:rFonts w:ascii="Calibri" w:eastAsia="+mn-ea" w:hAnsi="Calibri" w:cs="+mn-cs"/>
                <w:color w:val="000000"/>
                <w:kern w:val="24"/>
                <w:sz w:val="24"/>
                <w:szCs w:val="24"/>
              </w:rPr>
              <w:t xml:space="preserve">Risser 1 </w:t>
            </w:r>
            <w:r w:rsidR="00001AD7">
              <w:rPr>
                <w:rFonts w:ascii="Calibri" w:eastAsia="+mn-ea" w:hAnsi="Calibri" w:cs="+mn-cs"/>
                <w:color w:val="000000"/>
                <w:kern w:val="24"/>
                <w:sz w:val="24"/>
                <w:szCs w:val="24"/>
              </w:rPr>
              <w:t>:25% coverage</w:t>
            </w:r>
            <w:r w:rsidRPr="00D566AC">
              <w:rPr>
                <w:rFonts w:ascii="Calibri" w:eastAsia="+mn-ea" w:hAnsi="Calibri" w:cs="+mn-cs"/>
                <w:color w:val="000000"/>
                <w:kern w:val="24"/>
                <w:sz w:val="24"/>
                <w:szCs w:val="24"/>
              </w:rPr>
              <w:t xml:space="preserve"> </w:t>
            </w:r>
          </w:p>
          <w:p w14:paraId="70BABFB7" w14:textId="0244152D" w:rsidR="00001AD7" w:rsidRDefault="00001AD7" w:rsidP="00D566AC">
            <w:pPr>
              <w:spacing w:after="0" w:line="240" w:lineRule="auto"/>
              <w:rPr>
                <w:rFonts w:ascii="Calibri" w:eastAsia="+mn-ea" w:hAnsi="Calibri" w:cs="+mn-cs"/>
                <w:color w:val="000000"/>
                <w:kern w:val="24"/>
                <w:sz w:val="24"/>
                <w:szCs w:val="24"/>
              </w:rPr>
            </w:pPr>
            <w:r>
              <w:rPr>
                <w:rFonts w:ascii="Calibri" w:eastAsia="+mn-ea" w:hAnsi="Calibri" w:cs="+mn-cs"/>
                <w:color w:val="000000"/>
                <w:kern w:val="24"/>
                <w:sz w:val="24"/>
                <w:szCs w:val="24"/>
              </w:rPr>
              <w:t>Risser 2: 50% coverage</w:t>
            </w:r>
          </w:p>
          <w:p w14:paraId="087CA266" w14:textId="087ED592" w:rsidR="00001AD7" w:rsidRDefault="00001AD7" w:rsidP="00D566AC">
            <w:pPr>
              <w:spacing w:after="0" w:line="240" w:lineRule="auto"/>
              <w:rPr>
                <w:rFonts w:ascii="Calibri" w:eastAsia="+mn-ea" w:hAnsi="Calibri" w:cs="+mn-cs"/>
                <w:color w:val="000000"/>
                <w:kern w:val="24"/>
                <w:sz w:val="24"/>
                <w:szCs w:val="24"/>
              </w:rPr>
            </w:pPr>
            <w:r>
              <w:rPr>
                <w:rFonts w:ascii="Calibri" w:eastAsia="+mn-ea" w:hAnsi="Calibri" w:cs="+mn-cs"/>
                <w:color w:val="000000"/>
                <w:kern w:val="24"/>
                <w:sz w:val="24"/>
                <w:szCs w:val="24"/>
              </w:rPr>
              <w:t>Risser 3</w:t>
            </w:r>
            <w:r w:rsidR="002B0304">
              <w:rPr>
                <w:rFonts w:ascii="Calibri" w:eastAsia="+mn-ea" w:hAnsi="Calibri" w:cs="+mn-cs"/>
                <w:color w:val="000000"/>
                <w:kern w:val="24"/>
                <w:sz w:val="24"/>
                <w:szCs w:val="24"/>
              </w:rPr>
              <w:t>: 7</w:t>
            </w:r>
            <w:r w:rsidR="008D2F62">
              <w:rPr>
                <w:rFonts w:ascii="Calibri" w:eastAsia="+mn-ea" w:hAnsi="Calibri" w:cs="+mn-cs"/>
                <w:color w:val="000000"/>
                <w:kern w:val="24"/>
                <w:sz w:val="24"/>
                <w:szCs w:val="24"/>
              </w:rPr>
              <w:t>5% coverage</w:t>
            </w:r>
          </w:p>
          <w:p w14:paraId="4BC9FEAA" w14:textId="49F93D3F" w:rsidR="00001AD7" w:rsidRDefault="00001AD7" w:rsidP="00D566AC">
            <w:pPr>
              <w:spacing w:after="0" w:line="240" w:lineRule="auto"/>
              <w:rPr>
                <w:rFonts w:ascii="Calibri" w:eastAsia="+mn-ea" w:hAnsi="Calibri" w:cs="+mn-cs"/>
                <w:color w:val="000000"/>
                <w:kern w:val="24"/>
                <w:sz w:val="24"/>
                <w:szCs w:val="24"/>
              </w:rPr>
            </w:pPr>
            <w:r>
              <w:rPr>
                <w:rFonts w:ascii="Calibri" w:eastAsia="+mn-ea" w:hAnsi="Calibri" w:cs="+mn-cs"/>
                <w:color w:val="000000"/>
                <w:kern w:val="24"/>
                <w:sz w:val="24"/>
                <w:szCs w:val="24"/>
              </w:rPr>
              <w:t xml:space="preserve">Risser </w:t>
            </w:r>
            <w:r w:rsidR="008D2F62">
              <w:rPr>
                <w:rFonts w:ascii="Calibri" w:eastAsia="+mn-ea" w:hAnsi="Calibri" w:cs="+mn-cs"/>
                <w:color w:val="000000"/>
                <w:kern w:val="24"/>
                <w:sz w:val="24"/>
                <w:szCs w:val="24"/>
              </w:rPr>
              <w:t>¾: 100% coverage</w:t>
            </w:r>
          </w:p>
          <w:p w14:paraId="35CABDDB" w14:textId="20C99736" w:rsidR="00D566AC" w:rsidRPr="00D566AC" w:rsidRDefault="00D566AC" w:rsidP="00D566AC">
            <w:pPr>
              <w:spacing w:after="0" w:line="240" w:lineRule="auto"/>
              <w:rPr>
                <w:rFonts w:ascii="Times New Roman" w:eastAsia="Times New Roman" w:hAnsi="Times New Roman" w:cs="Times New Roman"/>
                <w:sz w:val="24"/>
                <w:szCs w:val="24"/>
              </w:rPr>
            </w:pPr>
            <w:r w:rsidRPr="00D566AC">
              <w:rPr>
                <w:rFonts w:ascii="Calibri" w:eastAsia="+mn-ea" w:hAnsi="Calibri" w:cs="+mn-cs"/>
                <w:color w:val="000000"/>
                <w:kern w:val="24"/>
                <w:sz w:val="24"/>
                <w:szCs w:val="24"/>
              </w:rPr>
              <w:t>Risser 4</w:t>
            </w:r>
            <w:r>
              <w:rPr>
                <w:rFonts w:ascii="Calibri" w:eastAsia="+mn-ea" w:hAnsi="Calibri" w:cs="+mn-cs"/>
                <w:color w:val="000000"/>
                <w:kern w:val="24"/>
                <w:sz w:val="24"/>
                <w:szCs w:val="24"/>
              </w:rPr>
              <w:t>: Start of fusion</w:t>
            </w:r>
          </w:p>
          <w:p w14:paraId="3DE24D48" w14:textId="182AE4B7" w:rsidR="00D566AC" w:rsidRPr="00D566AC" w:rsidRDefault="00D566AC" w:rsidP="00D566AC">
            <w:pPr>
              <w:spacing w:after="0" w:line="240" w:lineRule="auto"/>
              <w:rPr>
                <w:rFonts w:ascii="Times New Roman" w:eastAsia="Times New Roman" w:hAnsi="Times New Roman" w:cs="Times New Roman"/>
                <w:sz w:val="24"/>
                <w:szCs w:val="24"/>
              </w:rPr>
            </w:pPr>
            <w:r w:rsidRPr="00D566AC">
              <w:rPr>
                <w:rFonts w:ascii="Calibri" w:eastAsia="+mn-ea" w:hAnsi="Calibri" w:cs="+mn-cs"/>
                <w:color w:val="000000"/>
                <w:kern w:val="24"/>
                <w:sz w:val="24"/>
                <w:szCs w:val="24"/>
              </w:rPr>
              <w:t>Risser 5</w:t>
            </w:r>
            <w:r>
              <w:rPr>
                <w:rFonts w:ascii="Calibri" w:eastAsia="+mn-ea" w:hAnsi="Calibri" w:cs="+mn-cs"/>
                <w:color w:val="000000"/>
                <w:kern w:val="24"/>
                <w:sz w:val="24"/>
                <w:szCs w:val="24"/>
              </w:rPr>
              <w:t xml:space="preserve">: </w:t>
            </w:r>
            <w:r w:rsidRPr="00D566AC">
              <w:rPr>
                <w:rFonts w:ascii="Calibri" w:eastAsia="+mn-ea" w:hAnsi="Calibri" w:cs="+mn-cs"/>
                <w:color w:val="000000"/>
                <w:kern w:val="24"/>
                <w:sz w:val="24"/>
                <w:szCs w:val="24"/>
              </w:rPr>
              <w:t xml:space="preserve">complete fusion </w:t>
            </w:r>
          </w:p>
          <w:p w14:paraId="6B081A57" w14:textId="77777777" w:rsidR="00876BCD" w:rsidRDefault="00F64D07" w:rsidP="00D51EAC">
            <w:r w:rsidRPr="00D51EAC">
              <w:t xml:space="preserve"> </w:t>
            </w:r>
          </w:p>
          <w:p w14:paraId="1B27CE22" w14:textId="77777777" w:rsidR="00ED2328" w:rsidRDefault="00876BCD" w:rsidP="00D51EAC">
            <w:r>
              <w:t xml:space="preserve">For further details, please refer to: </w:t>
            </w:r>
          </w:p>
          <w:p w14:paraId="60FD8DB8" w14:textId="77777777" w:rsidR="00EA5508" w:rsidRDefault="00ED2328" w:rsidP="00D51EAC">
            <w:r>
              <w:rPr>
                <w:rFonts w:ascii="Arial" w:hAnsi="Arial" w:cs="Arial"/>
                <w:color w:val="222222"/>
                <w:sz w:val="20"/>
                <w:szCs w:val="20"/>
                <w:shd w:val="clear" w:color="auto" w:fill="FFFFFF"/>
              </w:rPr>
              <w:lastRenderedPageBreak/>
              <w:t>Troy, Michael J., Patricia E. Miller, Nigel Price, Vish Talwalkar, Fabio Zaina, Sabrina Donzelli, Stefano Negrini, and M. Timothy Hresko. "The “Risser+” grade: a new grading system to classify skeletal maturity in idiopathic scoliosis." </w:t>
            </w:r>
            <w:r>
              <w:rPr>
                <w:rFonts w:ascii="Arial" w:hAnsi="Arial" w:cs="Arial"/>
                <w:i/>
                <w:iCs/>
                <w:color w:val="222222"/>
                <w:sz w:val="20"/>
                <w:szCs w:val="20"/>
                <w:shd w:val="clear" w:color="auto" w:fill="FFFFFF"/>
              </w:rPr>
              <w:t>European Spine Journal</w:t>
            </w:r>
            <w:r>
              <w:rPr>
                <w:rFonts w:ascii="Arial" w:hAnsi="Arial" w:cs="Arial"/>
                <w:color w:val="222222"/>
                <w:sz w:val="20"/>
                <w:szCs w:val="20"/>
                <w:shd w:val="clear" w:color="auto" w:fill="FFFFFF"/>
              </w:rPr>
              <w:t> 28, no. 3 (2019): 559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566.</w:t>
            </w:r>
            <w:r>
              <w:rPr>
                <w:rFonts w:ascii="Arial" w:hAnsi="Arial" w:cs="Arial"/>
                <w:color w:val="222222"/>
                <w:sz w:val="20"/>
                <w:szCs w:val="20"/>
                <w:shd w:val="clear" w:color="auto" w:fill="FFFFFF"/>
              </w:rPr>
              <w:t xml:space="preserve"> </w:t>
            </w:r>
            <w:r w:rsidR="00F64D07" w:rsidRPr="00D51EAC">
              <w:t> </w:t>
            </w:r>
            <w:r w:rsidR="00EA5508">
              <w:t>(Link)</w:t>
            </w:r>
          </w:p>
          <w:p w14:paraId="4EB4EA02" w14:textId="0C9F5079" w:rsidR="00ED2328" w:rsidRDefault="00EA5508" w:rsidP="00D51EAC">
            <w:r w:rsidRPr="00EA5508">
              <w:t>https://link.springer.com/article/10.1007/s00586-018-5821-8</w:t>
            </w:r>
            <w:r w:rsidR="00F64D07" w:rsidRPr="00D51EAC">
              <w:t> </w:t>
            </w:r>
          </w:p>
          <w:p w14:paraId="604F2B87" w14:textId="0BDD954A" w:rsidR="00F64D07" w:rsidRPr="00D51EAC" w:rsidRDefault="00F64D07" w:rsidP="00D51EAC">
            <w:r w:rsidRPr="00D51EAC">
              <w:t>                                                                         </w:t>
            </w:r>
          </w:p>
        </w:tc>
        <w:tc>
          <w:tcPr>
            <w:tcW w:w="2512" w:type="dxa"/>
            <w:tcBorders>
              <w:top w:val="single" w:sz="6" w:space="0" w:color="000000"/>
              <w:left w:val="single" w:sz="6" w:space="0" w:color="000000"/>
              <w:bottom w:val="single" w:sz="6" w:space="0" w:color="000000"/>
              <w:right w:val="single" w:sz="6" w:space="0" w:color="000000"/>
            </w:tcBorders>
          </w:tcPr>
          <w:p w14:paraId="76A60C1C" w14:textId="77777777" w:rsidR="00F64D07" w:rsidRPr="00D51EAC" w:rsidRDefault="00F64D07" w:rsidP="00D51EAC"/>
        </w:tc>
      </w:tr>
    </w:tbl>
    <w:p w14:paraId="65495022" w14:textId="77777777" w:rsidR="00B8085E" w:rsidRDefault="00EA5508" w:rsidP="00D51EAC"/>
    <w:sectPr w:rsidR="00B8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AC"/>
    <w:rsid w:val="00001AD7"/>
    <w:rsid w:val="00123A24"/>
    <w:rsid w:val="00147697"/>
    <w:rsid w:val="001871B9"/>
    <w:rsid w:val="00243C31"/>
    <w:rsid w:val="002B0304"/>
    <w:rsid w:val="002C3727"/>
    <w:rsid w:val="002D74CE"/>
    <w:rsid w:val="004654CC"/>
    <w:rsid w:val="004C734E"/>
    <w:rsid w:val="007D0D35"/>
    <w:rsid w:val="0080725C"/>
    <w:rsid w:val="00813F6D"/>
    <w:rsid w:val="00876BCD"/>
    <w:rsid w:val="008A325F"/>
    <w:rsid w:val="008D2F62"/>
    <w:rsid w:val="00927DA0"/>
    <w:rsid w:val="00BB4032"/>
    <w:rsid w:val="00C43415"/>
    <w:rsid w:val="00D51EAC"/>
    <w:rsid w:val="00D566AC"/>
    <w:rsid w:val="00EA0C77"/>
    <w:rsid w:val="00EA5508"/>
    <w:rsid w:val="00ED2328"/>
    <w:rsid w:val="00F64D07"/>
    <w:rsid w:val="00FA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1F97"/>
  <w15:chartTrackingRefBased/>
  <w15:docId w15:val="{1F000785-9CE7-4D43-8E91-F81B86DE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74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6708">
      <w:bodyDiv w:val="1"/>
      <w:marLeft w:val="0"/>
      <w:marRight w:val="0"/>
      <w:marTop w:val="0"/>
      <w:marBottom w:val="0"/>
      <w:divBdr>
        <w:top w:val="none" w:sz="0" w:space="0" w:color="auto"/>
        <w:left w:val="none" w:sz="0" w:space="0" w:color="auto"/>
        <w:bottom w:val="none" w:sz="0" w:space="0" w:color="auto"/>
        <w:right w:val="none" w:sz="0" w:space="0" w:color="auto"/>
      </w:divBdr>
    </w:div>
    <w:div w:id="417678936">
      <w:bodyDiv w:val="1"/>
      <w:marLeft w:val="0"/>
      <w:marRight w:val="0"/>
      <w:marTop w:val="0"/>
      <w:marBottom w:val="0"/>
      <w:divBdr>
        <w:top w:val="none" w:sz="0" w:space="0" w:color="auto"/>
        <w:left w:val="none" w:sz="0" w:space="0" w:color="auto"/>
        <w:bottom w:val="none" w:sz="0" w:space="0" w:color="auto"/>
        <w:right w:val="none" w:sz="0" w:space="0" w:color="auto"/>
      </w:divBdr>
    </w:div>
    <w:div w:id="1186939017">
      <w:bodyDiv w:val="1"/>
      <w:marLeft w:val="0"/>
      <w:marRight w:val="0"/>
      <w:marTop w:val="0"/>
      <w:marBottom w:val="0"/>
      <w:divBdr>
        <w:top w:val="none" w:sz="0" w:space="0" w:color="auto"/>
        <w:left w:val="none" w:sz="0" w:space="0" w:color="auto"/>
        <w:bottom w:val="none" w:sz="0" w:space="0" w:color="auto"/>
        <w:right w:val="none" w:sz="0" w:space="0" w:color="auto"/>
      </w:divBdr>
    </w:div>
    <w:div w:id="158021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Alfraihat,Ausilah</dc:creator>
  <cp:keywords/>
  <dc:description/>
  <cp:lastModifiedBy>Alfraihat,Ausilah</cp:lastModifiedBy>
  <cp:revision>20</cp:revision>
  <dcterms:created xsi:type="dcterms:W3CDTF">2022-04-21T19:29:00Z</dcterms:created>
  <dcterms:modified xsi:type="dcterms:W3CDTF">2022-04-21T21:59:00Z</dcterms:modified>
</cp:coreProperties>
</file>