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D3D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Arial" w:hAnsi="Arial" w:cs="Arial"/>
          <w:b w:val="0"/>
          <w:bCs w:val="0"/>
          <w:i w:val="0"/>
          <w:iCs w:val="0"/>
          <w:caps w:val="0"/>
          <w:color w:val="C56D3D"/>
          <w:spacing w:val="0"/>
          <w:sz w:val="32"/>
          <w:szCs w:val="32"/>
        </w:rPr>
      </w:pPr>
      <w:r>
        <w:rPr>
          <w:rFonts w:hint="default" w:ascii="Arial" w:hAnsi="Arial" w:cs="Arial"/>
          <w:b w:val="0"/>
          <w:bCs w:val="0"/>
          <w:i w:val="0"/>
          <w:iCs w:val="0"/>
          <w:caps w:val="0"/>
          <w:color w:val="C56D3D"/>
          <w:spacing w:val="0"/>
          <w:sz w:val="32"/>
          <w:szCs w:val="32"/>
          <w:bdr w:val="none" w:color="auto" w:sz="0" w:space="0"/>
          <w:shd w:val="clear" w:fill="FFFFFF"/>
        </w:rPr>
        <w:t>Summary of Study ST002317</w:t>
      </w:r>
    </w:p>
    <w:p w14:paraId="5AA126D6">
      <w:pPr>
        <w:pStyle w:val="3"/>
        <w:keepNext w:val="0"/>
        <w:keepLines w:val="0"/>
        <w:widowControl/>
        <w:suppressLineNumbers w:val="0"/>
        <w:spacing w:before="210" w:beforeAutospacing="0" w:after="210" w:afterAutospacing="0" w:line="24" w:lineRule="atLeast"/>
        <w:jc w:val="left"/>
        <w:rPr>
          <w:color w:val="333333"/>
          <w:sz w:val="18"/>
          <w:szCs w:val="18"/>
        </w:rPr>
      </w:pPr>
      <w:r>
        <w:rPr>
          <w:rFonts w:hint="default" w:ascii="Arial" w:hAnsi="Arial" w:cs="Arial"/>
          <w:i w:val="0"/>
          <w:iCs w:val="0"/>
          <w:caps w:val="0"/>
          <w:color w:val="333333"/>
          <w:spacing w:val="0"/>
          <w:sz w:val="18"/>
          <w:szCs w:val="18"/>
          <w:bdr w:val="none" w:color="auto" w:sz="0" w:space="0"/>
          <w:shd w:val="clear" w:fill="EEEEEE"/>
        </w:rPr>
        <w:t>This data is available at the NIH Common Fund's National Metabolomics Data Repository (NMDR) website, the Metabolomics Workbench, https://www.metabolomicsworkbench.org, where it has been assigned Project ID PR001485. The data can be accessed directly via it's Project DOI: </w:t>
      </w:r>
      <w:r>
        <w:rPr>
          <w:rFonts w:hint="default" w:ascii="Arial" w:hAnsi="Arial" w:cs="Arial"/>
          <w:b/>
          <w:bCs/>
          <w:i w:val="0"/>
          <w:iCs w:val="0"/>
          <w:caps w:val="0"/>
          <w:color w:val="1F699B"/>
          <w:spacing w:val="0"/>
          <w:sz w:val="18"/>
          <w:szCs w:val="18"/>
          <w:u w:val="none"/>
          <w:bdr w:val="none" w:color="auto" w:sz="0" w:space="0"/>
          <w:shd w:val="clear" w:fill="EEEEEE"/>
        </w:rPr>
        <w:fldChar w:fldCharType="begin"/>
      </w:r>
      <w:r>
        <w:rPr>
          <w:rFonts w:hint="default" w:ascii="Arial" w:hAnsi="Arial" w:cs="Arial"/>
          <w:b/>
          <w:bCs/>
          <w:i w:val="0"/>
          <w:iCs w:val="0"/>
          <w:caps w:val="0"/>
          <w:color w:val="1F699B"/>
          <w:spacing w:val="0"/>
          <w:sz w:val="18"/>
          <w:szCs w:val="18"/>
          <w:u w:val="none"/>
          <w:bdr w:val="none" w:color="auto" w:sz="0" w:space="0"/>
          <w:shd w:val="clear" w:fill="EEEEEE"/>
        </w:rPr>
        <w:instrText xml:space="preserve"> HYPERLINK "http://dx.doi.org/10.21228/M8S41S" </w:instrText>
      </w:r>
      <w:r>
        <w:rPr>
          <w:rFonts w:hint="default" w:ascii="Arial" w:hAnsi="Arial" w:cs="Arial"/>
          <w:b/>
          <w:bCs/>
          <w:i w:val="0"/>
          <w:iCs w:val="0"/>
          <w:caps w:val="0"/>
          <w:color w:val="1F699B"/>
          <w:spacing w:val="0"/>
          <w:sz w:val="18"/>
          <w:szCs w:val="18"/>
          <w:u w:val="none"/>
          <w:bdr w:val="none" w:color="auto" w:sz="0" w:space="0"/>
          <w:shd w:val="clear" w:fill="EEEEEE"/>
        </w:rPr>
        <w:fldChar w:fldCharType="separate"/>
      </w:r>
      <w:r>
        <w:rPr>
          <w:rStyle w:val="6"/>
          <w:rFonts w:hint="default" w:ascii="Arial" w:hAnsi="Arial" w:cs="Arial"/>
          <w:b/>
          <w:bCs/>
          <w:i w:val="0"/>
          <w:iCs w:val="0"/>
          <w:caps w:val="0"/>
          <w:color w:val="1F699B"/>
          <w:spacing w:val="0"/>
          <w:sz w:val="18"/>
          <w:szCs w:val="18"/>
          <w:u w:val="none"/>
          <w:shd w:val="clear" w:fill="EEEEEE"/>
        </w:rPr>
        <w:t>10.21228/M8S41S</w:t>
      </w:r>
      <w:r>
        <w:rPr>
          <w:rFonts w:hint="default" w:ascii="Arial" w:hAnsi="Arial" w:cs="Arial"/>
          <w:b/>
          <w:bCs/>
          <w:i w:val="0"/>
          <w:iCs w:val="0"/>
          <w:caps w:val="0"/>
          <w:color w:val="1F699B"/>
          <w:spacing w:val="0"/>
          <w:sz w:val="18"/>
          <w:szCs w:val="18"/>
          <w:u w:val="none"/>
          <w:bdr w:val="none" w:color="auto" w:sz="0" w:space="0"/>
          <w:shd w:val="clear" w:fill="EEEEEE"/>
        </w:rPr>
        <w:fldChar w:fldCharType="end"/>
      </w:r>
      <w:r>
        <w:rPr>
          <w:rFonts w:hint="default" w:ascii="Arial" w:hAnsi="Arial" w:cs="Arial"/>
          <w:i w:val="0"/>
          <w:iCs w:val="0"/>
          <w:caps w:val="0"/>
          <w:color w:val="333333"/>
          <w:spacing w:val="0"/>
          <w:sz w:val="18"/>
          <w:szCs w:val="18"/>
          <w:bdr w:val="none" w:color="auto" w:sz="0" w:space="0"/>
          <w:shd w:val="clear" w:fill="EEEEEE"/>
        </w:rPr>
        <w:t> This work is supported by NIH grant, U2C- DK119886. See: </w:t>
      </w:r>
      <w:r>
        <w:rPr>
          <w:rFonts w:hint="default" w:ascii="Arial" w:hAnsi="Arial" w:cs="Arial"/>
          <w:b/>
          <w:bCs/>
          <w:i w:val="0"/>
          <w:iCs w:val="0"/>
          <w:caps w:val="0"/>
          <w:color w:val="1F699B"/>
          <w:spacing w:val="0"/>
          <w:sz w:val="18"/>
          <w:szCs w:val="18"/>
          <w:u w:val="none"/>
          <w:bdr w:val="none" w:color="auto" w:sz="0" w:space="0"/>
          <w:shd w:val="clear" w:fill="EEEEEE"/>
        </w:rPr>
        <w:fldChar w:fldCharType="begin"/>
      </w:r>
      <w:r>
        <w:rPr>
          <w:rFonts w:hint="default" w:ascii="Arial" w:hAnsi="Arial" w:cs="Arial"/>
          <w:b/>
          <w:bCs/>
          <w:i w:val="0"/>
          <w:iCs w:val="0"/>
          <w:caps w:val="0"/>
          <w:color w:val="1F699B"/>
          <w:spacing w:val="0"/>
          <w:sz w:val="18"/>
          <w:szCs w:val="18"/>
          <w:u w:val="none"/>
          <w:bdr w:val="none" w:color="auto" w:sz="0" w:space="0"/>
          <w:shd w:val="clear" w:fill="EEEEEE"/>
        </w:rPr>
        <w:instrText xml:space="preserve"> HYPERLINK "https://www.metabolomicsworkbench.org/about/howtocite.php" </w:instrText>
      </w:r>
      <w:r>
        <w:rPr>
          <w:rFonts w:hint="default" w:ascii="Arial" w:hAnsi="Arial" w:cs="Arial"/>
          <w:b/>
          <w:bCs/>
          <w:i w:val="0"/>
          <w:iCs w:val="0"/>
          <w:caps w:val="0"/>
          <w:color w:val="1F699B"/>
          <w:spacing w:val="0"/>
          <w:sz w:val="18"/>
          <w:szCs w:val="18"/>
          <w:u w:val="none"/>
          <w:bdr w:val="none" w:color="auto" w:sz="0" w:space="0"/>
          <w:shd w:val="clear" w:fill="EEEEEE"/>
        </w:rPr>
        <w:fldChar w:fldCharType="separate"/>
      </w:r>
      <w:r>
        <w:rPr>
          <w:rStyle w:val="6"/>
          <w:rFonts w:hint="default" w:ascii="Arial" w:hAnsi="Arial" w:cs="Arial"/>
          <w:b/>
          <w:bCs/>
          <w:i w:val="0"/>
          <w:iCs w:val="0"/>
          <w:caps w:val="0"/>
          <w:color w:val="1F699B"/>
          <w:spacing w:val="0"/>
          <w:sz w:val="18"/>
          <w:szCs w:val="18"/>
          <w:u w:val="none"/>
          <w:shd w:val="clear" w:fill="EEEEEE"/>
        </w:rPr>
        <w:t>https://www.metabolomicsworkbench.org/about/howtocite.php</w:t>
      </w:r>
      <w:r>
        <w:rPr>
          <w:rFonts w:hint="default" w:ascii="Arial" w:hAnsi="Arial" w:cs="Arial"/>
          <w:b/>
          <w:bCs/>
          <w:i w:val="0"/>
          <w:iCs w:val="0"/>
          <w:caps w:val="0"/>
          <w:color w:val="1F699B"/>
          <w:spacing w:val="0"/>
          <w:sz w:val="18"/>
          <w:szCs w:val="18"/>
          <w:u w:val="none"/>
          <w:bdr w:val="none" w:color="auto" w:sz="0" w:space="0"/>
          <w:shd w:val="clear" w:fill="EEEEEE"/>
        </w:rPr>
        <w:fldChar w:fldCharType="end"/>
      </w:r>
    </w:p>
    <w:p w14:paraId="69EE0B93">
      <w:pPr>
        <w:keepNext w:val="0"/>
        <w:keepLines w:val="0"/>
        <w:widowControl/>
        <w:suppressLineNumbers w:val="0"/>
        <w:jc w:val="left"/>
      </w:pP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"https://www.metabolomicsworkbench.org/data/stats_toolbox.php?STUDY_ID=ST002317"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Perform statistical analysis</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"https://www.metabolomicsworkbench.org/data/subject_fetch.php?STUDY_ID=ST002317&amp;STUDY_TYPE=MS&amp;RESULT_TYPE=1"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Show all samples</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"https://www.metabolomicsworkbench.org/data/show_metabolites_by_study.php?STUDY_ID=ST002317&amp;SEARCH_TYPE=KNOWN&amp;STUDY_TYPE=MS&amp;RESULT_TYPE=1"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Show named metabolites</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"https://www.metabolomicsworkbench.org/data/data_table_output.php?STUDY_ID=ST002317&amp;STUDY_TYPE=MS&amp;RESULT_TYPE=1"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named metabolite data</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w:t>
      </w:r>
      <w:r>
        <w:rPr>
          <w:rFonts w:hint="default" w:ascii="Arial" w:hAnsi="Arial" w:eastAsia="宋体" w:cs="Arial"/>
          <w:i w:val="0"/>
          <w:iCs w:val="0"/>
          <w:caps w:val="0"/>
          <w:color w:val="000000"/>
          <w:spacing w:val="0"/>
          <w:kern w:val="0"/>
          <w:sz w:val="21"/>
          <w:szCs w:val="21"/>
          <w:shd w:val="clear" w:fill="FFFFFF"/>
          <w:lang w:val="en-US" w:eastAsia="zh-CN" w:bidi="ar"/>
        </w:rPr>
        <w:br w:type="textWrapping"/>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"https://www.metabolomicsworkbench.org/data/study_textformat_list.php?STUDY_ID=ST002317&amp;STUDY_TYPE=MS&amp;RESULT_TYPE=1"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mwTab file (text)</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"https://www.metabolomicsworkbench.org/data/study_textformat_list.php?JSON=YES&amp;STUDY_ID=ST002317&amp;STUDY_TYPE=MS&amp;RESULT_TYPE=1"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mwTab file(JSON)</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"https://www.metabolomicsworkbench.org/data/DRCCStudySummary.php?Mode=SetupRawDataDownload&amp;StudyID=ST002317"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data files (Contains raw data)</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6"/>
        <w:gridCol w:w="7250"/>
      </w:tblGrid>
      <w:tr w14:paraId="5C951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C7E68FD">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Study ID</w:t>
            </w:r>
          </w:p>
        </w:tc>
        <w:tc>
          <w:tcPr>
            <w:tcW w:w="0" w:type="auto"/>
            <w:shd w:val="clear" w:color="auto" w:fill="EEEEEE"/>
            <w:tcMar>
              <w:top w:w="75" w:type="dxa"/>
              <w:left w:w="75" w:type="dxa"/>
              <w:bottom w:w="75" w:type="dxa"/>
              <w:right w:w="75" w:type="dxa"/>
            </w:tcMar>
            <w:vAlign w:val="top"/>
          </w:tcPr>
          <w:p w14:paraId="77BD2335">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ST002317</w:t>
            </w:r>
          </w:p>
        </w:tc>
      </w:tr>
      <w:tr w14:paraId="5CE5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13E5399B">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Study Title</w:t>
            </w:r>
          </w:p>
        </w:tc>
        <w:tc>
          <w:tcPr>
            <w:tcW w:w="0" w:type="auto"/>
            <w:shd w:val="clear"/>
            <w:tcMar>
              <w:top w:w="75" w:type="dxa"/>
              <w:left w:w="75" w:type="dxa"/>
              <w:bottom w:w="75" w:type="dxa"/>
              <w:right w:w="75" w:type="dxa"/>
            </w:tcMar>
            <w:vAlign w:val="top"/>
          </w:tcPr>
          <w:p w14:paraId="626400FE">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Mass spectroscopy</w:t>
            </w:r>
            <w:r>
              <w:rPr>
                <w:rFonts w:ascii="宋体" w:hAnsi="宋体" w:eastAsia="宋体" w:cs="宋体"/>
                <w:color w:val="000000"/>
                <w:kern w:val="0"/>
                <w:sz w:val="18"/>
                <w:szCs w:val="18"/>
                <w:bdr w:val="none" w:color="auto" w:sz="0" w:space="0"/>
                <w:lang w:val="en-US" w:eastAsia="zh-CN" w:bidi="ar"/>
              </w:rPr>
              <w:noBreakHyphen/>
            </w:r>
            <w:r>
              <w:rPr>
                <w:rFonts w:ascii="宋体" w:hAnsi="宋体" w:eastAsia="宋体" w:cs="宋体"/>
                <w:color w:val="000000"/>
                <w:kern w:val="0"/>
                <w:sz w:val="18"/>
                <w:szCs w:val="18"/>
                <w:bdr w:val="none" w:color="auto" w:sz="0" w:space="0"/>
                <w:lang w:val="en-US" w:eastAsia="zh-CN" w:bidi="ar"/>
              </w:rPr>
              <w:t>based proteomics and metabolomics analysis of triple</w:t>
            </w:r>
            <w:r>
              <w:rPr>
                <w:rFonts w:ascii="宋体" w:hAnsi="宋体" w:eastAsia="宋体" w:cs="宋体"/>
                <w:color w:val="000000"/>
                <w:kern w:val="0"/>
                <w:sz w:val="18"/>
                <w:szCs w:val="18"/>
                <w:bdr w:val="none" w:color="auto" w:sz="0" w:space="0"/>
                <w:lang w:val="en-US" w:eastAsia="zh-CN" w:bidi="ar"/>
              </w:rPr>
              <w:noBreakHyphen/>
            </w:r>
            <w:r>
              <w:rPr>
                <w:rFonts w:ascii="宋体" w:hAnsi="宋体" w:eastAsia="宋体" w:cs="宋体"/>
                <w:color w:val="000000"/>
                <w:kern w:val="0"/>
                <w:sz w:val="18"/>
                <w:szCs w:val="18"/>
                <w:bdr w:val="none" w:color="auto" w:sz="0" w:space="0"/>
                <w:lang w:val="en-US" w:eastAsia="zh-CN" w:bidi="ar"/>
              </w:rPr>
              <w:t>positive breast cancer cells treated with tamoxifen</w:t>
            </w:r>
          </w:p>
        </w:tc>
      </w:tr>
      <w:tr w14:paraId="5EAA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D1BE723">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Study Summary</w:t>
            </w:r>
          </w:p>
        </w:tc>
        <w:tc>
          <w:tcPr>
            <w:tcW w:w="0" w:type="auto"/>
            <w:shd w:val="clear" w:color="auto" w:fill="EEEEEE"/>
            <w:tcMar>
              <w:top w:w="75" w:type="dxa"/>
              <w:left w:w="75" w:type="dxa"/>
              <w:bottom w:w="75" w:type="dxa"/>
              <w:right w:w="75" w:type="dxa"/>
            </w:tcMar>
            <w:vAlign w:val="top"/>
          </w:tcPr>
          <w:p w14:paraId="1D2AA933">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HER2-enriched breast cancer with high levels of hormone receptor expression, known as triple positive breast cancer, may represent a new entity with a relatively favourable prognosis against which the combination of chemotherapy, HER-2 inhibition, and endocrine treatment may be considered overtreatment. We explored the effect of the anticancer drugs tamoxifen and trastuzumab, both separately and in combination, on the integrated proteomic and metabolic profile of triple positive breast cancer cells (BT-474). Method We employed ultra-high-performance liquid chromatography-quadrupole time of flight mass spectrometry using a Bruker timsTOF to investigate changes in BT-474 cell line treated with either tamoxifen, trastuzumab or a combination. Differentially abundant metabolites were identified using the Bruker Human Metabolome Database metabolite library and proteins using the Uniprot proteome for Homo sapiens using MetaboScape and MaxQuant, respectively, for identification and quantitation. Results A total of 77 proteins and 85 metabolites were found to significantly differ in abundance in BT-474 treated cells with tamoxifen 5 μM/and or trastuzumab 2.5 μM. Findings suggest that by targeting important cellular signalling pathways which regulate cell growth, apoptosis, proliferation, and chemoresistance, these medicines have a considerable anti-growth effect in BT-474 cells. Pathways enriched for dysregulation include RNA splicing, neutrophil degranulation and activation, cellular redox homeostasis, mitochondrial transmembrane transport, ferroptosis and necroptosis, ABC transporters and central carbon metabolism. Conclusion Our findings in protein and metabolite level research revealed that anti-cancer drug therapy had a significant impact on the key signalling pathways and molecular processes in triple positive BT-474 cell lines.</w:t>
            </w:r>
          </w:p>
        </w:tc>
      </w:tr>
      <w:tr w14:paraId="1C2B1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729221D6">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Institute</w:t>
            </w:r>
          </w:p>
        </w:tc>
        <w:tc>
          <w:tcPr>
            <w:tcW w:w="0" w:type="auto"/>
            <w:shd w:val="clear"/>
            <w:tcMar>
              <w:top w:w="75" w:type="dxa"/>
              <w:left w:w="75" w:type="dxa"/>
              <w:bottom w:w="75" w:type="dxa"/>
              <w:right w:w="75" w:type="dxa"/>
            </w:tcMar>
            <w:vAlign w:val="top"/>
          </w:tcPr>
          <w:p w14:paraId="42D818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University of Sharjah</w:t>
            </w:r>
          </w:p>
        </w:tc>
      </w:tr>
      <w:tr w14:paraId="4237D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466C42B">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Department</w:t>
            </w:r>
          </w:p>
        </w:tc>
        <w:tc>
          <w:tcPr>
            <w:tcW w:w="0" w:type="auto"/>
            <w:shd w:val="clear" w:color="auto" w:fill="EEEEEE"/>
            <w:tcMar>
              <w:top w:w="75" w:type="dxa"/>
              <w:left w:w="75" w:type="dxa"/>
              <w:bottom w:w="75" w:type="dxa"/>
              <w:right w:w="75" w:type="dxa"/>
            </w:tcMar>
            <w:vAlign w:val="top"/>
          </w:tcPr>
          <w:p w14:paraId="04EC23D5">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Sharjah Institute for Medical Research</w:t>
            </w:r>
          </w:p>
        </w:tc>
      </w:tr>
      <w:tr w14:paraId="572C4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05872099">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Laboratory</w:t>
            </w:r>
          </w:p>
        </w:tc>
        <w:tc>
          <w:tcPr>
            <w:tcW w:w="0" w:type="auto"/>
            <w:shd w:val="clear"/>
            <w:tcMar>
              <w:top w:w="75" w:type="dxa"/>
              <w:left w:w="75" w:type="dxa"/>
              <w:bottom w:w="75" w:type="dxa"/>
              <w:right w:w="75" w:type="dxa"/>
            </w:tcMar>
            <w:vAlign w:val="top"/>
          </w:tcPr>
          <w:p w14:paraId="37104F21">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Biomarker Discovery Group</w:t>
            </w:r>
          </w:p>
        </w:tc>
      </w:tr>
      <w:tr w14:paraId="3DE5E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4CAA538">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Last Name</w:t>
            </w:r>
          </w:p>
        </w:tc>
        <w:tc>
          <w:tcPr>
            <w:tcW w:w="0" w:type="auto"/>
            <w:shd w:val="clear" w:color="auto" w:fill="EEEEEE"/>
            <w:tcMar>
              <w:top w:w="75" w:type="dxa"/>
              <w:left w:w="75" w:type="dxa"/>
              <w:bottom w:w="75" w:type="dxa"/>
              <w:right w:w="75" w:type="dxa"/>
            </w:tcMar>
            <w:vAlign w:val="top"/>
          </w:tcPr>
          <w:p w14:paraId="5E5EC3B7">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Soares</w:t>
            </w:r>
          </w:p>
        </w:tc>
      </w:tr>
      <w:tr w14:paraId="3BE5C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602DF96B">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First Name</w:t>
            </w:r>
          </w:p>
        </w:tc>
        <w:tc>
          <w:tcPr>
            <w:tcW w:w="0" w:type="auto"/>
            <w:shd w:val="clear"/>
            <w:tcMar>
              <w:top w:w="75" w:type="dxa"/>
              <w:left w:w="75" w:type="dxa"/>
              <w:bottom w:w="75" w:type="dxa"/>
              <w:right w:w="75" w:type="dxa"/>
            </w:tcMar>
            <w:vAlign w:val="top"/>
          </w:tcPr>
          <w:p w14:paraId="726EB65E">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Nelson</w:t>
            </w:r>
          </w:p>
        </w:tc>
      </w:tr>
      <w:tr w14:paraId="51E17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F1428B7">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Address</w:t>
            </w:r>
          </w:p>
        </w:tc>
        <w:tc>
          <w:tcPr>
            <w:tcW w:w="0" w:type="auto"/>
            <w:shd w:val="clear" w:color="auto" w:fill="EEEEEE"/>
            <w:tcMar>
              <w:top w:w="75" w:type="dxa"/>
              <w:left w:w="75" w:type="dxa"/>
              <w:bottom w:w="75" w:type="dxa"/>
              <w:right w:w="75" w:type="dxa"/>
            </w:tcMar>
            <w:vAlign w:val="top"/>
          </w:tcPr>
          <w:p w14:paraId="268D40A3">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M32, SIMR, College of Pharmacy, Health Sciences, University of Sharjah</w:t>
            </w:r>
          </w:p>
        </w:tc>
      </w:tr>
      <w:tr w14:paraId="18E4E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57BE855C">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Email</w:t>
            </w:r>
          </w:p>
        </w:tc>
        <w:tc>
          <w:tcPr>
            <w:tcW w:w="0" w:type="auto"/>
            <w:shd w:val="clear"/>
            <w:tcMar>
              <w:top w:w="75" w:type="dxa"/>
              <w:left w:w="75" w:type="dxa"/>
              <w:bottom w:w="75" w:type="dxa"/>
              <w:right w:w="75" w:type="dxa"/>
            </w:tcMar>
            <w:vAlign w:val="top"/>
          </w:tcPr>
          <w:p w14:paraId="4AC0DE54">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nsoares@sharjah.ac.ae</w:t>
            </w:r>
          </w:p>
        </w:tc>
      </w:tr>
      <w:tr w14:paraId="12EC2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29BA018">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Phone</w:t>
            </w:r>
          </w:p>
        </w:tc>
        <w:tc>
          <w:tcPr>
            <w:tcW w:w="0" w:type="auto"/>
            <w:shd w:val="clear" w:color="auto" w:fill="EEEEEE"/>
            <w:tcMar>
              <w:top w:w="75" w:type="dxa"/>
              <w:left w:w="75" w:type="dxa"/>
              <w:bottom w:w="75" w:type="dxa"/>
              <w:right w:w="75" w:type="dxa"/>
            </w:tcMar>
            <w:vAlign w:val="top"/>
          </w:tcPr>
          <w:p w14:paraId="5AE109B9">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065057656</w:t>
            </w:r>
          </w:p>
        </w:tc>
      </w:tr>
      <w:tr w14:paraId="77EFE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2A4B54AD">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Submit Date</w:t>
            </w:r>
          </w:p>
        </w:tc>
        <w:tc>
          <w:tcPr>
            <w:tcW w:w="0" w:type="auto"/>
            <w:shd w:val="clear"/>
            <w:tcMar>
              <w:top w:w="75" w:type="dxa"/>
              <w:left w:w="75" w:type="dxa"/>
              <w:bottom w:w="75" w:type="dxa"/>
              <w:right w:w="75" w:type="dxa"/>
            </w:tcMar>
            <w:vAlign w:val="top"/>
          </w:tcPr>
          <w:p w14:paraId="06454D04">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2022-10-18</w:t>
            </w:r>
          </w:p>
        </w:tc>
      </w:tr>
      <w:tr w14:paraId="13F0C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E9A6CA4">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Raw Data Available</w:t>
            </w:r>
          </w:p>
        </w:tc>
        <w:tc>
          <w:tcPr>
            <w:tcW w:w="0" w:type="auto"/>
            <w:shd w:val="clear" w:color="auto" w:fill="EEEEEE"/>
            <w:tcMar>
              <w:top w:w="75" w:type="dxa"/>
              <w:left w:w="75" w:type="dxa"/>
              <w:bottom w:w="75" w:type="dxa"/>
              <w:right w:w="75" w:type="dxa"/>
            </w:tcMar>
            <w:vAlign w:val="top"/>
          </w:tcPr>
          <w:p w14:paraId="7FEC04D2">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Yes</w:t>
            </w:r>
          </w:p>
        </w:tc>
      </w:tr>
      <w:tr w14:paraId="04E3B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767946C5">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Raw Data File Type(s)</w:t>
            </w:r>
          </w:p>
        </w:tc>
        <w:tc>
          <w:tcPr>
            <w:tcW w:w="0" w:type="auto"/>
            <w:shd w:val="clear"/>
            <w:tcMar>
              <w:top w:w="75" w:type="dxa"/>
              <w:left w:w="75" w:type="dxa"/>
              <w:bottom w:w="75" w:type="dxa"/>
              <w:right w:w="75" w:type="dxa"/>
            </w:tcMar>
            <w:vAlign w:val="top"/>
          </w:tcPr>
          <w:p w14:paraId="1EB3B06A">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d</w:t>
            </w:r>
          </w:p>
        </w:tc>
      </w:tr>
      <w:tr w14:paraId="09352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FE6E453">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Analysis Type Detail</w:t>
            </w:r>
          </w:p>
        </w:tc>
        <w:tc>
          <w:tcPr>
            <w:tcW w:w="0" w:type="auto"/>
            <w:shd w:val="clear" w:color="auto" w:fill="EEEEEE"/>
            <w:tcMar>
              <w:top w:w="75" w:type="dxa"/>
              <w:left w:w="75" w:type="dxa"/>
              <w:bottom w:w="75" w:type="dxa"/>
              <w:right w:w="75" w:type="dxa"/>
            </w:tcMar>
            <w:vAlign w:val="top"/>
          </w:tcPr>
          <w:p w14:paraId="1D117B1A">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LC-MS</w:t>
            </w:r>
          </w:p>
        </w:tc>
      </w:tr>
      <w:tr w14:paraId="70ECD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4EB9D54F">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Release Date</w:t>
            </w:r>
          </w:p>
        </w:tc>
        <w:tc>
          <w:tcPr>
            <w:tcW w:w="0" w:type="auto"/>
            <w:shd w:val="clear"/>
            <w:tcMar>
              <w:top w:w="75" w:type="dxa"/>
              <w:left w:w="75" w:type="dxa"/>
              <w:bottom w:w="75" w:type="dxa"/>
              <w:right w:w="75" w:type="dxa"/>
            </w:tcMar>
            <w:vAlign w:val="top"/>
          </w:tcPr>
          <w:p w14:paraId="4E8AB7A1">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2022-11-21</w:t>
            </w:r>
          </w:p>
        </w:tc>
      </w:tr>
      <w:tr w14:paraId="2AE28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9D0A554">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Release Version</w:t>
            </w:r>
          </w:p>
        </w:tc>
        <w:tc>
          <w:tcPr>
            <w:tcW w:w="0" w:type="auto"/>
            <w:shd w:val="clear" w:color="auto" w:fill="EEEEEE"/>
            <w:tcMar>
              <w:top w:w="75" w:type="dxa"/>
              <w:left w:w="75" w:type="dxa"/>
              <w:bottom w:w="75" w:type="dxa"/>
              <w:right w:w="75" w:type="dxa"/>
            </w:tcMar>
            <w:vAlign w:val="top"/>
          </w:tcPr>
          <w:p w14:paraId="214C8153">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1</w:t>
            </w:r>
          </w:p>
        </w:tc>
      </w:tr>
    </w:tbl>
    <w:p w14:paraId="5C48A898">
      <w:pPr>
        <w:keepNext w:val="0"/>
        <w:keepLines w:val="0"/>
        <w:widowControl/>
        <w:suppressLineNumbers w:val="0"/>
        <w:shd w:val="clear" w:fill="FFFFFF"/>
        <w:ind w:left="0" w:firstLine="0"/>
        <w:jc w:val="left"/>
        <w:rPr>
          <w:rFonts w:hint="default" w:ascii="Arial" w:hAnsi="Arial" w:cs="Arial"/>
          <w:i w:val="0"/>
          <w:iCs w:val="0"/>
          <w:caps w:val="0"/>
          <w:color w:val="000000"/>
          <w:spacing w:val="0"/>
          <w:sz w:val="21"/>
          <w:szCs w:val="21"/>
        </w:rPr>
      </w:pPr>
    </w:p>
    <w:p w14:paraId="7522B1EB">
      <w:pPr>
        <w:pStyle w:val="3"/>
        <w:keepNext w:val="0"/>
        <w:keepLines w:val="0"/>
        <w:widowControl/>
        <w:suppressLineNumbers w:val="0"/>
        <w:spacing w:line="24" w:lineRule="atLeast"/>
        <w:jc w:val="left"/>
        <w:rPr>
          <w:color w:val="333333"/>
          <w:sz w:val="19"/>
          <w:szCs w:val="19"/>
        </w:rPr>
      </w:pPr>
      <w:r>
        <w:rPr>
          <w:rFonts w:hint="default" w:ascii="Arial" w:hAnsi="Arial" w:cs="Arial"/>
          <w:i w:val="0"/>
          <w:iCs w:val="0"/>
          <w:caps w:val="0"/>
          <w:color w:val="333333"/>
          <w:spacing w:val="0"/>
          <w:sz w:val="19"/>
          <w:szCs w:val="19"/>
          <w:shd w:val="clear" w:fill="FFFFFF"/>
        </w:rPr>
        <w:t>Select appropriate tab below to view additional metadata details:</w:t>
      </w:r>
    </w:p>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51"/>
      </w:tblGrid>
      <w:tr w14:paraId="04806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noWrap/>
            <w:vAlign w:val="bottom"/>
          </w:tcPr>
          <w:p w14:paraId="2C8F1F6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"https://www.metabolomicsworkbench.org/data/DRCCMetadata.php?Mode=Study&amp;DataMode=AllData&amp;StudyID=ST002317&amp;StudyType=MS&amp;ResultType=1"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All</w:t>
            </w:r>
            <w:r>
              <w:rPr>
                <w:rFonts w:hint="default" w:ascii="Arial" w:hAnsi="Arial" w:cs="Arial"/>
                <w:b/>
                <w:bCs/>
                <w:i w:val="0"/>
                <w:iCs w:val="0"/>
                <w:caps w:val="0"/>
                <w:color w:val="1F699B"/>
                <w:spacing w:val="0"/>
                <w:sz w:val="21"/>
                <w:szCs w:val="21"/>
                <w:u w:val="none"/>
                <w:bdr w:val="none" w:color="auto" w:sz="0" w:space="0"/>
              </w:rPr>
              <w:fldChar w:fldCharType="end"/>
            </w:r>
          </w:p>
          <w:p w14:paraId="45143C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"https://www.metabolomicsworkbench.org/data/DRCCMetadata.php?Mode=Study&amp;DataMode=ProjectData&amp;StudyID=ST002317&amp;StudyType=MS&amp;ResultType=1"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Project</w:t>
            </w:r>
            <w:r>
              <w:rPr>
                <w:rFonts w:hint="default" w:ascii="Arial" w:hAnsi="Arial" w:cs="Arial"/>
                <w:b/>
                <w:bCs/>
                <w:i w:val="0"/>
                <w:iCs w:val="0"/>
                <w:caps w:val="0"/>
                <w:color w:val="1F699B"/>
                <w:spacing w:val="0"/>
                <w:sz w:val="21"/>
                <w:szCs w:val="21"/>
                <w:u w:val="none"/>
                <w:bdr w:val="none" w:color="auto" w:sz="0" w:space="0"/>
              </w:rPr>
              <w:fldChar w:fldCharType="end"/>
            </w:r>
          </w:p>
          <w:p w14:paraId="4AB2C2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"https://www.metabolomicsworkbench.org/data/DRCCMetadata.php?Mode=Study&amp;DataMode=SubjectData&amp;StudyID=ST002317&amp;StudyType=MS&amp;ResultType=1"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Subject</w:t>
            </w:r>
            <w:r>
              <w:rPr>
                <w:rFonts w:hint="default" w:ascii="Arial" w:hAnsi="Arial" w:cs="Arial"/>
                <w:b/>
                <w:bCs/>
                <w:i w:val="0"/>
                <w:iCs w:val="0"/>
                <w:caps w:val="0"/>
                <w:color w:val="1F699B"/>
                <w:spacing w:val="0"/>
                <w:sz w:val="21"/>
                <w:szCs w:val="21"/>
                <w:u w:val="none"/>
                <w:bdr w:val="none" w:color="auto" w:sz="0" w:space="0"/>
              </w:rPr>
              <w:fldChar w:fldCharType="end"/>
            </w:r>
          </w:p>
          <w:p w14:paraId="2DA9618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"https://www.metabolomicsworkbench.org/data/DRCCMetadata.php?Mode=Study&amp;DataMode=FactorsData&amp;StudyID=ST002317&amp;StudyType=MS&amp;ResultType=1"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Study Design</w:t>
            </w:r>
            <w:r>
              <w:rPr>
                <w:rFonts w:hint="default" w:ascii="Arial" w:hAnsi="Arial" w:cs="Arial"/>
                <w:b/>
                <w:bCs/>
                <w:i w:val="0"/>
                <w:iCs w:val="0"/>
                <w:caps w:val="0"/>
                <w:color w:val="1F699B"/>
                <w:spacing w:val="0"/>
                <w:sz w:val="21"/>
                <w:szCs w:val="21"/>
                <w:u w:val="none"/>
                <w:bdr w:val="none" w:color="auto" w:sz="0" w:space="0"/>
              </w:rPr>
              <w:fldChar w:fldCharType="end"/>
            </w:r>
          </w:p>
          <w:p w14:paraId="63A7FE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"https://www.metabolomicsworkbench.org/data/DRCCMetadata.php?Mode=Study&amp;DataMode=CollectionData&amp;StudyID=ST002317&amp;StudyType=MS&amp;ResultType=1"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Collection</w:t>
            </w:r>
            <w:r>
              <w:rPr>
                <w:rFonts w:hint="default" w:ascii="Arial" w:hAnsi="Arial" w:cs="Arial"/>
                <w:b/>
                <w:bCs/>
                <w:i w:val="0"/>
                <w:iCs w:val="0"/>
                <w:caps w:val="0"/>
                <w:color w:val="1F699B"/>
                <w:spacing w:val="0"/>
                <w:sz w:val="21"/>
                <w:szCs w:val="21"/>
                <w:u w:val="none"/>
                <w:bdr w:val="none" w:color="auto" w:sz="0" w:space="0"/>
              </w:rPr>
              <w:fldChar w:fldCharType="end"/>
            </w:r>
          </w:p>
          <w:p w14:paraId="0F089AA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"https://www.metabolomicsworkbench.org/data/DRCCMetadata.php?Mode=Study&amp;DataMode=TreatmentData&amp;StudyID=ST002317&amp;StudyType=MS&amp;ResultType=1"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Treatment</w:t>
            </w:r>
            <w:r>
              <w:rPr>
                <w:rFonts w:hint="default" w:ascii="Arial" w:hAnsi="Arial" w:cs="Arial"/>
                <w:b/>
                <w:bCs/>
                <w:i w:val="0"/>
                <w:iCs w:val="0"/>
                <w:caps w:val="0"/>
                <w:color w:val="1F699B"/>
                <w:spacing w:val="0"/>
                <w:sz w:val="21"/>
                <w:szCs w:val="21"/>
                <w:u w:val="none"/>
                <w:bdr w:val="none" w:color="auto" w:sz="0" w:space="0"/>
              </w:rPr>
              <w:fldChar w:fldCharType="end"/>
            </w:r>
          </w:p>
          <w:p w14:paraId="63A7E7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"https://www.metabolomicsworkbench.org/data/DRCCMetadata.php?Mode=Study&amp;DataMode=SamplePrepData&amp;StudyID=ST002317&amp;StudyType=MS&amp;ResultType=1"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Sample Preparation</w:t>
            </w:r>
            <w:r>
              <w:rPr>
                <w:rFonts w:hint="default" w:ascii="Arial" w:hAnsi="Arial" w:cs="Arial"/>
                <w:b/>
                <w:bCs/>
                <w:i w:val="0"/>
                <w:iCs w:val="0"/>
                <w:caps w:val="0"/>
                <w:color w:val="1F699B"/>
                <w:spacing w:val="0"/>
                <w:sz w:val="21"/>
                <w:szCs w:val="21"/>
                <w:u w:val="none"/>
                <w:bdr w:val="none" w:color="auto" w:sz="0" w:space="0"/>
              </w:rPr>
              <w:fldChar w:fldCharType="end"/>
            </w:r>
          </w:p>
          <w:p w14:paraId="08418F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"https://www.metabolomicsworkbench.org/data/DRCCMetadata.php?Mode=Study&amp;DataMode=ChromatographyData&amp;StudyID=ST002317&amp;StudyType=MS&amp;ResultType=1"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Chromatography</w:t>
            </w:r>
            <w:r>
              <w:rPr>
                <w:rFonts w:hint="default" w:ascii="Arial" w:hAnsi="Arial" w:cs="Arial"/>
                <w:b/>
                <w:bCs/>
                <w:i w:val="0"/>
                <w:iCs w:val="0"/>
                <w:caps w:val="0"/>
                <w:color w:val="1F699B"/>
                <w:spacing w:val="0"/>
                <w:sz w:val="21"/>
                <w:szCs w:val="21"/>
                <w:u w:val="none"/>
                <w:bdr w:val="none" w:color="auto" w:sz="0" w:space="0"/>
              </w:rPr>
              <w:fldChar w:fldCharType="end"/>
            </w:r>
          </w:p>
          <w:p w14:paraId="4C3E5E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"https://www.metabolomicsworkbench.org/data/DRCCMetadata.php?Mode=Study&amp;DataMode=AnalysisData&amp;StudyID=ST002317&amp;StudyType=MS&amp;ResultType=1"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Analysis</w:t>
            </w:r>
            <w:r>
              <w:rPr>
                <w:rFonts w:hint="default" w:ascii="Arial" w:hAnsi="Arial" w:cs="Arial"/>
                <w:b/>
                <w:bCs/>
                <w:i w:val="0"/>
                <w:iCs w:val="0"/>
                <w:caps w:val="0"/>
                <w:color w:val="1F699B"/>
                <w:spacing w:val="0"/>
                <w:sz w:val="21"/>
                <w:szCs w:val="21"/>
                <w:u w:val="none"/>
                <w:bdr w:val="none" w:color="auto" w:sz="0" w:space="0"/>
              </w:rPr>
              <w:fldChar w:fldCharType="end"/>
            </w:r>
          </w:p>
          <w:p w14:paraId="041867B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"https://www.metabolomicsworkbench.org/data/DRCCMetadata.php?Mode=Study&amp;DataMode=MSData&amp;StudyID=ST002317&amp;StudyType=MS&amp;ResultType=1"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MS</w:t>
            </w:r>
            <w:r>
              <w:rPr>
                <w:rFonts w:hint="default" w:ascii="Arial" w:hAnsi="Arial" w:cs="Arial"/>
                <w:b/>
                <w:bCs/>
                <w:i w:val="0"/>
                <w:iCs w:val="0"/>
                <w:caps w:val="0"/>
                <w:color w:val="1F699B"/>
                <w:spacing w:val="0"/>
                <w:sz w:val="21"/>
                <w:szCs w:val="21"/>
                <w:u w:val="none"/>
                <w:bdr w:val="none" w:color="auto" w:sz="0" w:space="0"/>
              </w:rPr>
              <w:fldChar w:fldCharType="end"/>
            </w:r>
          </w:p>
        </w:tc>
      </w:tr>
    </w:tbl>
    <w:p w14:paraId="172EE4C0">
      <w:pPr>
        <w:keepNext w:val="0"/>
        <w:keepLines w:val="0"/>
        <w:widowControl/>
        <w:suppressLineNumbers w:val="0"/>
        <w:jc w:val="left"/>
      </w:pPr>
    </w:p>
    <w:p w14:paraId="498F7A11">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Project:</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49"/>
        <w:gridCol w:w="7197"/>
      </w:tblGrid>
      <w:tr w14:paraId="69BD0D6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0F7A77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ID:</w:t>
            </w:r>
          </w:p>
        </w:tc>
        <w:tc>
          <w:tcPr>
            <w:tcW w:w="0" w:type="auto"/>
            <w:shd w:val="clear" w:color="auto" w:fill="EEEEEE"/>
            <w:tcMar>
              <w:top w:w="75" w:type="dxa"/>
              <w:left w:w="75" w:type="dxa"/>
              <w:bottom w:w="75" w:type="dxa"/>
              <w:right w:w="75" w:type="dxa"/>
            </w:tcMar>
            <w:vAlign w:val="top"/>
          </w:tcPr>
          <w:p w14:paraId="15207DB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fldChar w:fldCharType="begin"/>
            </w: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instrText xml:space="preserve"> HYPERLINK "https://www.metabolomicsworkbench.org/data/DRCCMetadata.php?Mode=Project&amp;ProjectID=PR001485" </w:instrText>
            </w: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fldChar w:fldCharType="separate"/>
            </w:r>
            <w:r>
              <w:rPr>
                <w:rStyle w:val="6"/>
                <w:rFonts w:hint="default" w:ascii="Arial" w:hAnsi="Arial" w:eastAsia="宋体" w:cs="Arial"/>
                <w:b/>
                <w:bCs/>
                <w:i w:val="0"/>
                <w:iCs w:val="0"/>
                <w:caps w:val="0"/>
                <w:color w:val="1F699B"/>
                <w:spacing w:val="0"/>
                <w:sz w:val="18"/>
                <w:szCs w:val="18"/>
                <w:u w:val="none"/>
                <w:bdr w:val="none" w:color="auto" w:sz="0" w:space="0"/>
              </w:rPr>
              <w:t>PR001485</w:t>
            </w: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fldChar w:fldCharType="end"/>
            </w:r>
          </w:p>
        </w:tc>
      </w:tr>
      <w:tr w14:paraId="0DB4BB4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DAE414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DOI:</w:t>
            </w:r>
          </w:p>
        </w:tc>
        <w:tc>
          <w:tcPr>
            <w:tcW w:w="0" w:type="auto"/>
            <w:shd w:val="clear" w:color="auto" w:fill="FFFFFF"/>
            <w:tcMar>
              <w:top w:w="75" w:type="dxa"/>
              <w:left w:w="75" w:type="dxa"/>
              <w:bottom w:w="75" w:type="dxa"/>
              <w:right w:w="75" w:type="dxa"/>
            </w:tcMar>
            <w:vAlign w:val="top"/>
          </w:tcPr>
          <w:p w14:paraId="1ECD236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doi: 10.21228/M8S41S</w:t>
            </w:r>
          </w:p>
        </w:tc>
      </w:tr>
      <w:tr w14:paraId="12FA94C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9A01D5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Title:</w:t>
            </w:r>
          </w:p>
        </w:tc>
        <w:tc>
          <w:tcPr>
            <w:tcW w:w="0" w:type="auto"/>
            <w:shd w:val="clear" w:color="auto" w:fill="EEEEEE"/>
            <w:tcMar>
              <w:top w:w="75" w:type="dxa"/>
              <w:left w:w="75" w:type="dxa"/>
              <w:bottom w:w="75" w:type="dxa"/>
              <w:right w:w="75" w:type="dxa"/>
            </w:tcMar>
            <w:vAlign w:val="top"/>
          </w:tcPr>
          <w:p w14:paraId="5E7902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Mass spectroscopy</w:t>
            </w:r>
            <w:r>
              <w:rPr>
                <w:rFonts w:hint="default" w:ascii="Arial" w:hAnsi="Arial" w:eastAsia="宋体" w:cs="Arial"/>
                <w:i w:val="0"/>
                <w:iCs w:val="0"/>
                <w:caps w:val="0"/>
                <w:color w:val="000000"/>
                <w:spacing w:val="0"/>
                <w:kern w:val="0"/>
                <w:sz w:val="18"/>
                <w:szCs w:val="18"/>
                <w:bdr w:val="none" w:color="auto" w:sz="0" w:space="0"/>
                <w:lang w:val="en-US" w:eastAsia="zh-CN" w:bidi="ar"/>
              </w:rPr>
              <w:noBreakHyphen/>
            </w:r>
            <w:r>
              <w:rPr>
                <w:rFonts w:hint="default" w:ascii="Arial" w:hAnsi="Arial" w:eastAsia="宋体" w:cs="Arial"/>
                <w:i w:val="0"/>
                <w:iCs w:val="0"/>
                <w:caps w:val="0"/>
                <w:color w:val="000000"/>
                <w:spacing w:val="0"/>
                <w:kern w:val="0"/>
                <w:sz w:val="18"/>
                <w:szCs w:val="18"/>
                <w:bdr w:val="none" w:color="auto" w:sz="0" w:space="0"/>
                <w:lang w:val="en-US" w:eastAsia="zh-CN" w:bidi="ar"/>
              </w:rPr>
              <w:t>based proteomics and metabolomics analysis of triple</w:t>
            </w:r>
            <w:r>
              <w:rPr>
                <w:rFonts w:hint="default" w:ascii="Arial" w:hAnsi="Arial" w:eastAsia="宋体" w:cs="Arial"/>
                <w:i w:val="0"/>
                <w:iCs w:val="0"/>
                <w:caps w:val="0"/>
                <w:color w:val="000000"/>
                <w:spacing w:val="0"/>
                <w:kern w:val="0"/>
                <w:sz w:val="18"/>
                <w:szCs w:val="18"/>
                <w:bdr w:val="none" w:color="auto" w:sz="0" w:space="0"/>
                <w:lang w:val="en-US" w:eastAsia="zh-CN" w:bidi="ar"/>
              </w:rPr>
              <w:noBreakHyphen/>
            </w:r>
            <w:r>
              <w:rPr>
                <w:rFonts w:hint="default" w:ascii="Arial" w:hAnsi="Arial" w:eastAsia="宋体" w:cs="Arial"/>
                <w:i w:val="0"/>
                <w:iCs w:val="0"/>
                <w:caps w:val="0"/>
                <w:color w:val="000000"/>
                <w:spacing w:val="0"/>
                <w:kern w:val="0"/>
                <w:sz w:val="18"/>
                <w:szCs w:val="18"/>
                <w:bdr w:val="none" w:color="auto" w:sz="0" w:space="0"/>
                <w:lang w:val="en-US" w:eastAsia="zh-CN" w:bidi="ar"/>
              </w:rPr>
              <w:t>positive breast cancer cells treated with tamoxifen and/ or trastuzumab</w:t>
            </w:r>
          </w:p>
        </w:tc>
      </w:tr>
      <w:tr w14:paraId="646A970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1088609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Type:</w:t>
            </w:r>
          </w:p>
        </w:tc>
        <w:tc>
          <w:tcPr>
            <w:tcW w:w="0" w:type="auto"/>
            <w:shd w:val="clear" w:color="auto" w:fill="FFFFFF"/>
            <w:tcMar>
              <w:top w:w="75" w:type="dxa"/>
              <w:left w:w="75" w:type="dxa"/>
              <w:bottom w:w="75" w:type="dxa"/>
              <w:right w:w="75" w:type="dxa"/>
            </w:tcMar>
            <w:vAlign w:val="top"/>
          </w:tcPr>
          <w:p w14:paraId="3148349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LC-MS/MS</w:t>
            </w:r>
          </w:p>
        </w:tc>
      </w:tr>
      <w:tr w14:paraId="18D7D59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2781DF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Summary:</w:t>
            </w:r>
          </w:p>
        </w:tc>
        <w:tc>
          <w:tcPr>
            <w:tcW w:w="0" w:type="auto"/>
            <w:shd w:val="clear" w:color="auto" w:fill="EEEEEE"/>
            <w:tcMar>
              <w:top w:w="75" w:type="dxa"/>
              <w:left w:w="75" w:type="dxa"/>
              <w:bottom w:w="75" w:type="dxa"/>
              <w:right w:w="75" w:type="dxa"/>
            </w:tcMar>
            <w:vAlign w:val="top"/>
          </w:tcPr>
          <w:p w14:paraId="056DB8B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HER2-enriched breast cancer with high levels of hormone receptor expression, known as triple positive breast cancer, may represent a new entity with a relatively favourable prognosis against which the combination of chemotherapy, HER-2 inhibition, and endocrine treatment may be considered overtreatment. We explored the effect of the anticancer drugs tamoxifen and trastuzumab, both separately and in combination, on the integrated proteomic and metabolic profile of triple positive breast cancer cells (BT-474). Method We employed ultra-high-performance liquid chromatography-quadrupole time of flight mass spectrometry using a Bruker timsTOF to investigate changes in BT-474 cell line treated with either tamoxifen, trastuzumab or a combination. Differentially abundant metabolites were identified using the Bruker Human Metabolome Database metabolite library and proteins using the Uniprot proteome for Homo sapiens using MetaboScape and MaxQuant, respectively, for identification and quantitation. Results A total of 77 proteins and 85 metabolites were found to significantly differ in abundance in BT-474 treated cells with tamoxifen 5 μM/and or trastuzumab 2.5 μM. Findings suggest that by targeting important cellular signalling pathways which regulate cell growth, apoptosis, proliferation, and chemoresistance, these medicines have a considerable anti-growth effect in BT-474 cells. Pathways enriched for dysregulation include RNA splicing, neutrophil degranulation and activation, cellular redox homeostasis, mitochondrial transmembrane transport, ferroptosis and necroptosis, ABC transporters and central carbon metabolism. Conclusion Our findings in protein and metabolite level research revealed that anti-cancer drug therapy had a significant impact on the key signalling pathways and molecular processes in triple positive BT-474 cell lines.</w:t>
            </w:r>
          </w:p>
        </w:tc>
      </w:tr>
      <w:tr w14:paraId="66B46D9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4011DA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Institute:</w:t>
            </w:r>
          </w:p>
        </w:tc>
        <w:tc>
          <w:tcPr>
            <w:tcW w:w="0" w:type="auto"/>
            <w:shd w:val="clear" w:color="auto" w:fill="FFFFFF"/>
            <w:tcMar>
              <w:top w:w="75" w:type="dxa"/>
              <w:left w:w="75" w:type="dxa"/>
              <w:bottom w:w="75" w:type="dxa"/>
              <w:right w:w="75" w:type="dxa"/>
            </w:tcMar>
            <w:vAlign w:val="top"/>
          </w:tcPr>
          <w:p w14:paraId="2DE098C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Sharjah Institute for Medical Research</w:t>
            </w:r>
          </w:p>
        </w:tc>
      </w:tr>
      <w:tr w14:paraId="0F92D91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E599D1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Department:</w:t>
            </w:r>
          </w:p>
        </w:tc>
        <w:tc>
          <w:tcPr>
            <w:tcW w:w="0" w:type="auto"/>
            <w:shd w:val="clear" w:color="auto" w:fill="EEEEEE"/>
            <w:tcMar>
              <w:top w:w="75" w:type="dxa"/>
              <w:left w:w="75" w:type="dxa"/>
              <w:bottom w:w="75" w:type="dxa"/>
              <w:right w:w="75" w:type="dxa"/>
            </w:tcMar>
            <w:vAlign w:val="top"/>
          </w:tcPr>
          <w:p w14:paraId="14892D8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Sharjah Institute for Medical Research</w:t>
            </w:r>
          </w:p>
        </w:tc>
      </w:tr>
      <w:tr w14:paraId="0937D11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8CAA20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Laboratory:</w:t>
            </w:r>
          </w:p>
        </w:tc>
        <w:tc>
          <w:tcPr>
            <w:tcW w:w="0" w:type="auto"/>
            <w:shd w:val="clear" w:color="auto" w:fill="FFFFFF"/>
            <w:tcMar>
              <w:top w:w="75" w:type="dxa"/>
              <w:left w:w="75" w:type="dxa"/>
              <w:bottom w:w="75" w:type="dxa"/>
              <w:right w:w="75" w:type="dxa"/>
            </w:tcMar>
            <w:vAlign w:val="top"/>
          </w:tcPr>
          <w:p w14:paraId="7836024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Biomarker Discovery Group</w:t>
            </w:r>
          </w:p>
        </w:tc>
      </w:tr>
      <w:tr w14:paraId="22DCA24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15CA6A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Last Name:</w:t>
            </w:r>
          </w:p>
        </w:tc>
        <w:tc>
          <w:tcPr>
            <w:tcW w:w="0" w:type="auto"/>
            <w:shd w:val="clear" w:color="auto" w:fill="EEEEEE"/>
            <w:tcMar>
              <w:top w:w="75" w:type="dxa"/>
              <w:left w:w="75" w:type="dxa"/>
              <w:bottom w:w="75" w:type="dxa"/>
              <w:right w:w="75" w:type="dxa"/>
            </w:tcMar>
            <w:vAlign w:val="top"/>
          </w:tcPr>
          <w:p w14:paraId="39D4E28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Facility</w:t>
            </w:r>
          </w:p>
        </w:tc>
      </w:tr>
      <w:tr w14:paraId="5971361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38A478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First Name:</w:t>
            </w:r>
          </w:p>
        </w:tc>
        <w:tc>
          <w:tcPr>
            <w:tcW w:w="0" w:type="auto"/>
            <w:shd w:val="clear" w:color="auto" w:fill="FFFFFF"/>
            <w:tcMar>
              <w:top w:w="75" w:type="dxa"/>
              <w:left w:w="75" w:type="dxa"/>
              <w:bottom w:w="75" w:type="dxa"/>
              <w:right w:w="75" w:type="dxa"/>
            </w:tcMar>
            <w:vAlign w:val="top"/>
          </w:tcPr>
          <w:p w14:paraId="2BABED9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Core</w:t>
            </w:r>
          </w:p>
        </w:tc>
      </w:tr>
      <w:tr w14:paraId="57CA367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C47BAB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Address:</w:t>
            </w:r>
          </w:p>
        </w:tc>
        <w:tc>
          <w:tcPr>
            <w:tcW w:w="0" w:type="auto"/>
            <w:shd w:val="clear" w:color="auto" w:fill="EEEEEE"/>
            <w:tcMar>
              <w:top w:w="75" w:type="dxa"/>
              <w:left w:w="75" w:type="dxa"/>
              <w:bottom w:w="75" w:type="dxa"/>
              <w:right w:w="75" w:type="dxa"/>
            </w:tcMar>
            <w:vAlign w:val="top"/>
          </w:tcPr>
          <w:p w14:paraId="6DD97B8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M32, SIMR, College of Pharmacy, Health Sciences, University of Sharjah, Sharjah, UAE, Sharjah, 000, United Arab Emirates</w:t>
            </w:r>
          </w:p>
        </w:tc>
      </w:tr>
      <w:tr w14:paraId="476A064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1D2A3D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Email:</w:t>
            </w:r>
          </w:p>
        </w:tc>
        <w:tc>
          <w:tcPr>
            <w:tcW w:w="0" w:type="auto"/>
            <w:shd w:val="clear" w:color="auto" w:fill="FFFFFF"/>
            <w:tcMar>
              <w:top w:w="75" w:type="dxa"/>
              <w:left w:w="75" w:type="dxa"/>
              <w:bottom w:w="75" w:type="dxa"/>
              <w:right w:w="75" w:type="dxa"/>
            </w:tcMar>
            <w:vAlign w:val="top"/>
          </w:tcPr>
          <w:p w14:paraId="4CB25CB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tims-tof@sharjah.ac.ae</w:t>
            </w:r>
          </w:p>
        </w:tc>
      </w:tr>
      <w:tr w14:paraId="6C86AC1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3BD012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Phone:</w:t>
            </w:r>
          </w:p>
        </w:tc>
        <w:tc>
          <w:tcPr>
            <w:tcW w:w="0" w:type="auto"/>
            <w:shd w:val="clear" w:color="auto" w:fill="EEEEEE"/>
            <w:tcMar>
              <w:top w:w="75" w:type="dxa"/>
              <w:left w:w="75" w:type="dxa"/>
              <w:bottom w:w="75" w:type="dxa"/>
              <w:right w:w="75" w:type="dxa"/>
            </w:tcMar>
            <w:vAlign w:val="top"/>
          </w:tcPr>
          <w:p w14:paraId="5D52A45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+971 6 5057656</w:t>
            </w:r>
          </w:p>
        </w:tc>
      </w:tr>
    </w:tbl>
    <w:p w14:paraId="40B3F36E">
      <w:pPr>
        <w:keepNext w:val="0"/>
        <w:keepLines w:val="0"/>
        <w:widowControl/>
        <w:suppressLineNumbers w:val="0"/>
        <w:jc w:val="left"/>
      </w:pPr>
    </w:p>
    <w:p w14:paraId="32441CF4">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Subject:</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1"/>
        <w:gridCol w:w="1361"/>
      </w:tblGrid>
      <w:tr w14:paraId="27967B4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6C4588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Subject ID:</w:t>
            </w:r>
          </w:p>
        </w:tc>
        <w:tc>
          <w:tcPr>
            <w:tcW w:w="0" w:type="auto"/>
            <w:shd w:val="clear" w:color="auto" w:fill="EEEEEE"/>
            <w:tcMar>
              <w:top w:w="75" w:type="dxa"/>
              <w:left w:w="75" w:type="dxa"/>
              <w:bottom w:w="75" w:type="dxa"/>
              <w:right w:w="75" w:type="dxa"/>
            </w:tcMar>
            <w:vAlign w:val="top"/>
          </w:tcPr>
          <w:p w14:paraId="25316C3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SU002403</w:t>
            </w:r>
          </w:p>
        </w:tc>
      </w:tr>
      <w:tr w14:paraId="1F8A172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9E7604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Subject Type:</w:t>
            </w:r>
          </w:p>
        </w:tc>
        <w:tc>
          <w:tcPr>
            <w:tcW w:w="0" w:type="auto"/>
            <w:shd w:val="clear" w:color="auto" w:fill="FFFFFF"/>
            <w:tcMar>
              <w:top w:w="75" w:type="dxa"/>
              <w:left w:w="75" w:type="dxa"/>
              <w:bottom w:w="75" w:type="dxa"/>
              <w:right w:w="75" w:type="dxa"/>
            </w:tcMar>
            <w:vAlign w:val="top"/>
          </w:tcPr>
          <w:p w14:paraId="1A05979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Human</w:t>
            </w:r>
          </w:p>
        </w:tc>
      </w:tr>
      <w:tr w14:paraId="7DBFB51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EE340B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Subject Species:</w:t>
            </w:r>
          </w:p>
        </w:tc>
        <w:tc>
          <w:tcPr>
            <w:tcW w:w="0" w:type="auto"/>
            <w:shd w:val="clear" w:color="auto" w:fill="EEEEEE"/>
            <w:tcMar>
              <w:top w:w="75" w:type="dxa"/>
              <w:left w:w="75" w:type="dxa"/>
              <w:bottom w:w="75" w:type="dxa"/>
              <w:right w:w="75" w:type="dxa"/>
            </w:tcMar>
            <w:vAlign w:val="top"/>
          </w:tcPr>
          <w:p w14:paraId="08D7F05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Homo sapiens</w:t>
            </w:r>
          </w:p>
        </w:tc>
      </w:tr>
      <w:tr w14:paraId="0ABBD17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3B10A7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Taxonomy ID:</w:t>
            </w:r>
          </w:p>
        </w:tc>
        <w:tc>
          <w:tcPr>
            <w:tcW w:w="0" w:type="auto"/>
            <w:shd w:val="clear" w:color="auto" w:fill="FFFFFF"/>
            <w:tcMar>
              <w:top w:w="75" w:type="dxa"/>
              <w:left w:w="75" w:type="dxa"/>
              <w:bottom w:w="75" w:type="dxa"/>
              <w:right w:w="75" w:type="dxa"/>
            </w:tcMar>
            <w:vAlign w:val="top"/>
          </w:tcPr>
          <w:p w14:paraId="46A3C16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9606</w:t>
            </w:r>
          </w:p>
        </w:tc>
      </w:tr>
      <w:tr w14:paraId="2C94D47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078362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Species Group:</w:t>
            </w:r>
          </w:p>
        </w:tc>
        <w:tc>
          <w:tcPr>
            <w:tcW w:w="0" w:type="auto"/>
            <w:shd w:val="clear" w:color="auto" w:fill="EEEEEE"/>
            <w:tcMar>
              <w:top w:w="75" w:type="dxa"/>
              <w:left w:w="75" w:type="dxa"/>
              <w:bottom w:w="75" w:type="dxa"/>
              <w:right w:w="75" w:type="dxa"/>
            </w:tcMar>
            <w:vAlign w:val="top"/>
          </w:tcPr>
          <w:p w14:paraId="2BF4CB0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Mammals</w:t>
            </w:r>
          </w:p>
        </w:tc>
      </w:tr>
    </w:tbl>
    <w:p w14:paraId="722AC92D">
      <w:pPr>
        <w:keepNext w:val="0"/>
        <w:keepLines w:val="0"/>
        <w:widowControl/>
        <w:suppressLineNumbers w:val="0"/>
        <w:jc w:val="left"/>
      </w:pPr>
    </w:p>
    <w:p w14:paraId="523BD22B">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Factors:</w:t>
      </w:r>
    </w:p>
    <w:p w14:paraId="5BDCB9A3">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Subject type:</w:t>
      </w:r>
      <w:r>
        <w:rPr>
          <w:rFonts w:hint="default" w:ascii="Arial" w:hAnsi="Arial" w:cs="Arial"/>
          <w:i w:val="0"/>
          <w:iCs w:val="0"/>
          <w:caps w:val="0"/>
          <w:color w:val="333333"/>
          <w:spacing w:val="0"/>
          <w:sz w:val="19"/>
          <w:szCs w:val="19"/>
          <w:shd w:val="clear" w:fill="FFFFFF"/>
        </w:rPr>
        <w:t> Human; </w:t>
      </w:r>
      <w:r>
        <w:rPr>
          <w:rFonts w:hint="default" w:ascii="Arial" w:hAnsi="Arial" w:cs="Arial"/>
          <w:b/>
          <w:bCs/>
          <w:i w:val="0"/>
          <w:iCs w:val="0"/>
          <w:caps w:val="0"/>
          <w:color w:val="333333"/>
          <w:spacing w:val="0"/>
          <w:sz w:val="19"/>
          <w:szCs w:val="19"/>
          <w:shd w:val="clear" w:fill="FFFFFF"/>
        </w:rPr>
        <w:t>Subject species:</w:t>
      </w:r>
      <w:r>
        <w:rPr>
          <w:rFonts w:hint="default" w:ascii="Arial" w:hAnsi="Arial" w:cs="Arial"/>
          <w:i w:val="0"/>
          <w:iCs w:val="0"/>
          <w:caps w:val="0"/>
          <w:color w:val="333333"/>
          <w:spacing w:val="0"/>
          <w:sz w:val="19"/>
          <w:szCs w:val="19"/>
          <w:shd w:val="clear" w:fill="FFFFFF"/>
        </w:rPr>
        <w:t> Homo sapiens (Factor headings shown in green)</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61"/>
        <w:gridCol w:w="1571"/>
        <w:gridCol w:w="1261"/>
      </w:tblGrid>
      <w:tr w14:paraId="6CA4E17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4967D3EB">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mb_sample_id</w:t>
            </w:r>
          </w:p>
        </w:tc>
        <w:tc>
          <w:tcPr>
            <w:tcW w:w="0" w:type="auto"/>
            <w:shd w:val="clear" w:color="auto" w:fill="E9E8E8"/>
            <w:tcMar>
              <w:top w:w="75" w:type="dxa"/>
              <w:left w:w="75" w:type="dxa"/>
              <w:bottom w:w="75" w:type="dxa"/>
              <w:right w:w="75" w:type="dxa"/>
            </w:tcMar>
            <w:vAlign w:val="top"/>
          </w:tcPr>
          <w:p w14:paraId="2B625BF0">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local_sample_id</w:t>
            </w:r>
          </w:p>
        </w:tc>
        <w:tc>
          <w:tcPr>
            <w:tcW w:w="0" w:type="auto"/>
            <w:shd w:val="clear" w:color="auto" w:fill="CCFFCC"/>
            <w:tcMar>
              <w:top w:w="75" w:type="dxa"/>
              <w:left w:w="75" w:type="dxa"/>
              <w:bottom w:w="75" w:type="dxa"/>
              <w:right w:w="75" w:type="dxa"/>
            </w:tcMar>
            <w:vAlign w:val="top"/>
          </w:tcPr>
          <w:p w14:paraId="1D8D4513">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w:t>
            </w:r>
          </w:p>
        </w:tc>
      </w:tr>
      <w:tr w14:paraId="00EF5F1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7084F7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SA227244</w:t>
            </w:r>
          </w:p>
        </w:tc>
        <w:tc>
          <w:tcPr>
            <w:tcW w:w="0" w:type="auto"/>
            <w:shd w:val="clear" w:color="auto" w:fill="FFFFFF"/>
            <w:tcMar>
              <w:top w:w="75" w:type="dxa"/>
              <w:left w:w="75" w:type="dxa"/>
              <w:bottom w:w="75" w:type="dxa"/>
              <w:right w:w="75" w:type="dxa"/>
            </w:tcMar>
            <w:vAlign w:val="top"/>
          </w:tcPr>
          <w:p w14:paraId="297DBCB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1A_93_1_328</w:t>
            </w:r>
          </w:p>
        </w:tc>
        <w:tc>
          <w:tcPr>
            <w:tcW w:w="0" w:type="auto"/>
            <w:shd w:val="clear" w:color="auto" w:fill="FFFFFF"/>
            <w:tcMar>
              <w:top w:w="75" w:type="dxa"/>
              <w:left w:w="75" w:type="dxa"/>
              <w:bottom w:w="75" w:type="dxa"/>
              <w:right w:w="75" w:type="dxa"/>
            </w:tcMar>
            <w:vAlign w:val="top"/>
          </w:tcPr>
          <w:p w14:paraId="1455A3E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Control</w:t>
            </w:r>
          </w:p>
        </w:tc>
      </w:tr>
      <w:tr w14:paraId="70A5E63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0C4580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SA227245</w:t>
            </w:r>
          </w:p>
        </w:tc>
        <w:tc>
          <w:tcPr>
            <w:tcW w:w="0" w:type="auto"/>
            <w:shd w:val="clear" w:color="auto" w:fill="EEEEEE"/>
            <w:tcMar>
              <w:top w:w="75" w:type="dxa"/>
              <w:left w:w="75" w:type="dxa"/>
              <w:bottom w:w="75" w:type="dxa"/>
              <w:right w:w="75" w:type="dxa"/>
            </w:tcMar>
            <w:vAlign w:val="top"/>
          </w:tcPr>
          <w:p w14:paraId="185F84D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1A_91_1_329</w:t>
            </w:r>
          </w:p>
        </w:tc>
        <w:tc>
          <w:tcPr>
            <w:tcW w:w="0" w:type="auto"/>
            <w:shd w:val="clear" w:color="auto" w:fill="EEEEEE"/>
            <w:tcMar>
              <w:top w:w="75" w:type="dxa"/>
              <w:left w:w="75" w:type="dxa"/>
              <w:bottom w:w="75" w:type="dxa"/>
              <w:right w:w="75" w:type="dxa"/>
            </w:tcMar>
            <w:vAlign w:val="top"/>
          </w:tcPr>
          <w:p w14:paraId="2B52DC3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Control</w:t>
            </w:r>
          </w:p>
        </w:tc>
      </w:tr>
      <w:tr w14:paraId="7F8FCF1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DF6EA9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SA227246</w:t>
            </w:r>
          </w:p>
        </w:tc>
        <w:tc>
          <w:tcPr>
            <w:tcW w:w="0" w:type="auto"/>
            <w:shd w:val="clear" w:color="auto" w:fill="FFFFFF"/>
            <w:tcMar>
              <w:top w:w="75" w:type="dxa"/>
              <w:left w:w="75" w:type="dxa"/>
              <w:bottom w:w="75" w:type="dxa"/>
              <w:right w:w="75" w:type="dxa"/>
            </w:tcMar>
            <w:vAlign w:val="top"/>
          </w:tcPr>
          <w:p w14:paraId="4A62CD5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1A_91_1_326</w:t>
            </w:r>
          </w:p>
        </w:tc>
        <w:tc>
          <w:tcPr>
            <w:tcW w:w="0" w:type="auto"/>
            <w:shd w:val="clear" w:color="auto" w:fill="FFFFFF"/>
            <w:tcMar>
              <w:top w:w="75" w:type="dxa"/>
              <w:left w:w="75" w:type="dxa"/>
              <w:bottom w:w="75" w:type="dxa"/>
              <w:right w:w="75" w:type="dxa"/>
            </w:tcMar>
            <w:vAlign w:val="top"/>
          </w:tcPr>
          <w:p w14:paraId="2F964B1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Control</w:t>
            </w:r>
          </w:p>
        </w:tc>
      </w:tr>
      <w:tr w14:paraId="2E13408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9643D6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SA227247</w:t>
            </w:r>
          </w:p>
        </w:tc>
        <w:tc>
          <w:tcPr>
            <w:tcW w:w="0" w:type="auto"/>
            <w:shd w:val="clear" w:color="auto" w:fill="EEEEEE"/>
            <w:tcMar>
              <w:top w:w="75" w:type="dxa"/>
              <w:left w:w="75" w:type="dxa"/>
              <w:bottom w:w="75" w:type="dxa"/>
              <w:right w:w="75" w:type="dxa"/>
            </w:tcMar>
            <w:vAlign w:val="top"/>
          </w:tcPr>
          <w:p w14:paraId="3D67B5B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1A_93_1_331</w:t>
            </w:r>
          </w:p>
        </w:tc>
        <w:tc>
          <w:tcPr>
            <w:tcW w:w="0" w:type="auto"/>
            <w:shd w:val="clear" w:color="auto" w:fill="EEEEEE"/>
            <w:tcMar>
              <w:top w:w="75" w:type="dxa"/>
              <w:left w:w="75" w:type="dxa"/>
              <w:bottom w:w="75" w:type="dxa"/>
              <w:right w:w="75" w:type="dxa"/>
            </w:tcMar>
            <w:vAlign w:val="top"/>
          </w:tcPr>
          <w:p w14:paraId="69E2D1B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Control</w:t>
            </w:r>
          </w:p>
        </w:tc>
      </w:tr>
      <w:tr w14:paraId="7C4E629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5E6877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SA227248</w:t>
            </w:r>
          </w:p>
        </w:tc>
        <w:tc>
          <w:tcPr>
            <w:tcW w:w="0" w:type="auto"/>
            <w:shd w:val="clear" w:color="auto" w:fill="FFFFFF"/>
            <w:tcMar>
              <w:top w:w="75" w:type="dxa"/>
              <w:left w:w="75" w:type="dxa"/>
              <w:bottom w:w="75" w:type="dxa"/>
              <w:right w:w="75" w:type="dxa"/>
            </w:tcMar>
            <w:vAlign w:val="top"/>
          </w:tcPr>
          <w:p w14:paraId="67DCFEA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1A_92_1_327</w:t>
            </w:r>
          </w:p>
        </w:tc>
        <w:tc>
          <w:tcPr>
            <w:tcW w:w="0" w:type="auto"/>
            <w:shd w:val="clear" w:color="auto" w:fill="FFFFFF"/>
            <w:tcMar>
              <w:top w:w="75" w:type="dxa"/>
              <w:left w:w="75" w:type="dxa"/>
              <w:bottom w:w="75" w:type="dxa"/>
              <w:right w:w="75" w:type="dxa"/>
            </w:tcMar>
            <w:vAlign w:val="top"/>
          </w:tcPr>
          <w:p w14:paraId="7990249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Control</w:t>
            </w:r>
          </w:p>
        </w:tc>
      </w:tr>
      <w:tr w14:paraId="7DD92CD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171AF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SA227249</w:t>
            </w:r>
          </w:p>
        </w:tc>
        <w:tc>
          <w:tcPr>
            <w:tcW w:w="0" w:type="auto"/>
            <w:shd w:val="clear" w:color="auto" w:fill="EEEEEE"/>
            <w:tcMar>
              <w:top w:w="75" w:type="dxa"/>
              <w:left w:w="75" w:type="dxa"/>
              <w:bottom w:w="75" w:type="dxa"/>
              <w:right w:w="75" w:type="dxa"/>
            </w:tcMar>
            <w:vAlign w:val="top"/>
          </w:tcPr>
          <w:p w14:paraId="700602C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1A_92_1_330</w:t>
            </w:r>
          </w:p>
        </w:tc>
        <w:tc>
          <w:tcPr>
            <w:tcW w:w="0" w:type="auto"/>
            <w:shd w:val="clear" w:color="auto" w:fill="EEEEEE"/>
            <w:tcMar>
              <w:top w:w="75" w:type="dxa"/>
              <w:left w:w="75" w:type="dxa"/>
              <w:bottom w:w="75" w:type="dxa"/>
              <w:right w:w="75" w:type="dxa"/>
            </w:tcMar>
            <w:vAlign w:val="top"/>
          </w:tcPr>
          <w:p w14:paraId="2E0C375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Control</w:t>
            </w:r>
          </w:p>
        </w:tc>
      </w:tr>
      <w:tr w14:paraId="27AC331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919BD4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SA227250</w:t>
            </w:r>
          </w:p>
        </w:tc>
        <w:tc>
          <w:tcPr>
            <w:tcW w:w="0" w:type="auto"/>
            <w:shd w:val="clear" w:color="auto" w:fill="FFFFFF"/>
            <w:tcMar>
              <w:top w:w="75" w:type="dxa"/>
              <w:left w:w="75" w:type="dxa"/>
              <w:bottom w:w="75" w:type="dxa"/>
              <w:right w:w="75" w:type="dxa"/>
            </w:tcMar>
            <w:vAlign w:val="top"/>
          </w:tcPr>
          <w:p w14:paraId="1A80D3A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2a-2_57_1_437</w:t>
            </w:r>
          </w:p>
        </w:tc>
        <w:tc>
          <w:tcPr>
            <w:tcW w:w="0" w:type="auto"/>
            <w:shd w:val="clear" w:color="auto" w:fill="FFFFFF"/>
            <w:tcMar>
              <w:top w:w="75" w:type="dxa"/>
              <w:left w:w="75" w:type="dxa"/>
              <w:bottom w:w="75" w:type="dxa"/>
              <w:right w:w="75" w:type="dxa"/>
            </w:tcMar>
            <w:vAlign w:val="top"/>
          </w:tcPr>
          <w:p w14:paraId="4015AF5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w:t>
            </w:r>
          </w:p>
        </w:tc>
      </w:tr>
      <w:tr w14:paraId="6D3A0FD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DE2362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SA227251</w:t>
            </w:r>
          </w:p>
        </w:tc>
        <w:tc>
          <w:tcPr>
            <w:tcW w:w="0" w:type="auto"/>
            <w:shd w:val="clear" w:color="auto" w:fill="EEEEEE"/>
            <w:tcMar>
              <w:top w:w="75" w:type="dxa"/>
              <w:left w:w="75" w:type="dxa"/>
              <w:bottom w:w="75" w:type="dxa"/>
              <w:right w:w="75" w:type="dxa"/>
            </w:tcMar>
            <w:vAlign w:val="top"/>
          </w:tcPr>
          <w:p w14:paraId="03DB28D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2a-1_57_1_436</w:t>
            </w:r>
          </w:p>
        </w:tc>
        <w:tc>
          <w:tcPr>
            <w:tcW w:w="0" w:type="auto"/>
            <w:shd w:val="clear" w:color="auto" w:fill="EEEEEE"/>
            <w:tcMar>
              <w:top w:w="75" w:type="dxa"/>
              <w:left w:w="75" w:type="dxa"/>
              <w:bottom w:w="75" w:type="dxa"/>
              <w:right w:w="75" w:type="dxa"/>
            </w:tcMar>
            <w:vAlign w:val="top"/>
          </w:tcPr>
          <w:p w14:paraId="62AD76C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w:t>
            </w:r>
          </w:p>
        </w:tc>
      </w:tr>
      <w:tr w14:paraId="1A9A8B4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4083B0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SA227252</w:t>
            </w:r>
          </w:p>
        </w:tc>
        <w:tc>
          <w:tcPr>
            <w:tcW w:w="0" w:type="auto"/>
            <w:shd w:val="clear" w:color="auto" w:fill="FFFFFF"/>
            <w:tcMar>
              <w:top w:w="75" w:type="dxa"/>
              <w:left w:w="75" w:type="dxa"/>
              <w:bottom w:w="75" w:type="dxa"/>
              <w:right w:w="75" w:type="dxa"/>
            </w:tcMar>
            <w:vAlign w:val="top"/>
          </w:tcPr>
          <w:p w14:paraId="3A460D3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2a_-1_59_1_440</w:t>
            </w:r>
          </w:p>
        </w:tc>
        <w:tc>
          <w:tcPr>
            <w:tcW w:w="0" w:type="auto"/>
            <w:shd w:val="clear" w:color="auto" w:fill="FFFFFF"/>
            <w:tcMar>
              <w:top w:w="75" w:type="dxa"/>
              <w:left w:w="75" w:type="dxa"/>
              <w:bottom w:w="75" w:type="dxa"/>
              <w:right w:w="75" w:type="dxa"/>
            </w:tcMar>
            <w:vAlign w:val="top"/>
          </w:tcPr>
          <w:p w14:paraId="6826AE0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w:t>
            </w:r>
          </w:p>
        </w:tc>
      </w:tr>
      <w:tr w14:paraId="28788CB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CC16BB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SA227253</w:t>
            </w:r>
          </w:p>
        </w:tc>
        <w:tc>
          <w:tcPr>
            <w:tcW w:w="0" w:type="auto"/>
            <w:shd w:val="clear" w:color="auto" w:fill="EEEEEE"/>
            <w:tcMar>
              <w:top w:w="75" w:type="dxa"/>
              <w:left w:w="75" w:type="dxa"/>
              <w:bottom w:w="75" w:type="dxa"/>
              <w:right w:w="75" w:type="dxa"/>
            </w:tcMar>
            <w:vAlign w:val="top"/>
          </w:tcPr>
          <w:p w14:paraId="5A70C5D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2a_-2_59_1_441</w:t>
            </w:r>
          </w:p>
        </w:tc>
        <w:tc>
          <w:tcPr>
            <w:tcW w:w="0" w:type="auto"/>
            <w:shd w:val="clear" w:color="auto" w:fill="EEEEEE"/>
            <w:tcMar>
              <w:top w:w="75" w:type="dxa"/>
              <w:left w:w="75" w:type="dxa"/>
              <w:bottom w:w="75" w:type="dxa"/>
              <w:right w:w="75" w:type="dxa"/>
            </w:tcMar>
            <w:vAlign w:val="top"/>
          </w:tcPr>
          <w:p w14:paraId="42A748C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w:t>
            </w:r>
          </w:p>
        </w:tc>
      </w:tr>
      <w:tr w14:paraId="0372A77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E2AA71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SA227254</w:t>
            </w:r>
          </w:p>
        </w:tc>
        <w:tc>
          <w:tcPr>
            <w:tcW w:w="0" w:type="auto"/>
            <w:shd w:val="clear" w:color="auto" w:fill="FFFFFF"/>
            <w:tcMar>
              <w:top w:w="75" w:type="dxa"/>
              <w:left w:w="75" w:type="dxa"/>
              <w:bottom w:w="75" w:type="dxa"/>
              <w:right w:w="75" w:type="dxa"/>
            </w:tcMar>
            <w:vAlign w:val="top"/>
          </w:tcPr>
          <w:p w14:paraId="0F55A5A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2a_-1_58_1_438</w:t>
            </w:r>
          </w:p>
        </w:tc>
        <w:tc>
          <w:tcPr>
            <w:tcW w:w="0" w:type="auto"/>
            <w:shd w:val="clear" w:color="auto" w:fill="FFFFFF"/>
            <w:tcMar>
              <w:top w:w="75" w:type="dxa"/>
              <w:left w:w="75" w:type="dxa"/>
              <w:bottom w:w="75" w:type="dxa"/>
              <w:right w:w="75" w:type="dxa"/>
            </w:tcMar>
            <w:vAlign w:val="top"/>
          </w:tcPr>
          <w:p w14:paraId="6E8A736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w:t>
            </w:r>
          </w:p>
        </w:tc>
      </w:tr>
      <w:tr w14:paraId="3A7DC10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A5CADD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SA227255</w:t>
            </w:r>
          </w:p>
        </w:tc>
        <w:tc>
          <w:tcPr>
            <w:tcW w:w="0" w:type="auto"/>
            <w:shd w:val="clear" w:color="auto" w:fill="EEEEEE"/>
            <w:tcMar>
              <w:top w:w="75" w:type="dxa"/>
              <w:left w:w="75" w:type="dxa"/>
              <w:bottom w:w="75" w:type="dxa"/>
              <w:right w:w="75" w:type="dxa"/>
            </w:tcMar>
            <w:vAlign w:val="top"/>
          </w:tcPr>
          <w:p w14:paraId="18D25E8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2a_-2_58_1_439</w:t>
            </w:r>
          </w:p>
        </w:tc>
        <w:tc>
          <w:tcPr>
            <w:tcW w:w="0" w:type="auto"/>
            <w:shd w:val="clear" w:color="auto" w:fill="EEEEEE"/>
            <w:tcMar>
              <w:top w:w="75" w:type="dxa"/>
              <w:left w:w="75" w:type="dxa"/>
              <w:bottom w:w="75" w:type="dxa"/>
              <w:right w:w="75" w:type="dxa"/>
            </w:tcMar>
            <w:vAlign w:val="top"/>
          </w:tcPr>
          <w:p w14:paraId="1CFF685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w:t>
            </w:r>
          </w:p>
        </w:tc>
      </w:tr>
    </w:tbl>
    <w:p w14:paraId="15CBE3E5">
      <w:pPr>
        <w:rPr>
          <w:vanish/>
          <w:sz w:val="24"/>
          <w:szCs w:val="24"/>
        </w:rPr>
      </w:pPr>
    </w:p>
    <w:tbl>
      <w:tblPr>
        <w:tblW w:w="1420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200"/>
      </w:tblGrid>
      <w:tr w14:paraId="08A2F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14:paraId="31B8D3A2">
            <w:pPr>
              <w:keepNext w:val="0"/>
              <w:keepLines w:val="0"/>
              <w:widowControl/>
              <w:suppressLineNumbers w:val="0"/>
              <w:jc w:val="left"/>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lang w:val="en-US" w:eastAsia="zh-CN" w:bidi="ar"/>
              </w:rPr>
              <w:t>Showing results 1 to 12 of 12</w:t>
            </w:r>
          </w:p>
        </w:tc>
      </w:tr>
    </w:tbl>
    <w:p w14:paraId="320F1C3F">
      <w:pPr>
        <w:keepNext w:val="0"/>
        <w:keepLines w:val="0"/>
        <w:widowControl/>
        <w:suppressLineNumbers w:val="0"/>
        <w:jc w:val="left"/>
      </w:pPr>
    </w:p>
    <w:p w14:paraId="72EDB3FE">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Collection:</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11"/>
        <w:gridCol w:w="7135"/>
      </w:tblGrid>
      <w:tr w14:paraId="65C9466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9B2811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Collection ID:</w:t>
            </w:r>
          </w:p>
        </w:tc>
        <w:tc>
          <w:tcPr>
            <w:tcW w:w="0" w:type="auto"/>
            <w:shd w:val="clear" w:color="auto" w:fill="EEEEEE"/>
            <w:tcMar>
              <w:top w:w="75" w:type="dxa"/>
              <w:left w:w="75" w:type="dxa"/>
              <w:bottom w:w="75" w:type="dxa"/>
              <w:right w:w="75" w:type="dxa"/>
            </w:tcMar>
            <w:vAlign w:val="top"/>
          </w:tcPr>
          <w:p w14:paraId="6E77DF2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CO002396</w:t>
            </w:r>
          </w:p>
        </w:tc>
      </w:tr>
      <w:tr w14:paraId="47DB76A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47D2CE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Collection Summary:</w:t>
            </w:r>
          </w:p>
        </w:tc>
        <w:tc>
          <w:tcPr>
            <w:tcW w:w="0" w:type="auto"/>
            <w:shd w:val="clear" w:color="auto" w:fill="FFFFFF"/>
            <w:tcMar>
              <w:top w:w="75" w:type="dxa"/>
              <w:left w:w="75" w:type="dxa"/>
              <w:bottom w:w="75" w:type="dxa"/>
              <w:right w:w="75" w:type="dxa"/>
            </w:tcMar>
            <w:vAlign w:val="top"/>
          </w:tcPr>
          <w:p w14:paraId="24ED6D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 BT-474 BC cell line utilized in this study was cultured as monolayers in DMEM medium supplemented with 10% fetal bovine serum and 1% penicillin/streptomycin (Sigma Aldrich, St. Louis, MO, USA). All cultures were incubated at 37 °C in a humidified atmosphere of 5% CO2.</w:t>
            </w:r>
          </w:p>
        </w:tc>
      </w:tr>
      <w:tr w14:paraId="21F0CCB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565DAD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Type:</w:t>
            </w:r>
          </w:p>
        </w:tc>
        <w:tc>
          <w:tcPr>
            <w:tcW w:w="0" w:type="auto"/>
            <w:shd w:val="clear" w:color="auto" w:fill="EEEEEE"/>
            <w:tcMar>
              <w:top w:w="75" w:type="dxa"/>
              <w:left w:w="75" w:type="dxa"/>
              <w:bottom w:w="75" w:type="dxa"/>
              <w:right w:w="75" w:type="dxa"/>
            </w:tcMar>
            <w:vAlign w:val="top"/>
          </w:tcPr>
          <w:p w14:paraId="5C54951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Breast cancer cells</w:t>
            </w:r>
          </w:p>
        </w:tc>
      </w:tr>
      <w:tr w14:paraId="52CDEDA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EFE2A7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Storage Conditions:</w:t>
            </w:r>
          </w:p>
        </w:tc>
        <w:tc>
          <w:tcPr>
            <w:tcW w:w="0" w:type="auto"/>
            <w:shd w:val="clear" w:color="auto" w:fill="FFFFFF"/>
            <w:tcMar>
              <w:top w:w="75" w:type="dxa"/>
              <w:left w:w="75" w:type="dxa"/>
              <w:bottom w:w="75" w:type="dxa"/>
              <w:right w:w="75" w:type="dxa"/>
            </w:tcMar>
            <w:vAlign w:val="top"/>
          </w:tcPr>
          <w:p w14:paraId="62A0C1C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Described in summary</w:t>
            </w:r>
          </w:p>
        </w:tc>
      </w:tr>
    </w:tbl>
    <w:p w14:paraId="57AD2D94">
      <w:pPr>
        <w:keepNext w:val="0"/>
        <w:keepLines w:val="0"/>
        <w:widowControl/>
        <w:suppressLineNumbers w:val="0"/>
        <w:jc w:val="left"/>
      </w:pPr>
    </w:p>
    <w:p w14:paraId="1876FABD">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Treatment:</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86"/>
        <w:gridCol w:w="7160"/>
      </w:tblGrid>
      <w:tr w14:paraId="684335E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C4BCC6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 ID:</w:t>
            </w:r>
          </w:p>
        </w:tc>
        <w:tc>
          <w:tcPr>
            <w:tcW w:w="0" w:type="auto"/>
            <w:shd w:val="clear" w:color="auto" w:fill="EEEEEE"/>
            <w:tcMar>
              <w:top w:w="75" w:type="dxa"/>
              <w:left w:w="75" w:type="dxa"/>
              <w:bottom w:w="75" w:type="dxa"/>
              <w:right w:w="75" w:type="dxa"/>
            </w:tcMar>
            <w:vAlign w:val="top"/>
          </w:tcPr>
          <w:p w14:paraId="00C2745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TR002415</w:t>
            </w:r>
          </w:p>
        </w:tc>
      </w:tr>
      <w:tr w14:paraId="7AC3269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DE12FF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 Summary:</w:t>
            </w:r>
          </w:p>
        </w:tc>
        <w:tc>
          <w:tcPr>
            <w:tcW w:w="0" w:type="auto"/>
            <w:shd w:val="clear" w:color="auto" w:fill="FFFFFF"/>
            <w:tcMar>
              <w:top w:w="75" w:type="dxa"/>
              <w:left w:w="75" w:type="dxa"/>
              <w:bottom w:w="75" w:type="dxa"/>
              <w:right w:w="75" w:type="dxa"/>
            </w:tcMar>
            <w:vAlign w:val="top"/>
          </w:tcPr>
          <w:p w14:paraId="29FFC63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Triplicate flasks were prepared for each treatment condition for each analysis (metabolomic and proteomic) for a total of 24 flasks. Two million cells were seeded in each 75 cm2 tissue culture flask and incubated for 24 h. The cells were then treated with Tamoxifen (5 μM) and/or Trastuzumab (2.5 μM) for 24 h. These concentrations correspond to the IC50 of these compounds with BT-474 cells, as determined by cytotoxicity assays (data not shown). Control cells were treated with vehicle (dimethyl sulfoxide (DMSO) at 0.5% for 24 h. Following the incubation period, cells were collected by trypsinization and washed twice with phosphate-buffered saline solution (PBS) before re-suspending in 1 mL 1 × PBS for further analysis. Finally, cells were collected as pellets by centrifugation at 1200 rounds per minute (rpm) for 10 min at room temperature. To negate the effect of Circadian rhythms on the response of cells to treatment, cells were kept under the same conditions during the entire incubation period and the cell collection was done concurrently for all samples. In addition, the same number of cells were used for each sample to avoid the effect of variation in cell numbers.</w:t>
            </w:r>
          </w:p>
        </w:tc>
      </w:tr>
      <w:tr w14:paraId="79D9D73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8EDDA7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w:t>
            </w:r>
          </w:p>
        </w:tc>
        <w:tc>
          <w:tcPr>
            <w:tcW w:w="0" w:type="auto"/>
            <w:shd w:val="clear" w:color="auto" w:fill="EEEEEE"/>
            <w:tcMar>
              <w:top w:w="75" w:type="dxa"/>
              <w:left w:w="75" w:type="dxa"/>
              <w:bottom w:w="75" w:type="dxa"/>
              <w:right w:w="75" w:type="dxa"/>
            </w:tcMar>
            <w:vAlign w:val="top"/>
          </w:tcPr>
          <w:p w14:paraId="3241C4C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Drugs</w:t>
            </w:r>
          </w:p>
        </w:tc>
      </w:tr>
      <w:tr w14:paraId="1106393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82B440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 Compound:</w:t>
            </w:r>
          </w:p>
        </w:tc>
        <w:tc>
          <w:tcPr>
            <w:tcW w:w="0" w:type="auto"/>
            <w:shd w:val="clear" w:color="auto" w:fill="FFFFFF"/>
            <w:tcMar>
              <w:top w:w="75" w:type="dxa"/>
              <w:left w:w="75" w:type="dxa"/>
              <w:bottom w:w="75" w:type="dxa"/>
              <w:right w:w="75" w:type="dxa"/>
            </w:tcMar>
            <w:vAlign w:val="top"/>
          </w:tcPr>
          <w:p w14:paraId="693CBD0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Tamoxifen and/or Trastuzumab</w:t>
            </w:r>
          </w:p>
        </w:tc>
      </w:tr>
    </w:tbl>
    <w:p w14:paraId="392C1AF0">
      <w:pPr>
        <w:keepNext w:val="0"/>
        <w:keepLines w:val="0"/>
        <w:widowControl/>
        <w:suppressLineNumbers w:val="0"/>
        <w:jc w:val="left"/>
      </w:pPr>
    </w:p>
    <w:p w14:paraId="30BEFCFA">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Sample Preparation:</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42"/>
        <w:gridCol w:w="7004"/>
      </w:tblGrid>
      <w:tr w14:paraId="3A5D993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1AF72F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Sampleprep ID:</w:t>
            </w:r>
          </w:p>
        </w:tc>
        <w:tc>
          <w:tcPr>
            <w:tcW w:w="0" w:type="auto"/>
            <w:shd w:val="clear" w:color="auto" w:fill="EEEEEE"/>
            <w:tcMar>
              <w:top w:w="75" w:type="dxa"/>
              <w:left w:w="75" w:type="dxa"/>
              <w:bottom w:w="75" w:type="dxa"/>
              <w:right w:w="75" w:type="dxa"/>
            </w:tcMar>
            <w:vAlign w:val="top"/>
          </w:tcPr>
          <w:p w14:paraId="47AA0FF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SP002409</w:t>
            </w:r>
          </w:p>
        </w:tc>
      </w:tr>
      <w:tr w14:paraId="364BD51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ECB7AC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Sampleprep Summary:</w:t>
            </w:r>
          </w:p>
        </w:tc>
        <w:tc>
          <w:tcPr>
            <w:tcW w:w="0" w:type="auto"/>
            <w:shd w:val="clear" w:color="auto" w:fill="FFFFFF"/>
            <w:tcMar>
              <w:top w:w="75" w:type="dxa"/>
              <w:left w:w="75" w:type="dxa"/>
              <w:bottom w:w="75" w:type="dxa"/>
              <w:right w:w="75" w:type="dxa"/>
            </w:tcMar>
            <w:vAlign w:val="top"/>
          </w:tcPr>
          <w:p w14:paraId="0C122BF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Sample metabolite extraction A volume of 1 mL of the extraction solvent (methanol+0.1% formic acid) was added to the cell pellets to quench cells. The cells were then vortexed for 2 min to ensure the quantitative extraction of the metabolites and stored on ice for 1 h, during which the samples were vortexed every 15 min. After this, the insoluble cell matrices were collected and transferred to centrifuge tubes, intermittent ultrasonication using the COPLEY sonicator (QSONICA SONICATOR, USA) under 30% amplifier and for 30 s with an ice bath employed throughout the process. Following that, cells debris were then centrifuged (15,000 rpm, 10 min, − 4 °C) and the sample supernatants were collected and transferred to LC vials for drying in the EZ-2 Plus (GeneVac-Ipswich, UK) at 37±1 °C. Dried samples were resuspended with 200 µL (water+0.1% formic acid), and vortexed for 2 min. Finally, the samples were filtered using a hydrophilic Nylon Syringe Filter of 0.45 µm pore size and analyzed by Q-TOF MS</w:t>
            </w:r>
          </w:p>
        </w:tc>
      </w:tr>
      <w:tr w14:paraId="040A40E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C88DFE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Processing Storage Conditions:</w:t>
            </w:r>
          </w:p>
        </w:tc>
        <w:tc>
          <w:tcPr>
            <w:tcW w:w="0" w:type="auto"/>
            <w:shd w:val="clear" w:color="auto" w:fill="EEEEEE"/>
            <w:tcMar>
              <w:top w:w="75" w:type="dxa"/>
              <w:left w:w="75" w:type="dxa"/>
              <w:bottom w:w="75" w:type="dxa"/>
              <w:right w:w="75" w:type="dxa"/>
            </w:tcMar>
            <w:vAlign w:val="top"/>
          </w:tcPr>
          <w:p w14:paraId="714159B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Described in summary</w:t>
            </w:r>
          </w:p>
        </w:tc>
      </w:tr>
      <w:tr w14:paraId="5FF0834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EE90F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Extract Storage:</w:t>
            </w:r>
          </w:p>
        </w:tc>
        <w:tc>
          <w:tcPr>
            <w:tcW w:w="0" w:type="auto"/>
            <w:shd w:val="clear" w:color="auto" w:fill="FFFFFF"/>
            <w:tcMar>
              <w:top w:w="75" w:type="dxa"/>
              <w:left w:w="75" w:type="dxa"/>
              <w:bottom w:w="75" w:type="dxa"/>
              <w:right w:w="75" w:type="dxa"/>
            </w:tcMar>
            <w:vAlign w:val="top"/>
          </w:tcPr>
          <w:p w14:paraId="5438258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Described in summary</w:t>
            </w:r>
          </w:p>
        </w:tc>
      </w:tr>
    </w:tbl>
    <w:p w14:paraId="75A744A2">
      <w:pPr>
        <w:keepNext w:val="0"/>
        <w:keepLines w:val="0"/>
        <w:widowControl/>
        <w:suppressLineNumbers w:val="0"/>
        <w:jc w:val="left"/>
      </w:pPr>
    </w:p>
    <w:p w14:paraId="477A4A35">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Combined analysis:</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31"/>
        <w:gridCol w:w="2582"/>
      </w:tblGrid>
      <w:tr w14:paraId="475C1F2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2D807823">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ID</w:t>
            </w:r>
          </w:p>
        </w:tc>
        <w:tc>
          <w:tcPr>
            <w:tcW w:w="0" w:type="auto"/>
            <w:shd w:val="clear" w:color="auto" w:fill="EEEEEE"/>
            <w:tcMar>
              <w:top w:w="75" w:type="dxa"/>
              <w:left w:w="75" w:type="dxa"/>
              <w:bottom w:w="75" w:type="dxa"/>
              <w:right w:w="75" w:type="dxa"/>
            </w:tcMar>
            <w:vAlign w:val="top"/>
          </w:tcPr>
          <w:p w14:paraId="7EAD34B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AN003784</w:t>
            </w:r>
          </w:p>
        </w:tc>
      </w:tr>
      <w:tr w14:paraId="65838E7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512FDF8C">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ID</w:t>
            </w:r>
          </w:p>
        </w:tc>
        <w:tc>
          <w:tcPr>
            <w:tcW w:w="0" w:type="auto"/>
            <w:shd w:val="clear" w:color="auto" w:fill="FFFFFF"/>
            <w:tcMar>
              <w:top w:w="75" w:type="dxa"/>
              <w:left w:w="75" w:type="dxa"/>
              <w:bottom w:w="75" w:type="dxa"/>
              <w:right w:w="75" w:type="dxa"/>
            </w:tcMar>
            <w:vAlign w:val="top"/>
          </w:tcPr>
          <w:p w14:paraId="7BB1D51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CH002798</w:t>
            </w:r>
          </w:p>
        </w:tc>
      </w:tr>
      <w:tr w14:paraId="3E96E16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1372DB0A">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ID</w:t>
            </w:r>
          </w:p>
        </w:tc>
        <w:tc>
          <w:tcPr>
            <w:tcW w:w="0" w:type="auto"/>
            <w:shd w:val="clear" w:color="auto" w:fill="EEEEEE"/>
            <w:tcMar>
              <w:top w:w="75" w:type="dxa"/>
              <w:left w:w="75" w:type="dxa"/>
              <w:bottom w:w="75" w:type="dxa"/>
              <w:right w:w="75" w:type="dxa"/>
            </w:tcMar>
            <w:vAlign w:val="top"/>
          </w:tcPr>
          <w:p w14:paraId="7CFA521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MS003527</w:t>
            </w:r>
          </w:p>
        </w:tc>
      </w:tr>
      <w:tr w14:paraId="693018A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2658A114">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type</w:t>
            </w:r>
          </w:p>
        </w:tc>
        <w:tc>
          <w:tcPr>
            <w:tcW w:w="0" w:type="auto"/>
            <w:shd w:val="clear" w:color="auto" w:fill="FFFFFF"/>
            <w:tcMar>
              <w:top w:w="75" w:type="dxa"/>
              <w:left w:w="75" w:type="dxa"/>
              <w:bottom w:w="75" w:type="dxa"/>
              <w:right w:w="75" w:type="dxa"/>
            </w:tcMar>
            <w:vAlign w:val="top"/>
          </w:tcPr>
          <w:p w14:paraId="5E47999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w:t>
            </w:r>
          </w:p>
        </w:tc>
      </w:tr>
      <w:tr w14:paraId="4A528CE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197ED53D">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type</w:t>
            </w:r>
          </w:p>
        </w:tc>
        <w:tc>
          <w:tcPr>
            <w:tcW w:w="0" w:type="auto"/>
            <w:shd w:val="clear" w:color="auto" w:fill="EEEEEE"/>
            <w:tcMar>
              <w:top w:w="75" w:type="dxa"/>
              <w:left w:w="75" w:type="dxa"/>
              <w:bottom w:w="75" w:type="dxa"/>
              <w:right w:w="75" w:type="dxa"/>
            </w:tcMar>
            <w:vAlign w:val="top"/>
          </w:tcPr>
          <w:p w14:paraId="5B317FF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Reversed phase</w:t>
            </w:r>
          </w:p>
        </w:tc>
      </w:tr>
      <w:tr w14:paraId="504D68B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2E4A5B4E">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system</w:t>
            </w:r>
          </w:p>
        </w:tc>
        <w:tc>
          <w:tcPr>
            <w:tcW w:w="0" w:type="auto"/>
            <w:shd w:val="clear" w:color="auto" w:fill="FFFFFF"/>
            <w:tcMar>
              <w:top w:w="75" w:type="dxa"/>
              <w:left w:w="75" w:type="dxa"/>
              <w:bottom w:w="75" w:type="dxa"/>
              <w:right w:w="75" w:type="dxa"/>
            </w:tcMar>
            <w:vAlign w:val="top"/>
          </w:tcPr>
          <w:p w14:paraId="0E6A2DE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Bruker Elute HPG 1300</w:t>
            </w:r>
          </w:p>
        </w:tc>
      </w:tr>
      <w:tr w14:paraId="121C749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65BA1DF5">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w:t>
            </w:r>
          </w:p>
        </w:tc>
        <w:tc>
          <w:tcPr>
            <w:tcW w:w="0" w:type="auto"/>
            <w:shd w:val="clear" w:color="auto" w:fill="EEEEEE"/>
            <w:tcMar>
              <w:top w:w="75" w:type="dxa"/>
              <w:left w:w="75" w:type="dxa"/>
              <w:bottom w:w="75" w:type="dxa"/>
              <w:right w:w="75" w:type="dxa"/>
            </w:tcMar>
            <w:vAlign w:val="top"/>
          </w:tcPr>
          <w:p w14:paraId="0388ABC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Hamilton Intensity Solo 2 C18</w:t>
            </w:r>
          </w:p>
        </w:tc>
      </w:tr>
      <w:tr w14:paraId="340485C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17BF088B">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Type</w:t>
            </w:r>
          </w:p>
        </w:tc>
        <w:tc>
          <w:tcPr>
            <w:tcW w:w="0" w:type="auto"/>
            <w:shd w:val="clear" w:color="auto" w:fill="FFFFFF"/>
            <w:tcMar>
              <w:top w:w="75" w:type="dxa"/>
              <w:left w:w="75" w:type="dxa"/>
              <w:bottom w:w="75" w:type="dxa"/>
              <w:right w:w="75" w:type="dxa"/>
            </w:tcMar>
            <w:vAlign w:val="top"/>
          </w:tcPr>
          <w:p w14:paraId="2466F7D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r>
      <w:tr w14:paraId="4195D84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182436BC">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instrument type</w:t>
            </w:r>
          </w:p>
        </w:tc>
        <w:tc>
          <w:tcPr>
            <w:tcW w:w="0" w:type="auto"/>
            <w:shd w:val="clear" w:color="auto" w:fill="EEEEEE"/>
            <w:tcMar>
              <w:top w:w="75" w:type="dxa"/>
              <w:left w:w="75" w:type="dxa"/>
              <w:bottom w:w="75" w:type="dxa"/>
              <w:right w:w="75" w:type="dxa"/>
            </w:tcMar>
            <w:vAlign w:val="top"/>
          </w:tcPr>
          <w:p w14:paraId="3FB562E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QTOF</w:t>
            </w:r>
          </w:p>
        </w:tc>
      </w:tr>
      <w:tr w14:paraId="3E949CD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60EB0874">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instrument name</w:t>
            </w:r>
          </w:p>
        </w:tc>
        <w:tc>
          <w:tcPr>
            <w:tcW w:w="0" w:type="auto"/>
            <w:shd w:val="clear" w:color="auto" w:fill="FFFFFF"/>
            <w:tcMar>
              <w:top w:w="75" w:type="dxa"/>
              <w:left w:w="75" w:type="dxa"/>
              <w:bottom w:w="75" w:type="dxa"/>
              <w:right w:w="75" w:type="dxa"/>
            </w:tcMar>
            <w:vAlign w:val="top"/>
          </w:tcPr>
          <w:p w14:paraId="6B92F24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Bruker timsTOF</w:t>
            </w:r>
          </w:p>
        </w:tc>
      </w:tr>
      <w:tr w14:paraId="4DBEE4A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219FCC6B">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 Mode</w:t>
            </w:r>
          </w:p>
        </w:tc>
        <w:tc>
          <w:tcPr>
            <w:tcW w:w="0" w:type="auto"/>
            <w:shd w:val="clear" w:color="auto" w:fill="EEEEEE"/>
            <w:tcMar>
              <w:top w:w="75" w:type="dxa"/>
              <w:left w:w="75" w:type="dxa"/>
              <w:bottom w:w="75" w:type="dxa"/>
              <w:right w:w="75" w:type="dxa"/>
            </w:tcMar>
            <w:vAlign w:val="top"/>
          </w:tcPr>
          <w:p w14:paraId="24DCC4A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r w14:paraId="29A0860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70AC3059">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Units</w:t>
            </w:r>
          </w:p>
        </w:tc>
        <w:tc>
          <w:tcPr>
            <w:tcW w:w="0" w:type="auto"/>
            <w:shd w:val="clear" w:color="auto" w:fill="FFFFFF"/>
            <w:tcMar>
              <w:top w:w="75" w:type="dxa"/>
              <w:left w:w="75" w:type="dxa"/>
              <w:bottom w:w="75" w:type="dxa"/>
              <w:right w:w="75" w:type="dxa"/>
            </w:tcMar>
            <w:vAlign w:val="top"/>
          </w:tcPr>
          <w:p w14:paraId="1E441AE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AU</w:t>
            </w:r>
          </w:p>
        </w:tc>
      </w:tr>
    </w:tbl>
    <w:p w14:paraId="5F669112">
      <w:pPr>
        <w:keepNext w:val="0"/>
        <w:keepLines w:val="0"/>
        <w:widowControl/>
        <w:suppressLineNumbers w:val="0"/>
        <w:jc w:val="left"/>
      </w:pPr>
    </w:p>
    <w:p w14:paraId="0B3ACEA0">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Chromatography:</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8"/>
        <w:gridCol w:w="6708"/>
      </w:tblGrid>
      <w:tr w14:paraId="73CD7AB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17AA59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ID:</w:t>
            </w:r>
          </w:p>
        </w:tc>
        <w:tc>
          <w:tcPr>
            <w:tcW w:w="0" w:type="auto"/>
            <w:shd w:val="clear" w:color="auto" w:fill="EEEEEE"/>
            <w:tcMar>
              <w:top w:w="75" w:type="dxa"/>
              <w:left w:w="75" w:type="dxa"/>
              <w:bottom w:w="75" w:type="dxa"/>
              <w:right w:w="75" w:type="dxa"/>
            </w:tcMar>
            <w:vAlign w:val="top"/>
          </w:tcPr>
          <w:p w14:paraId="6F52322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CH002798</w:t>
            </w:r>
          </w:p>
        </w:tc>
      </w:tr>
      <w:tr w14:paraId="10388C6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576FF0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Summary:</w:t>
            </w:r>
          </w:p>
        </w:tc>
        <w:tc>
          <w:tcPr>
            <w:tcW w:w="0" w:type="auto"/>
            <w:shd w:val="clear" w:color="auto" w:fill="FFFFFF"/>
            <w:tcMar>
              <w:top w:w="75" w:type="dxa"/>
              <w:left w:w="75" w:type="dxa"/>
              <w:bottom w:w="75" w:type="dxa"/>
              <w:right w:w="75" w:type="dxa"/>
            </w:tcMar>
            <w:vAlign w:val="top"/>
          </w:tcPr>
          <w:p w14:paraId="5A19632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Samples were chromatographically separated by inline reversed-phase chromatography using the Elute HPG 1300 pumps and Elute Autosampler (Bruker, Darmstadt, Germany) with solvent A 0.1% FA in HPLC grade water and solvent B 0.1% FA in ACN. A Hamilton Intensity Solo 2 C18 column (100 mm × 2.1 mm, 1.8 μm beads) was maintained at 35 ℃ (metabolomics analyses).</w:t>
            </w:r>
          </w:p>
        </w:tc>
      </w:tr>
      <w:tr w14:paraId="320AD28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0DE54D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Methods ID:</w:t>
            </w:r>
          </w:p>
        </w:tc>
        <w:tc>
          <w:tcPr>
            <w:tcW w:w="0" w:type="auto"/>
            <w:shd w:val="clear" w:color="auto" w:fill="EEEEEE"/>
            <w:tcMar>
              <w:top w:w="75" w:type="dxa"/>
              <w:left w:w="75" w:type="dxa"/>
              <w:bottom w:w="75" w:type="dxa"/>
              <w:right w:w="75" w:type="dxa"/>
            </w:tcMar>
            <w:vAlign w:val="top"/>
          </w:tcPr>
          <w:p w14:paraId="35BCCF9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2E67D98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804008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Methods Filename:</w:t>
            </w:r>
          </w:p>
        </w:tc>
        <w:tc>
          <w:tcPr>
            <w:tcW w:w="0" w:type="auto"/>
            <w:shd w:val="clear" w:color="auto" w:fill="FFFFFF"/>
            <w:tcMar>
              <w:top w:w="75" w:type="dxa"/>
              <w:left w:w="75" w:type="dxa"/>
              <w:bottom w:w="75" w:type="dxa"/>
              <w:right w:w="75" w:type="dxa"/>
            </w:tcMar>
            <w:vAlign w:val="top"/>
          </w:tcPr>
          <w:p w14:paraId="03731D9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5719279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6E2EC8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Comments:</w:t>
            </w:r>
          </w:p>
        </w:tc>
        <w:tc>
          <w:tcPr>
            <w:tcW w:w="0" w:type="auto"/>
            <w:shd w:val="clear" w:color="auto" w:fill="EEEEEE"/>
            <w:tcMar>
              <w:top w:w="75" w:type="dxa"/>
              <w:left w:w="75" w:type="dxa"/>
              <w:bottom w:w="75" w:type="dxa"/>
              <w:right w:w="75" w:type="dxa"/>
            </w:tcMar>
            <w:vAlign w:val="top"/>
          </w:tcPr>
          <w:p w14:paraId="0B69F5A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1D1654F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7AAEF6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FFFFFF"/>
            <w:tcMar>
              <w:top w:w="75" w:type="dxa"/>
              <w:left w:w="75" w:type="dxa"/>
              <w:bottom w:w="75" w:type="dxa"/>
              <w:right w:w="75" w:type="dxa"/>
            </w:tcMar>
            <w:vAlign w:val="top"/>
          </w:tcPr>
          <w:p w14:paraId="34FC911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Bruker Elute HPG 1300</w:t>
            </w:r>
          </w:p>
        </w:tc>
      </w:tr>
      <w:tr w14:paraId="5298623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82FC4F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Name:</w:t>
            </w:r>
          </w:p>
        </w:tc>
        <w:tc>
          <w:tcPr>
            <w:tcW w:w="0" w:type="auto"/>
            <w:shd w:val="clear" w:color="auto" w:fill="EEEEEE"/>
            <w:tcMar>
              <w:top w:w="75" w:type="dxa"/>
              <w:left w:w="75" w:type="dxa"/>
              <w:bottom w:w="75" w:type="dxa"/>
              <w:right w:w="75" w:type="dxa"/>
            </w:tcMar>
            <w:vAlign w:val="top"/>
          </w:tcPr>
          <w:p w14:paraId="18846E6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Hamilton Intensity Solo 2 C18</w:t>
            </w:r>
          </w:p>
        </w:tc>
      </w:tr>
      <w:tr w14:paraId="677F515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D364E9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Pressure:</w:t>
            </w:r>
          </w:p>
        </w:tc>
        <w:tc>
          <w:tcPr>
            <w:tcW w:w="0" w:type="auto"/>
            <w:shd w:val="clear" w:color="auto" w:fill="FFFFFF"/>
            <w:tcMar>
              <w:top w:w="75" w:type="dxa"/>
              <w:left w:w="75" w:type="dxa"/>
              <w:bottom w:w="75" w:type="dxa"/>
              <w:right w:w="75" w:type="dxa"/>
            </w:tcMar>
            <w:vAlign w:val="top"/>
          </w:tcPr>
          <w:p w14:paraId="22573F3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78243AE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DFE9BE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Temperature:</w:t>
            </w:r>
          </w:p>
        </w:tc>
        <w:tc>
          <w:tcPr>
            <w:tcW w:w="0" w:type="auto"/>
            <w:shd w:val="clear" w:color="auto" w:fill="EEEEEE"/>
            <w:tcMar>
              <w:top w:w="75" w:type="dxa"/>
              <w:left w:w="75" w:type="dxa"/>
              <w:bottom w:w="75" w:type="dxa"/>
              <w:right w:w="75" w:type="dxa"/>
            </w:tcMar>
            <w:vAlign w:val="top"/>
          </w:tcPr>
          <w:p w14:paraId="2159B95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35</w:t>
            </w:r>
          </w:p>
        </w:tc>
      </w:tr>
      <w:tr w14:paraId="1826EA7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AAA594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Flow Gradient:</w:t>
            </w:r>
          </w:p>
        </w:tc>
        <w:tc>
          <w:tcPr>
            <w:tcW w:w="0" w:type="auto"/>
            <w:shd w:val="clear" w:color="auto" w:fill="FFFFFF"/>
            <w:tcMar>
              <w:top w:w="75" w:type="dxa"/>
              <w:left w:w="75" w:type="dxa"/>
              <w:bottom w:w="75" w:type="dxa"/>
              <w:right w:w="75" w:type="dxa"/>
            </w:tcMar>
            <w:vAlign w:val="top"/>
          </w:tcPr>
          <w:p w14:paraId="46F7246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1%B to 99%B in 15 min</w:t>
            </w:r>
          </w:p>
        </w:tc>
      </w:tr>
      <w:tr w14:paraId="62155E3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935F64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Flow Rate:</w:t>
            </w:r>
          </w:p>
        </w:tc>
        <w:tc>
          <w:tcPr>
            <w:tcW w:w="0" w:type="auto"/>
            <w:shd w:val="clear" w:color="auto" w:fill="EEEEEE"/>
            <w:tcMar>
              <w:top w:w="75" w:type="dxa"/>
              <w:left w:w="75" w:type="dxa"/>
              <w:bottom w:w="75" w:type="dxa"/>
              <w:right w:w="75" w:type="dxa"/>
            </w:tcMar>
            <w:vAlign w:val="top"/>
          </w:tcPr>
          <w:p w14:paraId="466CFA0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250 uL/min</w:t>
            </w:r>
          </w:p>
        </w:tc>
      </w:tr>
      <w:tr w14:paraId="2653D59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EAEC66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Injection Temperature:</w:t>
            </w:r>
          </w:p>
        </w:tc>
        <w:tc>
          <w:tcPr>
            <w:tcW w:w="0" w:type="auto"/>
            <w:shd w:val="clear" w:color="auto" w:fill="FFFFFF"/>
            <w:tcMar>
              <w:top w:w="75" w:type="dxa"/>
              <w:left w:w="75" w:type="dxa"/>
              <w:bottom w:w="75" w:type="dxa"/>
              <w:right w:w="75" w:type="dxa"/>
            </w:tcMar>
            <w:vAlign w:val="top"/>
          </w:tcPr>
          <w:p w14:paraId="6AE1D3F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434CA15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AC338B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Internal Standard:</w:t>
            </w:r>
          </w:p>
        </w:tc>
        <w:tc>
          <w:tcPr>
            <w:tcW w:w="0" w:type="auto"/>
            <w:shd w:val="clear" w:color="auto" w:fill="EEEEEE"/>
            <w:tcMar>
              <w:top w:w="75" w:type="dxa"/>
              <w:left w:w="75" w:type="dxa"/>
              <w:bottom w:w="75" w:type="dxa"/>
              <w:right w:w="75" w:type="dxa"/>
            </w:tcMar>
            <w:vAlign w:val="top"/>
          </w:tcPr>
          <w:p w14:paraId="7534A32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3EA6862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A4F98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Internal Standard Mt:</w:t>
            </w:r>
          </w:p>
        </w:tc>
        <w:tc>
          <w:tcPr>
            <w:tcW w:w="0" w:type="auto"/>
            <w:shd w:val="clear" w:color="auto" w:fill="FFFFFF"/>
            <w:tcMar>
              <w:top w:w="75" w:type="dxa"/>
              <w:left w:w="75" w:type="dxa"/>
              <w:bottom w:w="75" w:type="dxa"/>
              <w:right w:w="75" w:type="dxa"/>
            </w:tcMar>
            <w:vAlign w:val="top"/>
          </w:tcPr>
          <w:p w14:paraId="1B44F3E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4D5161B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A77D8B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Retention Index:</w:t>
            </w:r>
          </w:p>
        </w:tc>
        <w:tc>
          <w:tcPr>
            <w:tcW w:w="0" w:type="auto"/>
            <w:shd w:val="clear" w:color="auto" w:fill="EEEEEE"/>
            <w:tcMar>
              <w:top w:w="75" w:type="dxa"/>
              <w:left w:w="75" w:type="dxa"/>
              <w:bottom w:w="75" w:type="dxa"/>
              <w:right w:w="75" w:type="dxa"/>
            </w:tcMar>
            <w:vAlign w:val="top"/>
          </w:tcPr>
          <w:p w14:paraId="31520D2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7AEB64C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3103DE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Retention Time:</w:t>
            </w:r>
          </w:p>
        </w:tc>
        <w:tc>
          <w:tcPr>
            <w:tcW w:w="0" w:type="auto"/>
            <w:shd w:val="clear" w:color="auto" w:fill="FFFFFF"/>
            <w:tcMar>
              <w:top w:w="75" w:type="dxa"/>
              <w:left w:w="75" w:type="dxa"/>
              <w:bottom w:w="75" w:type="dxa"/>
              <w:right w:w="75" w:type="dxa"/>
            </w:tcMar>
            <w:vAlign w:val="top"/>
          </w:tcPr>
          <w:p w14:paraId="495ACDB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1A7D57F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C5977D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Injection:</w:t>
            </w:r>
          </w:p>
        </w:tc>
        <w:tc>
          <w:tcPr>
            <w:tcW w:w="0" w:type="auto"/>
            <w:shd w:val="clear" w:color="auto" w:fill="EEEEEE"/>
            <w:tcMar>
              <w:top w:w="75" w:type="dxa"/>
              <w:left w:w="75" w:type="dxa"/>
              <w:bottom w:w="75" w:type="dxa"/>
              <w:right w:w="75" w:type="dxa"/>
            </w:tcMar>
            <w:vAlign w:val="top"/>
          </w:tcPr>
          <w:p w14:paraId="4190B09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790BC40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143356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Sampling Cone:</w:t>
            </w:r>
          </w:p>
        </w:tc>
        <w:tc>
          <w:tcPr>
            <w:tcW w:w="0" w:type="auto"/>
            <w:shd w:val="clear" w:color="auto" w:fill="FFFFFF"/>
            <w:tcMar>
              <w:top w:w="75" w:type="dxa"/>
              <w:left w:w="75" w:type="dxa"/>
              <w:bottom w:w="75" w:type="dxa"/>
              <w:right w:w="75" w:type="dxa"/>
            </w:tcMar>
            <w:vAlign w:val="top"/>
          </w:tcPr>
          <w:p w14:paraId="147C279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68173DA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F448AA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Solvent A:</w:t>
            </w:r>
          </w:p>
        </w:tc>
        <w:tc>
          <w:tcPr>
            <w:tcW w:w="0" w:type="auto"/>
            <w:shd w:val="clear" w:color="auto" w:fill="EEEEEE"/>
            <w:tcMar>
              <w:top w:w="75" w:type="dxa"/>
              <w:left w:w="75" w:type="dxa"/>
              <w:bottom w:w="75" w:type="dxa"/>
              <w:right w:w="75" w:type="dxa"/>
            </w:tcMar>
            <w:vAlign w:val="top"/>
          </w:tcPr>
          <w:p w14:paraId="50A92D1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100% water; 0.1% formic acid</w:t>
            </w:r>
          </w:p>
        </w:tc>
      </w:tr>
      <w:tr w14:paraId="558A70D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B6412C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Solvent B:</w:t>
            </w:r>
          </w:p>
        </w:tc>
        <w:tc>
          <w:tcPr>
            <w:tcW w:w="0" w:type="auto"/>
            <w:shd w:val="clear" w:color="auto" w:fill="FFFFFF"/>
            <w:tcMar>
              <w:top w:w="75" w:type="dxa"/>
              <w:left w:w="75" w:type="dxa"/>
              <w:bottom w:w="75" w:type="dxa"/>
              <w:right w:w="75" w:type="dxa"/>
            </w:tcMar>
            <w:vAlign w:val="top"/>
          </w:tcPr>
          <w:p w14:paraId="3DD49B9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100% acetonitrile; 0.1% formic acid</w:t>
            </w:r>
          </w:p>
        </w:tc>
      </w:tr>
      <w:tr w14:paraId="518DD04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6DA9E7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Analytical Time:</w:t>
            </w:r>
          </w:p>
        </w:tc>
        <w:tc>
          <w:tcPr>
            <w:tcW w:w="0" w:type="auto"/>
            <w:shd w:val="clear" w:color="auto" w:fill="EEEEEE"/>
            <w:tcMar>
              <w:top w:w="75" w:type="dxa"/>
              <w:left w:w="75" w:type="dxa"/>
              <w:bottom w:w="75" w:type="dxa"/>
              <w:right w:w="75" w:type="dxa"/>
            </w:tcMar>
            <w:vAlign w:val="top"/>
          </w:tcPr>
          <w:p w14:paraId="54C2D14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0D03C25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BBF4DD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Capillary Voltage:</w:t>
            </w:r>
          </w:p>
        </w:tc>
        <w:tc>
          <w:tcPr>
            <w:tcW w:w="0" w:type="auto"/>
            <w:shd w:val="clear" w:color="auto" w:fill="FFFFFF"/>
            <w:tcMar>
              <w:top w:w="75" w:type="dxa"/>
              <w:left w:w="75" w:type="dxa"/>
              <w:bottom w:w="75" w:type="dxa"/>
              <w:right w:w="75" w:type="dxa"/>
            </w:tcMar>
            <w:vAlign w:val="top"/>
          </w:tcPr>
          <w:p w14:paraId="06A9DA4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1DB150F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681C0C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Migration Time:</w:t>
            </w:r>
          </w:p>
        </w:tc>
        <w:tc>
          <w:tcPr>
            <w:tcW w:w="0" w:type="auto"/>
            <w:shd w:val="clear" w:color="auto" w:fill="EEEEEE"/>
            <w:tcMar>
              <w:top w:w="75" w:type="dxa"/>
              <w:left w:w="75" w:type="dxa"/>
              <w:bottom w:w="75" w:type="dxa"/>
              <w:right w:w="75" w:type="dxa"/>
            </w:tcMar>
            <w:vAlign w:val="top"/>
          </w:tcPr>
          <w:p w14:paraId="5E6E48C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135DAD4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44F7CA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Oven Temperature:</w:t>
            </w:r>
          </w:p>
        </w:tc>
        <w:tc>
          <w:tcPr>
            <w:tcW w:w="0" w:type="auto"/>
            <w:shd w:val="clear" w:color="auto" w:fill="FFFFFF"/>
            <w:tcMar>
              <w:top w:w="75" w:type="dxa"/>
              <w:left w:w="75" w:type="dxa"/>
              <w:bottom w:w="75" w:type="dxa"/>
              <w:right w:w="75" w:type="dxa"/>
            </w:tcMar>
            <w:vAlign w:val="top"/>
          </w:tcPr>
          <w:p w14:paraId="6842708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35C</w:t>
            </w:r>
          </w:p>
        </w:tc>
      </w:tr>
      <w:tr w14:paraId="054230A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613CD4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Preconditioning:</w:t>
            </w:r>
          </w:p>
        </w:tc>
        <w:tc>
          <w:tcPr>
            <w:tcW w:w="0" w:type="auto"/>
            <w:shd w:val="clear" w:color="auto" w:fill="EEEEEE"/>
            <w:tcMar>
              <w:top w:w="75" w:type="dxa"/>
              <w:left w:w="75" w:type="dxa"/>
              <w:bottom w:w="75" w:type="dxa"/>
              <w:right w:w="75" w:type="dxa"/>
            </w:tcMar>
            <w:vAlign w:val="top"/>
          </w:tcPr>
          <w:p w14:paraId="0667DDB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2434D3E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7137CF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Running Buffer:</w:t>
            </w:r>
          </w:p>
        </w:tc>
        <w:tc>
          <w:tcPr>
            <w:tcW w:w="0" w:type="auto"/>
            <w:shd w:val="clear" w:color="auto" w:fill="FFFFFF"/>
            <w:tcMar>
              <w:top w:w="75" w:type="dxa"/>
              <w:left w:w="75" w:type="dxa"/>
              <w:bottom w:w="75" w:type="dxa"/>
              <w:right w:w="75" w:type="dxa"/>
            </w:tcMar>
            <w:vAlign w:val="top"/>
          </w:tcPr>
          <w:p w14:paraId="157B675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3764FEB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CC1A8B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Running Voltage:</w:t>
            </w:r>
          </w:p>
        </w:tc>
        <w:tc>
          <w:tcPr>
            <w:tcW w:w="0" w:type="auto"/>
            <w:shd w:val="clear" w:color="auto" w:fill="EEEEEE"/>
            <w:tcMar>
              <w:top w:w="75" w:type="dxa"/>
              <w:left w:w="75" w:type="dxa"/>
              <w:bottom w:w="75" w:type="dxa"/>
              <w:right w:w="75" w:type="dxa"/>
            </w:tcMar>
            <w:vAlign w:val="top"/>
          </w:tcPr>
          <w:p w14:paraId="6DAFCB2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38A4B2C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F99C5D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Sheath Liquid:</w:t>
            </w:r>
          </w:p>
        </w:tc>
        <w:tc>
          <w:tcPr>
            <w:tcW w:w="0" w:type="auto"/>
            <w:shd w:val="clear" w:color="auto" w:fill="FFFFFF"/>
            <w:tcMar>
              <w:top w:w="75" w:type="dxa"/>
              <w:left w:w="75" w:type="dxa"/>
              <w:bottom w:w="75" w:type="dxa"/>
              <w:right w:w="75" w:type="dxa"/>
            </w:tcMar>
            <w:vAlign w:val="top"/>
          </w:tcPr>
          <w:p w14:paraId="43F63F9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67CD2D2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DC4247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Time Program:</w:t>
            </w:r>
          </w:p>
        </w:tc>
        <w:tc>
          <w:tcPr>
            <w:tcW w:w="0" w:type="auto"/>
            <w:shd w:val="clear" w:color="auto" w:fill="EEEEEE"/>
            <w:tcMar>
              <w:top w:w="75" w:type="dxa"/>
              <w:left w:w="75" w:type="dxa"/>
              <w:bottom w:w="75" w:type="dxa"/>
              <w:right w:w="75" w:type="dxa"/>
            </w:tcMar>
            <w:vAlign w:val="top"/>
          </w:tcPr>
          <w:p w14:paraId="642E250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071EDA4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00526F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Transferline Temperature:</w:t>
            </w:r>
          </w:p>
        </w:tc>
        <w:tc>
          <w:tcPr>
            <w:tcW w:w="0" w:type="auto"/>
            <w:shd w:val="clear" w:color="auto" w:fill="FFFFFF"/>
            <w:tcMar>
              <w:top w:w="75" w:type="dxa"/>
              <w:left w:w="75" w:type="dxa"/>
              <w:bottom w:w="75" w:type="dxa"/>
              <w:right w:w="75" w:type="dxa"/>
            </w:tcMar>
            <w:vAlign w:val="top"/>
          </w:tcPr>
          <w:p w14:paraId="1E73B51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69ECD61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027B45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Washing Buffer:</w:t>
            </w:r>
          </w:p>
        </w:tc>
        <w:tc>
          <w:tcPr>
            <w:tcW w:w="0" w:type="auto"/>
            <w:shd w:val="clear" w:color="auto" w:fill="EEEEEE"/>
            <w:tcMar>
              <w:top w:w="75" w:type="dxa"/>
              <w:left w:w="75" w:type="dxa"/>
              <w:bottom w:w="75" w:type="dxa"/>
              <w:right w:w="75" w:type="dxa"/>
            </w:tcMar>
            <w:vAlign w:val="top"/>
          </w:tcPr>
          <w:p w14:paraId="1F61A7C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7E20136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229087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Weak Wash Solvent Name:</w:t>
            </w:r>
          </w:p>
        </w:tc>
        <w:tc>
          <w:tcPr>
            <w:tcW w:w="0" w:type="auto"/>
            <w:shd w:val="clear" w:color="auto" w:fill="FFFFFF"/>
            <w:tcMar>
              <w:top w:w="75" w:type="dxa"/>
              <w:left w:w="75" w:type="dxa"/>
              <w:bottom w:w="75" w:type="dxa"/>
              <w:right w:w="75" w:type="dxa"/>
            </w:tcMar>
            <w:vAlign w:val="top"/>
          </w:tcPr>
          <w:p w14:paraId="7A3C897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2E7C7E4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BF0FFA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Weak Wash Volume:</w:t>
            </w:r>
          </w:p>
        </w:tc>
        <w:tc>
          <w:tcPr>
            <w:tcW w:w="0" w:type="auto"/>
            <w:shd w:val="clear" w:color="auto" w:fill="EEEEEE"/>
            <w:tcMar>
              <w:top w:w="75" w:type="dxa"/>
              <w:left w:w="75" w:type="dxa"/>
              <w:bottom w:w="75" w:type="dxa"/>
              <w:right w:w="75" w:type="dxa"/>
            </w:tcMar>
            <w:vAlign w:val="top"/>
          </w:tcPr>
          <w:p w14:paraId="6A15641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7F994C8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3E3EE2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Strong Wash Solvent Name:</w:t>
            </w:r>
          </w:p>
        </w:tc>
        <w:tc>
          <w:tcPr>
            <w:tcW w:w="0" w:type="auto"/>
            <w:shd w:val="clear" w:color="auto" w:fill="FFFFFF"/>
            <w:tcMar>
              <w:top w:w="75" w:type="dxa"/>
              <w:left w:w="75" w:type="dxa"/>
              <w:bottom w:w="75" w:type="dxa"/>
              <w:right w:w="75" w:type="dxa"/>
            </w:tcMar>
            <w:vAlign w:val="top"/>
          </w:tcPr>
          <w:p w14:paraId="7006F5F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139BAC0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8EDE07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Strong Wash Volume:</w:t>
            </w:r>
          </w:p>
        </w:tc>
        <w:tc>
          <w:tcPr>
            <w:tcW w:w="0" w:type="auto"/>
            <w:shd w:val="clear" w:color="auto" w:fill="EEEEEE"/>
            <w:tcMar>
              <w:top w:w="75" w:type="dxa"/>
              <w:left w:w="75" w:type="dxa"/>
              <w:bottom w:w="75" w:type="dxa"/>
              <w:right w:w="75" w:type="dxa"/>
            </w:tcMar>
            <w:vAlign w:val="top"/>
          </w:tcPr>
          <w:p w14:paraId="3228A2C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3532442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D327C6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Target Sample Temperature:</w:t>
            </w:r>
          </w:p>
        </w:tc>
        <w:tc>
          <w:tcPr>
            <w:tcW w:w="0" w:type="auto"/>
            <w:shd w:val="clear" w:color="auto" w:fill="FFFFFF"/>
            <w:tcMar>
              <w:top w:w="75" w:type="dxa"/>
              <w:left w:w="75" w:type="dxa"/>
              <w:bottom w:w="75" w:type="dxa"/>
              <w:right w:w="75" w:type="dxa"/>
            </w:tcMar>
            <w:vAlign w:val="top"/>
          </w:tcPr>
          <w:p w14:paraId="7F79E6C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443E73F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FEBBCE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Loop Size:</w:t>
            </w:r>
          </w:p>
        </w:tc>
        <w:tc>
          <w:tcPr>
            <w:tcW w:w="0" w:type="auto"/>
            <w:shd w:val="clear" w:color="auto" w:fill="EEEEEE"/>
            <w:tcMar>
              <w:top w:w="75" w:type="dxa"/>
              <w:left w:w="75" w:type="dxa"/>
              <w:bottom w:w="75" w:type="dxa"/>
              <w:right w:w="75" w:type="dxa"/>
            </w:tcMar>
            <w:vAlign w:val="top"/>
          </w:tcPr>
          <w:p w14:paraId="6876FA4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55A5BB9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36EE52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Syringe Size:</w:t>
            </w:r>
          </w:p>
        </w:tc>
        <w:tc>
          <w:tcPr>
            <w:tcW w:w="0" w:type="auto"/>
            <w:shd w:val="clear" w:color="auto" w:fill="FFFFFF"/>
            <w:tcMar>
              <w:top w:w="75" w:type="dxa"/>
              <w:left w:w="75" w:type="dxa"/>
              <w:bottom w:w="75" w:type="dxa"/>
              <w:right w:w="75" w:type="dxa"/>
            </w:tcMar>
            <w:vAlign w:val="top"/>
          </w:tcPr>
          <w:p w14:paraId="0022589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60880F8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7D09A7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Randomization Order:</w:t>
            </w:r>
          </w:p>
        </w:tc>
        <w:tc>
          <w:tcPr>
            <w:tcW w:w="0" w:type="auto"/>
            <w:shd w:val="clear" w:color="auto" w:fill="EEEEEE"/>
            <w:tcMar>
              <w:top w:w="75" w:type="dxa"/>
              <w:left w:w="75" w:type="dxa"/>
              <w:bottom w:w="75" w:type="dxa"/>
              <w:right w:w="75" w:type="dxa"/>
            </w:tcMar>
            <w:vAlign w:val="top"/>
          </w:tcPr>
          <w:p w14:paraId="6592D5C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t>
            </w:r>
          </w:p>
        </w:tc>
      </w:tr>
      <w:tr w14:paraId="6404F18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8BDABF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Type:</w:t>
            </w:r>
          </w:p>
        </w:tc>
        <w:tc>
          <w:tcPr>
            <w:tcW w:w="0" w:type="auto"/>
            <w:shd w:val="clear" w:color="auto" w:fill="FFFFFF"/>
            <w:tcMar>
              <w:top w:w="75" w:type="dxa"/>
              <w:left w:w="75" w:type="dxa"/>
              <w:bottom w:w="75" w:type="dxa"/>
              <w:right w:w="75" w:type="dxa"/>
            </w:tcMar>
            <w:vAlign w:val="top"/>
          </w:tcPr>
          <w:p w14:paraId="6E915F4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Reversed phase</w:t>
            </w:r>
          </w:p>
        </w:tc>
      </w:tr>
    </w:tbl>
    <w:p w14:paraId="496F0A1F">
      <w:pPr>
        <w:keepNext w:val="0"/>
        <w:keepLines w:val="0"/>
        <w:widowControl/>
        <w:suppressLineNumbers w:val="0"/>
        <w:jc w:val="left"/>
      </w:pPr>
    </w:p>
    <w:p w14:paraId="60EB1BD3">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MS:</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97"/>
        <w:gridCol w:w="7249"/>
      </w:tblGrid>
      <w:tr w14:paraId="2C91994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4540D8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ID:</w:t>
            </w:r>
          </w:p>
        </w:tc>
        <w:tc>
          <w:tcPr>
            <w:tcW w:w="0" w:type="auto"/>
            <w:shd w:val="clear" w:color="auto" w:fill="EEEEEE"/>
            <w:tcMar>
              <w:top w:w="75" w:type="dxa"/>
              <w:left w:w="75" w:type="dxa"/>
              <w:bottom w:w="75" w:type="dxa"/>
              <w:right w:w="75" w:type="dxa"/>
            </w:tcMar>
            <w:vAlign w:val="top"/>
          </w:tcPr>
          <w:p w14:paraId="1EB7E5D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MS003527</w:t>
            </w:r>
          </w:p>
        </w:tc>
      </w:tr>
      <w:tr w14:paraId="2255749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E72B95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ID:</w:t>
            </w:r>
          </w:p>
        </w:tc>
        <w:tc>
          <w:tcPr>
            <w:tcW w:w="0" w:type="auto"/>
            <w:shd w:val="clear" w:color="auto" w:fill="FFFFFF"/>
            <w:tcMar>
              <w:top w:w="75" w:type="dxa"/>
              <w:left w:w="75" w:type="dxa"/>
              <w:bottom w:w="75" w:type="dxa"/>
              <w:right w:w="75" w:type="dxa"/>
            </w:tcMar>
            <w:vAlign w:val="top"/>
          </w:tcPr>
          <w:p w14:paraId="070548B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AN003784</w:t>
            </w:r>
          </w:p>
        </w:tc>
      </w:tr>
      <w:tr w14:paraId="27E26F0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F079AD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EEEEEE"/>
            <w:tcMar>
              <w:top w:w="75" w:type="dxa"/>
              <w:left w:w="75" w:type="dxa"/>
              <w:bottom w:w="75" w:type="dxa"/>
              <w:right w:w="75" w:type="dxa"/>
            </w:tcMar>
            <w:vAlign w:val="top"/>
          </w:tcPr>
          <w:p w14:paraId="0AB14B9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Bruker timsTOF</w:t>
            </w:r>
          </w:p>
        </w:tc>
      </w:tr>
      <w:tr w14:paraId="2053FFB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17F7220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Type:</w:t>
            </w:r>
          </w:p>
        </w:tc>
        <w:tc>
          <w:tcPr>
            <w:tcW w:w="0" w:type="auto"/>
            <w:shd w:val="clear" w:color="auto" w:fill="FFFFFF"/>
            <w:tcMar>
              <w:top w:w="75" w:type="dxa"/>
              <w:left w:w="75" w:type="dxa"/>
              <w:bottom w:w="75" w:type="dxa"/>
              <w:right w:w="75" w:type="dxa"/>
            </w:tcMar>
            <w:vAlign w:val="top"/>
          </w:tcPr>
          <w:p w14:paraId="4252799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QTOF</w:t>
            </w:r>
          </w:p>
        </w:tc>
      </w:tr>
      <w:tr w14:paraId="445AAFA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28143C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Type:</w:t>
            </w:r>
          </w:p>
        </w:tc>
        <w:tc>
          <w:tcPr>
            <w:tcW w:w="0" w:type="auto"/>
            <w:shd w:val="clear" w:color="auto" w:fill="EEEEEE"/>
            <w:tcMar>
              <w:top w:w="75" w:type="dxa"/>
              <w:left w:w="75" w:type="dxa"/>
              <w:bottom w:w="75" w:type="dxa"/>
              <w:right w:w="75" w:type="dxa"/>
            </w:tcMar>
            <w:vAlign w:val="top"/>
          </w:tcPr>
          <w:p w14:paraId="2E4CF36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r>
      <w:tr w14:paraId="39A6BE4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455983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Comments:</w:t>
            </w:r>
          </w:p>
        </w:tc>
        <w:tc>
          <w:tcPr>
            <w:tcW w:w="0" w:type="auto"/>
            <w:shd w:val="clear" w:color="auto" w:fill="FFFFFF"/>
            <w:tcMar>
              <w:top w:w="75" w:type="dxa"/>
              <w:left w:w="75" w:type="dxa"/>
              <w:bottom w:w="75" w:type="dxa"/>
              <w:right w:w="75" w:type="dxa"/>
            </w:tcMar>
            <w:vAlign w:val="top"/>
          </w:tcPr>
          <w:p w14:paraId="54B9538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 MS analysis was performed using a timsTOF (Bruker, Darmstadt, Germany) with Apollo II electrosprayionization (ESI) source. The drying gas was set to flow at 10 L/min and the drying temperature to 220℃ and the nebulizer pressure to 2.2 bar. The capillary voltage was 4500 V and the end plate offset 500 V. For metabolomics 20–1300 m/z. The instrument was operated in auto-MS/MS mode. For metabolomics the collision energy was set to 20 eV, the cycle time to 0.5 s with a relative minimum intensity threshold of 400 counts per thousand and a target intensity of 20,000. Sodium formate was injected as an external calibrant in the first 0.3 min of each LC–MS/MS run.</w:t>
            </w:r>
          </w:p>
        </w:tc>
      </w:tr>
      <w:tr w14:paraId="04EE026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E0"/>
            <w:tcMar>
              <w:top w:w="75" w:type="dxa"/>
              <w:left w:w="75" w:type="dxa"/>
              <w:bottom w:w="75" w:type="dxa"/>
              <w:right w:w="75" w:type="dxa"/>
            </w:tcMar>
            <w:vAlign w:val="top"/>
          </w:tcPr>
          <w:p w14:paraId="6C85D39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 Mode:</w:t>
            </w:r>
          </w:p>
        </w:tc>
        <w:tc>
          <w:tcPr>
            <w:tcW w:w="0" w:type="auto"/>
            <w:shd w:val="clear" w:color="auto" w:fill="FFFFE0"/>
            <w:tcMar>
              <w:top w:w="75" w:type="dxa"/>
              <w:left w:w="75" w:type="dxa"/>
              <w:bottom w:w="75" w:type="dxa"/>
              <w:right w:w="75" w:type="dxa"/>
            </w:tcMar>
            <w:vAlign w:val="top"/>
          </w:tcPr>
          <w:p w14:paraId="13E8FB7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bl>
    <w:p w14:paraId="790E6F8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8E3A9"/>
    <w:multiLevelType w:val="multilevel"/>
    <w:tmpl w:val="23D8E3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996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2026-06-15T06:56:10Z</dcterms:created>
  <dc:creator>HP</dc:creator>
  <cp:lastModifiedBy>henry北北</cp:lastModifiedBy>
  <dcterms:modified xsi:type="dcterms:W3CDTF">2026-06-15T06:56:26Z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C92CB0B264194802865A5EF93160D541_12</vt:lpwstr>
  </property>
</Properties>
</file>