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3E95" w14:textId="77777777" w:rsidR="006F17FE" w:rsidRPr="006F17FE" w:rsidRDefault="006F17FE" w:rsidP="00383EE9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eastAsiaTheme="majorEastAsia" w:hAnsiTheme="majorHAnsi" w:cstheme="majorBidi"/>
          <w:b/>
          <w:vanish/>
          <w:color w:val="2E74B5" w:themeColor="accent1" w:themeShade="BF"/>
          <w:sz w:val="26"/>
          <w:szCs w:val="26"/>
        </w:rPr>
      </w:pPr>
      <w:bookmarkStart w:id="0" w:name="_Toc66973112"/>
      <w:bookmarkStart w:id="1" w:name="_Toc25853917"/>
      <w:bookmarkStart w:id="2" w:name="_Toc25883154"/>
      <w:bookmarkStart w:id="3" w:name="_Toc25883216"/>
      <w:bookmarkStart w:id="4" w:name="_Toc26211365"/>
      <w:bookmarkStart w:id="5" w:name="_Toc26212378"/>
      <w:bookmarkStart w:id="6" w:name="_Toc26218483"/>
      <w:bookmarkStart w:id="7" w:name="_Toc26218532"/>
      <w:bookmarkStart w:id="8" w:name="_Toc26219560"/>
      <w:bookmarkStart w:id="9" w:name="_Toc26381283"/>
      <w:bookmarkStart w:id="10" w:name="_Toc26381320"/>
      <w:bookmarkStart w:id="11" w:name="_Toc26381870"/>
      <w:bookmarkStart w:id="12" w:name="_Toc26383331"/>
      <w:bookmarkStart w:id="13" w:name="_Toc26383654"/>
      <w:bookmarkStart w:id="14" w:name="_Toc26386191"/>
      <w:bookmarkStart w:id="15" w:name="_Toc26872967"/>
      <w:bookmarkStart w:id="16" w:name="_Toc64050111"/>
      <w:bookmarkStart w:id="17" w:name="_Toc66094500"/>
      <w:bookmarkStart w:id="18" w:name="_Toc66264828"/>
      <w:bookmarkStart w:id="19" w:name="_Toc66266196"/>
      <w:bookmarkStart w:id="20" w:name="_Toc66266396"/>
      <w:bookmarkStart w:id="21" w:name="_Toc66813374"/>
      <w:bookmarkStart w:id="22" w:name="_Toc66882817"/>
      <w:bookmarkStart w:id="23" w:name="_Toc66961328"/>
      <w:bookmarkStart w:id="24" w:name="_Toc66961370"/>
      <w:bookmarkStart w:id="25" w:name="_Toc66973113"/>
      <w:bookmarkStart w:id="26" w:name="_Toc67587256"/>
      <w:bookmarkStart w:id="27" w:name="_Toc67997659"/>
      <w:bookmarkStart w:id="28" w:name="_Toc80272413"/>
      <w:bookmarkStart w:id="29" w:name="_Toc80280174"/>
      <w:bookmarkStart w:id="30" w:name="_Toc80280398"/>
      <w:bookmarkStart w:id="31" w:name="_Toc80280417"/>
      <w:bookmarkStart w:id="32" w:name="_Toc80280685"/>
      <w:bookmarkStart w:id="33" w:name="_Toc82187999"/>
      <w:bookmarkStart w:id="34" w:name="_Toc84523312"/>
      <w:bookmarkStart w:id="35" w:name="_Toc84523329"/>
      <w:bookmarkStart w:id="36" w:name="_Toc84525441"/>
      <w:bookmarkStart w:id="37" w:name="_Toc84929979"/>
      <w:bookmarkStart w:id="38" w:name="_Toc849299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B4D777" w14:textId="5C81B020" w:rsidR="00F51F28" w:rsidRPr="00460925" w:rsidRDefault="00460925" w:rsidP="00DE4CE3">
      <w:pPr>
        <w:pStyle w:val="Ttulo3"/>
        <w:numPr>
          <w:ilvl w:val="1"/>
          <w:numId w:val="19"/>
        </w:numPr>
        <w:rPr>
          <w:color w:val="2E74B5" w:themeColor="accent1" w:themeShade="BF"/>
          <w:sz w:val="26"/>
          <w:szCs w:val="26"/>
        </w:rPr>
      </w:pPr>
      <w:bookmarkStart w:id="39" w:name="_Toc84929999"/>
      <w:r w:rsidRPr="00460925">
        <w:rPr>
          <w:color w:val="2E74B5" w:themeColor="accent1" w:themeShade="BF"/>
          <w:sz w:val="26"/>
          <w:szCs w:val="26"/>
        </w:rPr>
        <w:t>Guía Informe de Avance</w:t>
      </w:r>
      <w:bookmarkEnd w:id="39"/>
    </w:p>
    <w:p w14:paraId="3637EAE7" w14:textId="61D994EA" w:rsidR="00446FDE" w:rsidRDefault="00446FDE" w:rsidP="00976D22"/>
    <w:p w14:paraId="7B53EFD5" w14:textId="525745D9" w:rsidR="00F51F28" w:rsidRDefault="00AB5C24" w:rsidP="00F51F28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74BD0FA" wp14:editId="30089A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04082" w14:textId="77777777" w:rsidR="00506D67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00A779F2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Proyecto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APT- Informe de avance</w:t>
                              </w:r>
                            </w:p>
                            <w:p w14:paraId="33FDEDAA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BD0FA" id="Grupo 27" o:spid="_x0000_s1026" style="position:absolute;margin-left:0;margin-top:.75pt;width:491.25pt;height:123pt;z-index:25173862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CB04082" w14:textId="77777777" w:rsidR="00506D67" w:rsidRDefault="00506D67" w:rsidP="00F51F28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00A779F2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Proyecto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APT- Informe de avance</w:t>
                        </w:r>
                      </w:p>
                      <w:p w14:paraId="33FDEDAA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4d78 [1604]" stroked="f" strokeweight="1pt"/>
                <w10:wrap anchorx="margin"/>
              </v:group>
            </w:pict>
          </mc:Fallback>
        </mc:AlternateContent>
      </w:r>
    </w:p>
    <w:p w14:paraId="5E24AB2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FC7AD4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500F2E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C6337FF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6CEFB90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9D3B77" w14:textId="77777777" w:rsidR="00DA1615" w:rsidRDefault="00DA1615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65"/>
      </w:tblGrid>
      <w:tr w:rsidR="00DA1615" w14:paraId="5053D944" w14:textId="77777777" w:rsidTr="00124582">
        <w:trPr>
          <w:trHeight w:val="440"/>
        </w:trPr>
        <w:tc>
          <w:tcPr>
            <w:tcW w:w="10365" w:type="dxa"/>
            <w:vAlign w:val="center"/>
          </w:tcPr>
          <w:p w14:paraId="69006C9E" w14:textId="34FDE190" w:rsidR="00DA1615" w:rsidRPr="00BF2EA6" w:rsidRDefault="00DA1615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Definición del Proyecto APT</w:t>
            </w:r>
          </w:p>
        </w:tc>
      </w:tr>
      <w:tr w:rsidR="00DA1615" w14:paraId="3F1D7CA0" w14:textId="77777777" w:rsidTr="00124582">
        <w:trPr>
          <w:trHeight w:val="800"/>
        </w:trPr>
        <w:tc>
          <w:tcPr>
            <w:tcW w:w="10365" w:type="dxa"/>
            <w:shd w:val="clear" w:color="auto" w:fill="DEEAF6" w:themeFill="accent1" w:themeFillTint="33"/>
            <w:vAlign w:val="center"/>
          </w:tcPr>
          <w:p w14:paraId="3BC2E6D0" w14:textId="6986A4FF" w:rsidR="00DA1615" w:rsidRPr="00DA1615" w:rsidRDefault="00DA1615" w:rsidP="00DA1615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AECB9A5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FF50B8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7954"/>
      </w:tblGrid>
      <w:tr w:rsidR="007E4586" w14:paraId="6AE67C57" w14:textId="77777777" w:rsidTr="00DD5D85">
        <w:tc>
          <w:tcPr>
            <w:tcW w:w="2411" w:type="dxa"/>
            <w:vAlign w:val="center"/>
          </w:tcPr>
          <w:p w14:paraId="569AC0B0" w14:textId="77777777" w:rsidR="007E4586" w:rsidRPr="00CA22A9" w:rsidRDefault="007E4586" w:rsidP="007E4586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Resumen</w:t>
            </w:r>
            <w:r w:rsidRPr="006608A6">
              <w:rPr>
                <w:rFonts w:ascii="Calibri" w:hAnsi="Calibri"/>
                <w:color w:val="1F4E79" w:themeColor="accent1" w:themeShade="80"/>
              </w:rPr>
              <w:t xml:space="preserve"> de</w:t>
            </w:r>
            <w:r>
              <w:rPr>
                <w:rFonts w:ascii="Calibri" w:hAnsi="Calibri"/>
                <w:color w:val="1F4E79" w:themeColor="accent1" w:themeShade="80"/>
              </w:rPr>
              <w:t xml:space="preserve"> avance proyecto APT</w:t>
            </w:r>
          </w:p>
        </w:tc>
        <w:tc>
          <w:tcPr>
            <w:tcW w:w="7954" w:type="dxa"/>
            <w:vAlign w:val="center"/>
          </w:tcPr>
          <w:p w14:paraId="0C9FD622" w14:textId="0B00C37C" w:rsidR="007E4586" w:rsidRPr="00711C16" w:rsidRDefault="007E4586" w:rsidP="007E4586">
            <w:pPr>
              <w:pStyle w:val="NormalWeb"/>
              <w:rPr>
                <w:rFonts w:ascii="Calibri" w:hAnsi="Calibri" w:cs="Arial"/>
                <w:i/>
                <w:color w:val="548DD4"/>
                <w:sz w:val="20"/>
                <w:szCs w:val="20"/>
              </w:rPr>
            </w:pPr>
            <w:r>
              <w:rPr>
                <w:b/>
                <w:bCs/>
              </w:rPr>
              <w:t>Período de Avance:</w:t>
            </w:r>
            <w:r>
              <w:t xml:space="preserve"> 01 al 15 de octubre de 2025 </w:t>
            </w:r>
            <w:r>
              <w:rPr>
                <w:b/>
                <w:bCs/>
              </w:rPr>
              <w:t>Objetivo de la Fase:</w:t>
            </w:r>
            <w:r>
              <w:t xml:space="preserve"> Finalizar las funcionalidades de seguridad y autenticación, y garantizar la estabilidad y el rendimiento del sistema para la Presentación de Avance.</w:t>
            </w:r>
          </w:p>
        </w:tc>
      </w:tr>
      <w:tr w:rsidR="007E4586" w14:paraId="4074E7FC" w14:textId="77777777" w:rsidTr="00124582">
        <w:trPr>
          <w:trHeight w:val="1247"/>
        </w:trPr>
        <w:tc>
          <w:tcPr>
            <w:tcW w:w="2411" w:type="dxa"/>
            <w:vAlign w:val="center"/>
          </w:tcPr>
          <w:p w14:paraId="273CF2F8" w14:textId="77777777" w:rsidR="007E4586" w:rsidRPr="00CA22A9" w:rsidRDefault="007E4586" w:rsidP="007E4586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Objetivos</w:t>
            </w:r>
          </w:p>
        </w:tc>
        <w:tc>
          <w:tcPr>
            <w:tcW w:w="7954" w:type="dxa"/>
            <w:vAlign w:val="center"/>
          </w:tcPr>
          <w:p w14:paraId="6841D428" w14:textId="7CAD89AD" w:rsidR="007E4586" w:rsidRPr="00A370C8" w:rsidRDefault="007E4586" w:rsidP="007E458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t xml:space="preserve">Desarrollar una </w:t>
            </w:r>
            <w:r>
              <w:rPr>
                <w:b/>
                <w:bCs/>
              </w:rPr>
              <w:t>Plataforma Comunitaria Móvil</w:t>
            </w:r>
            <w:r>
              <w:t xml:space="preserve"> que sirva como el canal oficial y transparente para la difusión de </w:t>
            </w:r>
            <w:r>
              <w:rPr>
                <w:b/>
                <w:bCs/>
              </w:rPr>
              <w:t>indicadores ambientales automatizados</w:t>
            </w:r>
            <w:r>
              <w:t xml:space="preserve"> y la gestión formal de </w:t>
            </w:r>
            <w:r>
              <w:rPr>
                <w:b/>
                <w:bCs/>
              </w:rPr>
              <w:t>reportes o denuncias ciudadanas</w:t>
            </w:r>
            <w:r>
              <w:t xml:space="preserve"> para el Proyecto HVDC Kimal–Lo Aguirre, asegurando la trazabilidad y la comunicación bidireccional con la comunidad.</w:t>
            </w:r>
          </w:p>
        </w:tc>
      </w:tr>
      <w:tr w:rsidR="007E4586" w14:paraId="7A2150E2" w14:textId="77777777" w:rsidTr="00124582">
        <w:trPr>
          <w:trHeight w:val="1393"/>
        </w:trPr>
        <w:tc>
          <w:tcPr>
            <w:tcW w:w="2411" w:type="dxa"/>
            <w:vAlign w:val="center"/>
          </w:tcPr>
          <w:p w14:paraId="5FF48623" w14:textId="77777777" w:rsidR="007E4586" w:rsidRPr="00CA22A9" w:rsidRDefault="007E4586" w:rsidP="007E4586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Metodología</w:t>
            </w:r>
          </w:p>
        </w:tc>
        <w:tc>
          <w:tcPr>
            <w:tcW w:w="7954" w:type="dxa"/>
            <w:vAlign w:val="center"/>
          </w:tcPr>
          <w:p w14:paraId="42CAD384" w14:textId="6C3BF5B6" w:rsidR="007E4586" w:rsidRPr="00711C16" w:rsidRDefault="007E4586" w:rsidP="007E458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Agil</w:t>
            </w:r>
          </w:p>
        </w:tc>
      </w:tr>
      <w:tr w:rsidR="007E4586" w14:paraId="4EAC1BEF" w14:textId="77777777" w:rsidTr="00124582">
        <w:trPr>
          <w:trHeight w:val="3098"/>
        </w:trPr>
        <w:tc>
          <w:tcPr>
            <w:tcW w:w="2411" w:type="dxa"/>
            <w:vAlign w:val="center"/>
          </w:tcPr>
          <w:p w14:paraId="6B28D773" w14:textId="77777777" w:rsidR="007E4586" w:rsidRPr="00CA22A9" w:rsidRDefault="007E4586" w:rsidP="007E4586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Evidencias de avance</w:t>
            </w:r>
          </w:p>
        </w:tc>
        <w:tc>
          <w:tcPr>
            <w:tcW w:w="7954" w:type="dxa"/>
            <w:vAlign w:val="center"/>
          </w:tcPr>
          <w:p w14:paraId="1380A63A" w14:textId="77777777" w:rsidR="007E4586" w:rsidRDefault="007E4586" w:rsidP="007E458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Documento daily metings</w:t>
            </w:r>
          </w:p>
          <w:p w14:paraId="4A248AB0" w14:textId="76E96D3B" w:rsidR="007E4586" w:rsidRDefault="007E4586" w:rsidP="007E458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Informe de avance fase 2 final</w:t>
            </w:r>
          </w:p>
          <w:p w14:paraId="36FE23B1" w14:textId="2B1978AD" w:rsidR="007E4586" w:rsidRPr="00A370C8" w:rsidRDefault="007E4586" w:rsidP="007E458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Quedan documentos pendientes por subir </w:t>
            </w:r>
          </w:p>
        </w:tc>
      </w:tr>
      <w:tr w:rsidR="007E4586" w14:paraId="6A956237" w14:textId="77777777" w:rsidTr="00124582">
        <w:trPr>
          <w:trHeight w:val="440"/>
        </w:trPr>
        <w:tc>
          <w:tcPr>
            <w:tcW w:w="10365" w:type="dxa"/>
            <w:gridSpan w:val="2"/>
            <w:vAlign w:val="center"/>
          </w:tcPr>
          <w:p w14:paraId="63E1DAD7" w14:textId="702196FA" w:rsidR="007E4586" w:rsidRPr="00BF2EA6" w:rsidRDefault="007E4586" w:rsidP="007E4586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  <w:br w:type="page"/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7E4586" w14:paraId="2ADDABB6" w14:textId="77777777" w:rsidTr="00124582">
        <w:trPr>
          <w:trHeight w:val="800"/>
        </w:trPr>
        <w:tc>
          <w:tcPr>
            <w:tcW w:w="10365" w:type="dxa"/>
            <w:gridSpan w:val="2"/>
            <w:shd w:val="clear" w:color="auto" w:fill="DEEAF6" w:themeFill="accent1" w:themeFillTint="33"/>
            <w:vAlign w:val="center"/>
          </w:tcPr>
          <w:p w14:paraId="7FE5B856" w14:textId="5A203A57" w:rsidR="007E4586" w:rsidRPr="00DA1615" w:rsidRDefault="007E4586" w:rsidP="007E4586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lastRenderedPageBreak/>
              <w:t>Examina cuidadosamente tu plan de trabajo, enfocándote especialmente en la columna de monitoreo y ajustes, para responder la siguiente pregunta.</w:t>
            </w:r>
          </w:p>
        </w:tc>
      </w:tr>
    </w:tbl>
    <w:p w14:paraId="15113152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670E89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882D3F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F9DE636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7B471ED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8351EA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EA360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C288BD4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893A08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83FB9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5833B6" w14:textId="0B3758B2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55261F4" w14:textId="2484BDCF" w:rsidR="007E4586" w:rsidRDefault="007E4586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37284D2" w14:textId="77777777" w:rsidR="007E4586" w:rsidRDefault="007E4586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1C4B51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2651E3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37B2A6D" w14:textId="1133A2E5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41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</w:tblGrid>
      <w:tr w:rsidR="00F51F28" w:rsidRPr="006E3B0D" w14:paraId="3ECE4927" w14:textId="77777777" w:rsidTr="00AB5C24">
        <w:trPr>
          <w:trHeight w:val="415"/>
        </w:trPr>
        <w:tc>
          <w:tcPr>
            <w:tcW w:w="10627" w:type="dxa"/>
            <w:gridSpan w:val="8"/>
            <w:vAlign w:val="center"/>
          </w:tcPr>
          <w:p w14:paraId="5717957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lastRenderedPageBreak/>
              <w:t>Plan de Trabajo</w:t>
            </w:r>
          </w:p>
        </w:tc>
      </w:tr>
      <w:tr w:rsidR="00F51F28" w:rsidRPr="006E3B0D" w14:paraId="5C6F6BD9" w14:textId="77777777" w:rsidTr="00AB5C24">
        <w:trPr>
          <w:trHeight w:val="705"/>
        </w:trPr>
        <w:tc>
          <w:tcPr>
            <w:tcW w:w="1328" w:type="dxa"/>
            <w:vAlign w:val="center"/>
          </w:tcPr>
          <w:p w14:paraId="0AD94339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9" w:type="dxa"/>
            <w:vAlign w:val="center"/>
          </w:tcPr>
          <w:p w14:paraId="4BF4A45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Actividades</w:t>
            </w:r>
          </w:p>
        </w:tc>
        <w:tc>
          <w:tcPr>
            <w:tcW w:w="1329" w:type="dxa"/>
            <w:vAlign w:val="center"/>
          </w:tcPr>
          <w:p w14:paraId="0350A3A0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Recursos</w:t>
            </w:r>
          </w:p>
        </w:tc>
        <w:tc>
          <w:tcPr>
            <w:tcW w:w="1329" w:type="dxa"/>
            <w:vAlign w:val="center"/>
          </w:tcPr>
          <w:p w14:paraId="47A1EFB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Duración de la actividad</w:t>
            </w:r>
          </w:p>
        </w:tc>
        <w:tc>
          <w:tcPr>
            <w:tcW w:w="1329" w:type="dxa"/>
            <w:vAlign w:val="center"/>
          </w:tcPr>
          <w:p w14:paraId="2A75267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4E79" w:themeColor="accent1" w:themeShade="80"/>
                <w:sz w:val="18"/>
              </w:rPr>
              <w:footnoteReference w:id="1"/>
            </w:r>
          </w:p>
        </w:tc>
        <w:tc>
          <w:tcPr>
            <w:tcW w:w="1329" w:type="dxa"/>
            <w:vAlign w:val="center"/>
          </w:tcPr>
          <w:p w14:paraId="6B520A9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Observaciones</w:t>
            </w:r>
          </w:p>
        </w:tc>
        <w:tc>
          <w:tcPr>
            <w:tcW w:w="1329" w:type="dxa"/>
            <w:vAlign w:val="center"/>
          </w:tcPr>
          <w:p w14:paraId="456DD8E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Estado de avance</w:t>
            </w:r>
          </w:p>
        </w:tc>
        <w:tc>
          <w:tcPr>
            <w:tcW w:w="1325" w:type="dxa"/>
            <w:vAlign w:val="center"/>
          </w:tcPr>
          <w:p w14:paraId="2227658C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justes</w:t>
            </w:r>
          </w:p>
        </w:tc>
      </w:tr>
      <w:tr w:rsidR="00F51F28" w:rsidRPr="006E3B0D" w14:paraId="3657278C" w14:textId="77777777" w:rsidTr="007E4586">
        <w:trPr>
          <w:trHeight w:val="2398"/>
        </w:trPr>
        <w:tc>
          <w:tcPr>
            <w:tcW w:w="1328" w:type="dxa"/>
          </w:tcPr>
          <w:p w14:paraId="39894251" w14:textId="2D6EA707" w:rsidR="00F51F28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Seguridad de Software</w:t>
            </w:r>
          </w:p>
        </w:tc>
        <w:tc>
          <w:tcPr>
            <w:tcW w:w="1329" w:type="dxa"/>
          </w:tcPr>
          <w:p w14:paraId="61C1F923" w14:textId="00EBFEF6" w:rsidR="00F51F28" w:rsidRPr="006E3B0D" w:rsidRDefault="007E4586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Revisión de Seguridad y Validación de Datos (HU-04c)</w:t>
            </w:r>
          </w:p>
        </w:tc>
        <w:tc>
          <w:tcPr>
            <w:tcW w:w="1329" w:type="dxa"/>
          </w:tcPr>
          <w:p w14:paraId="697F9A24" w14:textId="1615E8EA" w:rsidR="00F51F28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Herramientas de Test, BD</w:t>
            </w:r>
          </w:p>
        </w:tc>
        <w:tc>
          <w:tcPr>
            <w:tcW w:w="1329" w:type="dxa"/>
          </w:tcPr>
          <w:p w14:paraId="17A40500" w14:textId="27F7339E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  <w:r w:rsidR="007E4586">
              <w:t xml:space="preserve">2 </w:t>
            </w:r>
            <w:r w:rsidR="00B07796">
              <w:t>días</w:t>
            </w:r>
          </w:p>
        </w:tc>
        <w:tc>
          <w:tcPr>
            <w:tcW w:w="1329" w:type="dxa"/>
          </w:tcPr>
          <w:p w14:paraId="0A609171" w14:textId="7801A030" w:rsidR="00F51F28" w:rsidRPr="006E3B0D" w:rsidRDefault="00B07796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  <w:r>
              <w:t xml:space="preserve"> Oscar</w:t>
            </w:r>
          </w:p>
        </w:tc>
        <w:tc>
          <w:tcPr>
            <w:tcW w:w="1329" w:type="dxa"/>
          </w:tcPr>
          <w:p w14:paraId="35B8579F" w14:textId="2EF1FE90" w:rsidR="00F51F28" w:rsidRPr="006E3B0D" w:rsidRDefault="007E4586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iCs/>
              </w:rPr>
              <w:t>Dificultad:</w:t>
            </w:r>
            <w:r>
              <w:t xml:space="preserve"> Ajustar la validación de seguridad requiere revisión exhaustiva del </w:t>
            </w:r>
            <w:r>
              <w:rPr>
                <w:i/>
                <w:iCs/>
              </w:rPr>
              <w:t>backend</w:t>
            </w:r>
            <w:r>
              <w:t>.</w:t>
            </w:r>
          </w:p>
        </w:tc>
        <w:tc>
          <w:tcPr>
            <w:tcW w:w="1329" w:type="dxa"/>
          </w:tcPr>
          <w:p w14:paraId="41915CC6" w14:textId="0B21A543" w:rsidR="00F51F28" w:rsidRPr="00E54467" w:rsidRDefault="007E4586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>Incompleto</w:t>
            </w:r>
          </w:p>
        </w:tc>
        <w:tc>
          <w:tcPr>
            <w:tcW w:w="1325" w:type="dxa"/>
          </w:tcPr>
          <w:p w14:paraId="00A0DD51" w14:textId="41A738B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51F28" w:rsidRPr="006E3B0D" w14:paraId="52BBC211" w14:textId="77777777" w:rsidTr="00AB5C24">
        <w:trPr>
          <w:trHeight w:val="282"/>
        </w:trPr>
        <w:tc>
          <w:tcPr>
            <w:tcW w:w="1328" w:type="dxa"/>
          </w:tcPr>
          <w:p w14:paraId="4894E566" w14:textId="46191104" w:rsidR="00F51F28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Desarrollo de Software Ágil</w:t>
            </w:r>
          </w:p>
        </w:tc>
        <w:tc>
          <w:tcPr>
            <w:tcW w:w="1329" w:type="dxa"/>
            <w:vAlign w:val="center"/>
          </w:tcPr>
          <w:p w14:paraId="1331608F" w14:textId="5641033D" w:rsidR="00F51F28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Pruebas de Usabilidad de Módulo de Autenticación</w:t>
            </w:r>
          </w:p>
        </w:tc>
        <w:tc>
          <w:tcPr>
            <w:tcW w:w="1329" w:type="dxa"/>
          </w:tcPr>
          <w:p w14:paraId="68521401" w14:textId="7574F371" w:rsidR="00F51F28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 xml:space="preserve">Equipo Piloto (5 </w:t>
            </w:r>
            <w:r>
              <w:rPr>
                <w:i/>
                <w:iCs/>
              </w:rPr>
              <w:t>Stakeholders</w:t>
            </w:r>
            <w:r>
              <w:t>)</w:t>
            </w:r>
          </w:p>
        </w:tc>
        <w:tc>
          <w:tcPr>
            <w:tcW w:w="1329" w:type="dxa"/>
          </w:tcPr>
          <w:p w14:paraId="2FD66433" w14:textId="144A6C46" w:rsidR="00F51F28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t>1</w:t>
            </w:r>
            <w:r>
              <w:t xml:space="preserve"> </w:t>
            </w:r>
            <w:r>
              <w:t>día</w:t>
            </w:r>
          </w:p>
        </w:tc>
        <w:tc>
          <w:tcPr>
            <w:tcW w:w="1329" w:type="dxa"/>
          </w:tcPr>
          <w:p w14:paraId="4ECEB957" w14:textId="06116D6D" w:rsidR="00F51F28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Brittanny</w:t>
            </w:r>
          </w:p>
        </w:tc>
        <w:tc>
          <w:tcPr>
            <w:tcW w:w="1329" w:type="dxa"/>
          </w:tcPr>
          <w:p w14:paraId="6BA91D0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51CAF732" w14:textId="4CC58812" w:rsidR="00F51F28" w:rsidRPr="00E54467" w:rsidRDefault="00B07796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  <w:r>
              <w:rPr>
                <w:b/>
                <w:color w:val="C00000"/>
                <w:sz w:val="16"/>
                <w:szCs w:val="24"/>
              </w:rPr>
              <w:t>Incompleto</w:t>
            </w:r>
          </w:p>
        </w:tc>
        <w:tc>
          <w:tcPr>
            <w:tcW w:w="1325" w:type="dxa"/>
          </w:tcPr>
          <w:p w14:paraId="727A23C9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5E2543" w:rsidRPr="006E3B0D" w14:paraId="6028C903" w14:textId="77777777" w:rsidTr="00AB5C24">
        <w:trPr>
          <w:trHeight w:val="282"/>
        </w:trPr>
        <w:tc>
          <w:tcPr>
            <w:tcW w:w="1328" w:type="dxa"/>
          </w:tcPr>
          <w:p w14:paraId="3A546234" w14:textId="6ECEDCAB" w:rsidR="005E2543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Integración de Sistemas (Backend)</w:t>
            </w:r>
          </w:p>
        </w:tc>
        <w:tc>
          <w:tcPr>
            <w:tcW w:w="1329" w:type="dxa"/>
            <w:vAlign w:val="center"/>
          </w:tcPr>
          <w:p w14:paraId="52482DCC" w14:textId="2424C1F4" w:rsidR="005E2543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Ejecución de Pruebas de Rendimiento</w:t>
            </w:r>
          </w:p>
        </w:tc>
        <w:tc>
          <w:tcPr>
            <w:tcW w:w="1329" w:type="dxa"/>
          </w:tcPr>
          <w:p w14:paraId="3611BAD6" w14:textId="2D92E3B6" w:rsidR="005E2543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  <w:r>
              <w:t>Herramientas de Simulación de Carga</w:t>
            </w:r>
          </w:p>
        </w:tc>
        <w:tc>
          <w:tcPr>
            <w:tcW w:w="1329" w:type="dxa"/>
          </w:tcPr>
          <w:p w14:paraId="61396168" w14:textId="2147EBEB" w:rsidR="005E2543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t xml:space="preserve">2 </w:t>
            </w:r>
            <w:r>
              <w:t>días</w:t>
            </w:r>
          </w:p>
        </w:tc>
        <w:tc>
          <w:tcPr>
            <w:tcW w:w="1329" w:type="dxa"/>
          </w:tcPr>
          <w:p w14:paraId="715ABF6D" w14:textId="391A8F3C" w:rsidR="005E2543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Oscar</w:t>
            </w:r>
          </w:p>
        </w:tc>
        <w:tc>
          <w:tcPr>
            <w:tcW w:w="1329" w:type="dxa"/>
          </w:tcPr>
          <w:p w14:paraId="416EA0F9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C224B58" w14:textId="4811FE35" w:rsidR="005E2543" w:rsidRPr="00E54467" w:rsidRDefault="00B07796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  <w:r>
              <w:rPr>
                <w:b/>
                <w:color w:val="C00000"/>
                <w:sz w:val="16"/>
                <w:szCs w:val="24"/>
              </w:rPr>
              <w:t>Incompleto</w:t>
            </w:r>
          </w:p>
        </w:tc>
        <w:tc>
          <w:tcPr>
            <w:tcW w:w="1325" w:type="dxa"/>
          </w:tcPr>
          <w:p w14:paraId="5AB1557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7E4586" w:rsidRPr="006E3B0D" w14:paraId="5DAD9584" w14:textId="77777777" w:rsidTr="00AB5C24">
        <w:trPr>
          <w:trHeight w:val="282"/>
        </w:trPr>
        <w:tc>
          <w:tcPr>
            <w:tcW w:w="1328" w:type="dxa"/>
          </w:tcPr>
          <w:p w14:paraId="7EF1AFBC" w14:textId="77777777" w:rsidR="007E4586" w:rsidRDefault="007E4586" w:rsidP="00F51F28">
            <w:pPr>
              <w:jc w:val="both"/>
            </w:pPr>
          </w:p>
        </w:tc>
        <w:tc>
          <w:tcPr>
            <w:tcW w:w="1329" w:type="dxa"/>
            <w:vAlign w:val="center"/>
          </w:tcPr>
          <w:p w14:paraId="18EFAF78" w14:textId="04771AE8" w:rsidR="007E4586" w:rsidRDefault="00B07796" w:rsidP="00F51F28">
            <w:pPr>
              <w:jc w:val="both"/>
            </w:pPr>
            <w:r>
              <w:t>Optimización del Microservicio de Reportes (</w:t>
            </w:r>
            <w:r>
              <w:rPr>
                <w:i/>
                <w:iCs/>
              </w:rPr>
              <w:t>Caching</w:t>
            </w:r>
            <w:r>
              <w:t xml:space="preserve"> y SQL)</w:t>
            </w:r>
          </w:p>
        </w:tc>
        <w:tc>
          <w:tcPr>
            <w:tcW w:w="1329" w:type="dxa"/>
          </w:tcPr>
          <w:p w14:paraId="3E2B3EEC" w14:textId="5AD0A406" w:rsidR="007E4586" w:rsidRDefault="00B07796" w:rsidP="00F51F28">
            <w:pPr>
              <w:jc w:val="both"/>
            </w:pPr>
            <w:r>
              <w:t>IDE, Motor de BD</w:t>
            </w:r>
          </w:p>
        </w:tc>
        <w:tc>
          <w:tcPr>
            <w:tcW w:w="1329" w:type="dxa"/>
          </w:tcPr>
          <w:p w14:paraId="1C19C3A5" w14:textId="2F3DD668" w:rsidR="007E458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t>1 día</w:t>
            </w:r>
          </w:p>
        </w:tc>
        <w:tc>
          <w:tcPr>
            <w:tcW w:w="1329" w:type="dxa"/>
          </w:tcPr>
          <w:p w14:paraId="2373579A" w14:textId="005351AB" w:rsidR="007E458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Oscar</w:t>
            </w:r>
          </w:p>
        </w:tc>
        <w:tc>
          <w:tcPr>
            <w:tcW w:w="1329" w:type="dxa"/>
          </w:tcPr>
          <w:p w14:paraId="1AF46D70" w14:textId="77777777" w:rsidR="007E4586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2E1727E6" w14:textId="3E4571E1" w:rsidR="007E4586" w:rsidRPr="00E54467" w:rsidRDefault="00B07796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  <w:r>
              <w:rPr>
                <w:b/>
                <w:color w:val="C00000"/>
                <w:sz w:val="16"/>
                <w:szCs w:val="24"/>
              </w:rPr>
              <w:t>Incompleto</w:t>
            </w:r>
          </w:p>
        </w:tc>
        <w:tc>
          <w:tcPr>
            <w:tcW w:w="1325" w:type="dxa"/>
          </w:tcPr>
          <w:p w14:paraId="49625D99" w14:textId="77777777" w:rsidR="007E4586" w:rsidRPr="006E3B0D" w:rsidRDefault="007E4586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07796" w:rsidRPr="006E3B0D" w14:paraId="16AE5AF2" w14:textId="77777777" w:rsidTr="00AB5C24">
        <w:trPr>
          <w:trHeight w:val="282"/>
        </w:trPr>
        <w:tc>
          <w:tcPr>
            <w:tcW w:w="1328" w:type="dxa"/>
          </w:tcPr>
          <w:p w14:paraId="18B23A3F" w14:textId="2B3341D0" w:rsidR="00B07796" w:rsidRDefault="00B07796" w:rsidP="00F51F28">
            <w:pPr>
              <w:jc w:val="both"/>
            </w:pPr>
            <w:r>
              <w:t>Desarrollo Frontend / UX</w:t>
            </w:r>
          </w:p>
        </w:tc>
        <w:tc>
          <w:tcPr>
            <w:tcW w:w="1329" w:type="dxa"/>
            <w:vAlign w:val="center"/>
          </w:tcPr>
          <w:p w14:paraId="08713AB6" w14:textId="0B4C0B6A" w:rsidR="00B07796" w:rsidRDefault="00B07796" w:rsidP="00F51F28">
            <w:pPr>
              <w:jc w:val="both"/>
            </w:pPr>
            <w:r>
              <w:t>Pruebas Integrales y de Accesibilidad Finales</w:t>
            </w:r>
          </w:p>
        </w:tc>
        <w:tc>
          <w:tcPr>
            <w:tcW w:w="1329" w:type="dxa"/>
          </w:tcPr>
          <w:p w14:paraId="7AE617F4" w14:textId="1C216A4F" w:rsidR="00B07796" w:rsidRDefault="00B07796" w:rsidP="00F51F28">
            <w:pPr>
              <w:jc w:val="both"/>
            </w:pPr>
            <w:r>
              <w:t>Herramientas de QA, Dispositivos Móviles</w:t>
            </w:r>
          </w:p>
        </w:tc>
        <w:tc>
          <w:tcPr>
            <w:tcW w:w="1329" w:type="dxa"/>
          </w:tcPr>
          <w:p w14:paraId="6831E28D" w14:textId="5452E9A4" w:rsidR="00B07796" w:rsidRDefault="00B07796" w:rsidP="00F51F28">
            <w:pPr>
              <w:jc w:val="both"/>
            </w:pPr>
            <w:r>
              <w:t>1 Dia</w:t>
            </w:r>
          </w:p>
        </w:tc>
        <w:tc>
          <w:tcPr>
            <w:tcW w:w="1329" w:type="dxa"/>
          </w:tcPr>
          <w:p w14:paraId="5CCD1F40" w14:textId="500520C0" w:rsidR="00B0779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Brittanny</w:t>
            </w:r>
          </w:p>
        </w:tc>
        <w:tc>
          <w:tcPr>
            <w:tcW w:w="1329" w:type="dxa"/>
          </w:tcPr>
          <w:p w14:paraId="4434C6E5" w14:textId="77777777" w:rsidR="00B0779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37BF2791" w14:textId="49032C8F" w:rsidR="00B07796" w:rsidRPr="00E54467" w:rsidRDefault="00B07796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  <w:r>
              <w:rPr>
                <w:b/>
                <w:color w:val="C00000"/>
                <w:sz w:val="16"/>
                <w:szCs w:val="24"/>
              </w:rPr>
              <w:t>incompleto</w:t>
            </w:r>
          </w:p>
        </w:tc>
        <w:tc>
          <w:tcPr>
            <w:tcW w:w="1325" w:type="dxa"/>
          </w:tcPr>
          <w:p w14:paraId="3B5DC07D" w14:textId="77777777" w:rsidR="00B0779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B07796" w:rsidRPr="006E3B0D" w14:paraId="1A0E2344" w14:textId="77777777" w:rsidTr="00AB5C24">
        <w:trPr>
          <w:trHeight w:val="282"/>
        </w:trPr>
        <w:tc>
          <w:tcPr>
            <w:tcW w:w="1328" w:type="dxa"/>
          </w:tcPr>
          <w:p w14:paraId="1203C687" w14:textId="4D85DD09" w:rsidR="00B07796" w:rsidRDefault="00B07796" w:rsidP="00F51F28">
            <w:pPr>
              <w:jc w:val="both"/>
            </w:pPr>
            <w:r>
              <w:lastRenderedPageBreak/>
              <w:t>Comunicación y Documentación</w:t>
            </w:r>
          </w:p>
        </w:tc>
        <w:tc>
          <w:tcPr>
            <w:tcW w:w="1329" w:type="dxa"/>
            <w:vAlign w:val="center"/>
          </w:tcPr>
          <w:p w14:paraId="35E3DB9F" w14:textId="407F726F" w:rsidR="00B07796" w:rsidRDefault="00B07796" w:rsidP="00F51F28">
            <w:pPr>
              <w:jc w:val="both"/>
            </w:pPr>
            <w:r>
              <w:t>Preparación de la Presentación de Avance (15/10)</w:t>
            </w:r>
          </w:p>
        </w:tc>
        <w:tc>
          <w:tcPr>
            <w:tcW w:w="1329" w:type="dxa"/>
          </w:tcPr>
          <w:p w14:paraId="016D2D8B" w14:textId="4B363FD0" w:rsidR="00B07796" w:rsidRDefault="00B07796" w:rsidP="00F51F28">
            <w:pPr>
              <w:jc w:val="both"/>
            </w:pPr>
            <w:r>
              <w:t>Diapositivas, Script, Ambiente de Demo</w:t>
            </w:r>
          </w:p>
        </w:tc>
        <w:tc>
          <w:tcPr>
            <w:tcW w:w="1329" w:type="dxa"/>
          </w:tcPr>
          <w:p w14:paraId="5478EB9C" w14:textId="6EF96FA3" w:rsidR="00B07796" w:rsidRDefault="00B07796" w:rsidP="00F51F28">
            <w:pPr>
              <w:jc w:val="both"/>
            </w:pPr>
            <w:r>
              <w:t>2 Dias</w:t>
            </w:r>
          </w:p>
        </w:tc>
        <w:tc>
          <w:tcPr>
            <w:tcW w:w="1329" w:type="dxa"/>
          </w:tcPr>
          <w:p w14:paraId="3DF3AFC4" w14:textId="34C3AE96" w:rsidR="00B0779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Ambos</w:t>
            </w:r>
          </w:p>
        </w:tc>
        <w:tc>
          <w:tcPr>
            <w:tcW w:w="1329" w:type="dxa"/>
          </w:tcPr>
          <w:p w14:paraId="48AACD51" w14:textId="77777777" w:rsidR="00B0779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5B937178" w14:textId="6FB8E392" w:rsidR="00B07796" w:rsidRPr="00E54467" w:rsidRDefault="00B07796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  <w:r>
              <w:rPr>
                <w:b/>
                <w:color w:val="C00000"/>
                <w:sz w:val="16"/>
                <w:szCs w:val="24"/>
              </w:rPr>
              <w:t>incompleto</w:t>
            </w:r>
          </w:p>
        </w:tc>
        <w:tc>
          <w:tcPr>
            <w:tcW w:w="1325" w:type="dxa"/>
          </w:tcPr>
          <w:p w14:paraId="4274E8A7" w14:textId="77777777" w:rsidR="00B07796" w:rsidRPr="006E3B0D" w:rsidRDefault="00B07796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</w:tbl>
    <w:p w14:paraId="3A3CA1A1" w14:textId="77777777" w:rsidR="00B27207" w:rsidRDefault="00B27207" w:rsidP="00B2720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B27207" w14:paraId="0E63D6FA" w14:textId="77777777" w:rsidTr="00885110">
        <w:trPr>
          <w:trHeight w:val="440"/>
        </w:trPr>
        <w:tc>
          <w:tcPr>
            <w:tcW w:w="10076" w:type="dxa"/>
            <w:vAlign w:val="center"/>
          </w:tcPr>
          <w:p w14:paraId="43116BDD" w14:textId="3D8CA110" w:rsidR="00B27207" w:rsidRPr="00BF2EA6" w:rsidRDefault="00B27207" w:rsidP="00B2720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27207" w14:paraId="1C5E4138" w14:textId="77777777" w:rsidTr="00885110">
        <w:trPr>
          <w:trHeight w:val="80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273AF88F" w14:textId="0F88E2FA" w:rsidR="00B27207" w:rsidRPr="00B27207" w:rsidRDefault="00B27207" w:rsidP="00B27207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B27207">
              <w:rPr>
                <w:rFonts w:ascii="Calibri" w:hAnsi="Calibri"/>
                <w:color w:val="1F4E79" w:themeColor="accent1" w:themeShade="8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14:paraId="66F8CED1" w14:textId="77777777" w:rsidR="00B27207" w:rsidRDefault="00B27207" w:rsidP="00B2720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A157462" w14:textId="5294F433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E2561D" w14:paraId="1A52C96C" w14:textId="77777777" w:rsidTr="005E2543">
        <w:trPr>
          <w:trHeight w:val="1936"/>
        </w:trPr>
        <w:tc>
          <w:tcPr>
            <w:tcW w:w="10343" w:type="dxa"/>
            <w:vAlign w:val="center"/>
          </w:tcPr>
          <w:p w14:paraId="745148EF" w14:textId="58226DDA" w:rsidR="00B07796" w:rsidRDefault="00E2561D" w:rsidP="00B07796">
            <w:pPr>
              <w:pStyle w:val="Ttulo4"/>
            </w:pPr>
            <w:r>
              <w:rPr>
                <w:rFonts w:ascii="Calibri" w:hAnsi="Calibri"/>
                <w:color w:val="1F4E79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4E79" w:themeColor="accent1" w:themeShade="80"/>
              </w:rPr>
              <w:t>acilita</w:t>
            </w:r>
            <w:r>
              <w:rPr>
                <w:rFonts w:ascii="Calibri" w:hAnsi="Calibri"/>
                <w:color w:val="1F4E79" w:themeColor="accent1" w:themeShade="80"/>
              </w:rPr>
              <w:t>do y/o</w:t>
            </w:r>
            <w:r w:rsidRPr="00CD38BD">
              <w:rPr>
                <w:rFonts w:ascii="Calibri" w:hAnsi="Calibri"/>
                <w:color w:val="1F4E79" w:themeColor="accent1" w:themeShade="80"/>
              </w:rPr>
              <w:t xml:space="preserve"> </w:t>
            </w:r>
            <w:r>
              <w:rPr>
                <w:rFonts w:ascii="Calibri" w:hAnsi="Calibri"/>
                <w:color w:val="1F4E79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B07796">
              <w:t xml:space="preserve"> </w:t>
            </w:r>
            <w:r w:rsidR="00B07796">
              <w:t>Factores que han facilitado y/o dificultado el desarrollo</w:t>
            </w:r>
          </w:p>
          <w:p w14:paraId="6D67DCB4" w14:textId="77777777" w:rsidR="00B07796" w:rsidRDefault="00B07796" w:rsidP="00B07796">
            <w:pPr>
              <w:pStyle w:val="NormalWeb"/>
              <w:numPr>
                <w:ilvl w:val="0"/>
                <w:numId w:val="20"/>
              </w:numPr>
            </w:pPr>
            <w:r>
              <w:rPr>
                <w:b/>
                <w:bCs/>
              </w:rPr>
              <w:t>Factores Facilitadores:</w:t>
            </w:r>
            <w:r>
              <w:t xml:space="preserve"> La </w:t>
            </w:r>
            <w:r>
              <w:rPr>
                <w:b/>
                <w:bCs/>
              </w:rPr>
              <w:t>Metodología Scrum</w:t>
            </w:r>
            <w:r>
              <w:t xml:space="preserve"> demostró su valor al permitir la </w:t>
            </w:r>
            <w:r>
              <w:rPr>
                <w:b/>
                <w:bCs/>
              </w:rPr>
              <w:t>rápida re-priorización</w:t>
            </w:r>
            <w:r>
              <w:t xml:space="preserve"> de tareas. Esto facilitó detener inmediatamente el desarrollo al detectar un problema crítico y redirigir los esfuerzos hacia la optimización.</w:t>
            </w:r>
          </w:p>
          <w:p w14:paraId="448AC42D" w14:textId="77777777" w:rsidR="00B07796" w:rsidRDefault="00B07796" w:rsidP="00B07796">
            <w:pPr>
              <w:pStyle w:val="NormalWeb"/>
              <w:numPr>
                <w:ilvl w:val="0"/>
                <w:numId w:val="20"/>
              </w:numPr>
            </w:pPr>
            <w:r>
              <w:rPr>
                <w:b/>
                <w:bCs/>
              </w:rPr>
              <w:t>Factores Dificultadores:</w:t>
            </w:r>
            <w:r>
              <w:t xml:space="preserve"> La principal dificultad fue la </w:t>
            </w:r>
            <w:r>
              <w:rPr>
                <w:b/>
                <w:bCs/>
              </w:rPr>
              <w:t>Latencia en el Módulo de Reportes</w:t>
            </w:r>
            <w:r>
              <w:t>, detectada durante las pruebas de rendimiento del 08 de octubre. La latencia fue causada por consultas a la base de datos no optimizadas.</w:t>
            </w:r>
          </w:p>
          <w:p w14:paraId="11CF5CA9" w14:textId="1A94C3A6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5B2269CD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41D655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2C85432" w14:textId="77777777" w:rsidR="00E2561D" w:rsidRPr="00711C16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9865DE3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0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02E78AF8" w14:textId="77777777" w:rsidTr="004A129A">
        <w:trPr>
          <w:trHeight w:val="1936"/>
        </w:trPr>
        <w:tc>
          <w:tcPr>
            <w:tcW w:w="10343" w:type="dxa"/>
            <w:vAlign w:val="center"/>
          </w:tcPr>
          <w:p w14:paraId="7F7C3685" w14:textId="461FF239" w:rsidR="00B07796" w:rsidRPr="00B07796" w:rsidRDefault="00F51F28" w:rsidP="00B07796">
            <w:pPr>
              <w:pStyle w:val="NormalWeb"/>
              <w:rPr>
                <w:lang w:val="es-ES" w:eastAsia="es-ES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 xml:space="preserve">Actividades ajustadas o eliminadas: </w:t>
            </w:r>
            <w:r w:rsidR="00B07796">
              <w:rPr>
                <w:rFonts w:hAnsi="Symbol"/>
              </w:rPr>
              <w:t xml:space="preserve"> </w:t>
            </w:r>
            <w:r w:rsidR="00B07796" w:rsidRPr="00B07796">
              <w:rPr>
                <w:rFonts w:hAnsi="Symbol"/>
                <w:lang w:val="es-ES" w:eastAsia="es-ES"/>
              </w:rPr>
              <w:t></w:t>
            </w:r>
            <w:r w:rsidR="00B07796" w:rsidRPr="00B07796">
              <w:rPr>
                <w:lang w:val="es-ES" w:eastAsia="es-ES"/>
              </w:rPr>
              <w:t xml:space="preserve">  </w:t>
            </w:r>
            <w:r w:rsidR="00B07796" w:rsidRPr="00B07796">
              <w:rPr>
                <w:b/>
                <w:bCs/>
                <w:lang w:val="es-ES" w:eastAsia="es-ES"/>
              </w:rPr>
              <w:t>Actividad Ajustada (Re-priorización por Rendimiento):</w:t>
            </w:r>
            <w:r w:rsidR="00B07796" w:rsidRPr="00B07796">
              <w:rPr>
                <w:lang w:val="es-ES" w:eastAsia="es-ES"/>
              </w:rPr>
              <w:t xml:space="preserve"> La actividad de </w:t>
            </w:r>
            <w:r w:rsidR="00B07796" w:rsidRPr="00B07796">
              <w:rPr>
                <w:b/>
                <w:bCs/>
                <w:lang w:val="es-ES" w:eastAsia="es-ES"/>
              </w:rPr>
              <w:t>Pruebas de Rendimiento</w:t>
            </w:r>
            <w:r w:rsidR="00B07796" w:rsidRPr="00B07796">
              <w:rPr>
                <w:lang w:val="es-ES" w:eastAsia="es-ES"/>
              </w:rPr>
              <w:t xml:space="preserve"> reveló la necesidad de una pausa crítica. La actividad fue </w:t>
            </w:r>
            <w:r w:rsidR="00B07796" w:rsidRPr="00B07796">
              <w:rPr>
                <w:b/>
                <w:bCs/>
                <w:lang w:val="es-ES" w:eastAsia="es-ES"/>
              </w:rPr>
              <w:t>Ajustada</w:t>
            </w:r>
            <w:r w:rsidR="00B07796" w:rsidRPr="00B07796">
              <w:rPr>
                <w:lang w:val="es-ES" w:eastAsia="es-ES"/>
              </w:rPr>
              <w:t xml:space="preserve"> mediante la </w:t>
            </w:r>
            <w:r w:rsidR="00B07796" w:rsidRPr="00B07796">
              <w:rPr>
                <w:b/>
                <w:bCs/>
                <w:lang w:val="es-ES" w:eastAsia="es-ES"/>
              </w:rPr>
              <w:t>pausa temporal de otras tareas</w:t>
            </w:r>
            <w:r w:rsidR="00B07796" w:rsidRPr="00B07796">
              <w:rPr>
                <w:lang w:val="es-ES" w:eastAsia="es-ES"/>
              </w:rPr>
              <w:t xml:space="preserve"> del Sprint 3 (Autenticación), permitiendo dedicar 2 días completos (09 y 10 de octubre) a la </w:t>
            </w:r>
            <w:r w:rsidR="00B07796" w:rsidRPr="00B07796">
              <w:rPr>
                <w:b/>
                <w:bCs/>
                <w:lang w:val="es-ES" w:eastAsia="es-ES"/>
              </w:rPr>
              <w:t>Optimización del Microservicio de Reportes</w:t>
            </w:r>
            <w:r w:rsidR="00B07796" w:rsidRPr="00B07796">
              <w:rPr>
                <w:lang w:val="es-ES" w:eastAsia="es-ES"/>
              </w:rPr>
              <w:t>.</w:t>
            </w:r>
          </w:p>
          <w:p w14:paraId="5B447C08" w14:textId="77777777" w:rsidR="00B07796" w:rsidRPr="00B07796" w:rsidRDefault="00B07796" w:rsidP="00B077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07796">
              <w:rPr>
                <w:rFonts w:ascii="Times New Roman" w:eastAsia="Times New Roman" w:hAnsi="Symbol" w:cs="Times New Roman"/>
                <w:sz w:val="24"/>
                <w:szCs w:val="24"/>
                <w:lang w:val="es-ES" w:eastAsia="es-ES"/>
              </w:rPr>
              <w:t></w:t>
            </w:r>
            <w:r w:rsidRPr="00B0779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</w:t>
            </w:r>
            <w:r w:rsidRPr="00B07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Acción Correctiva:</w:t>
            </w:r>
            <w:r w:rsidRPr="00B0779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La dificultad se abordó con una </w:t>
            </w:r>
            <w:r w:rsidRPr="00B07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decisión técnica fundamentada</w:t>
            </w:r>
            <w:r w:rsidRPr="00B0779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resolviendo el problema de rendimiento mediante </w:t>
            </w:r>
            <w:r w:rsidRPr="00B07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 w:eastAsia="es-ES"/>
              </w:rPr>
              <w:t>caching</w:t>
            </w:r>
            <w:r w:rsidRPr="00B0779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ajuste de consultas SQL.</w:t>
            </w:r>
          </w:p>
          <w:p w14:paraId="6E03562B" w14:textId="6D573883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10D9826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92AC44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7CAEC8B" w14:textId="77777777" w:rsidR="00F51F28" w:rsidRDefault="00F51F28" w:rsidP="00F51F28">
      <w:pPr>
        <w:spacing w:after="0" w:line="240" w:lineRule="auto"/>
        <w:jc w:val="both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40CCC59" w14:textId="77777777" w:rsidR="00E2561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A0849B3" w14:textId="77777777" w:rsidR="00E2561D" w:rsidRPr="00CD38B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1FF756DA" w14:textId="77777777" w:rsidTr="004A129A">
        <w:trPr>
          <w:trHeight w:val="1966"/>
        </w:trPr>
        <w:tc>
          <w:tcPr>
            <w:tcW w:w="10343" w:type="dxa"/>
            <w:vAlign w:val="center"/>
          </w:tcPr>
          <w:p w14:paraId="32358E63" w14:textId="356A8483" w:rsidR="00F51F28" w:rsidRDefault="00F51F28" w:rsidP="00F51F28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lastRenderedPageBreak/>
              <w:t>Actividades que no has iniciado o están retrasadas</w:t>
            </w:r>
            <w:r w:rsidR="00B07796">
              <w:rPr>
                <w:rFonts w:ascii="Calibri" w:hAnsi="Calibri"/>
                <w:color w:val="1F4E79" w:themeColor="accent1" w:themeShade="80"/>
              </w:rPr>
              <w:t>:</w:t>
            </w:r>
          </w:p>
          <w:p w14:paraId="526A7892" w14:textId="59A050DB" w:rsidR="00B07796" w:rsidRDefault="00B07796" w:rsidP="00F51F28">
            <w:pPr>
              <w:jc w:val="both"/>
              <w:rPr>
                <w:rFonts w:ascii="Calibri" w:hAnsi="Calibri" w:cs="Arial"/>
                <w:i/>
                <w:color w:val="1F4E79" w:themeColor="accent1" w:themeShade="80"/>
                <w:sz w:val="20"/>
                <w:szCs w:val="20"/>
                <w:lang w:eastAsia="es-CL"/>
              </w:rPr>
            </w:pPr>
          </w:p>
          <w:p w14:paraId="764AB6E6" w14:textId="388D4F1D" w:rsidR="00B07796" w:rsidRDefault="00B07796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1F4E79" w:themeColor="accent1" w:themeShade="80"/>
                <w:sz w:val="20"/>
                <w:szCs w:val="20"/>
                <w:lang w:eastAsia="es-CL"/>
              </w:rPr>
              <w:t>Documentacion en general y programación en áreas criticas por problemas de actualización de software</w:t>
            </w:r>
          </w:p>
          <w:p w14:paraId="4BA44654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B083723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3824DC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82AE099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ECBBA0A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8AD1177" w14:textId="1758C139" w:rsidR="00F51F28" w:rsidRDefault="00B27207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F952B7" wp14:editId="71E71A5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6658610" cy="984739"/>
                <wp:effectExtent l="19050" t="19050" r="27940" b="25400"/>
                <wp:wrapNone/>
                <wp:docPr id="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984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99DA" w14:textId="77777777" w:rsidR="00506D67" w:rsidRPr="00214AFD" w:rsidRDefault="00506D67" w:rsidP="00B27207">
                            <w:pPr>
                              <w:pStyle w:val="Piedepgina"/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</w:t>
                            </w:r>
                            <w:r w:rsidRPr="0054434E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eastAsia="es-CL"/>
                              </w:rPr>
                              <w:drawing>
                                <wp:inline distT="0" distB="0" distL="0" distR="0" wp14:anchorId="110312FF" wp14:editId="3DFC6919">
                                  <wp:extent cx="209550" cy="20955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 Esta evaluación  corresponde a la segunda evaluación formativa que realizar el docente de APT en la </w:t>
                            </w:r>
                            <w:r w:rsidRPr="006E7145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 xml:space="preserve">semana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952B7" id="Rectángulo: esquinas redondeadas 1" o:spid="_x0000_s1029" style="position:absolute;margin-left:1.5pt;margin-top:4.2pt;width:524.3pt;height:77.55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" filled="f" strokecolor="red" strokeweight="2.25pt">
                <v:stroke dashstyle="dash" joinstyle="miter"/>
                <v:textbox>
                  <w:txbxContent>
                    <w:p w14:paraId="1C0899DA" w14:textId="77777777" w:rsidR="00506D67" w:rsidRPr="00214AFD" w:rsidRDefault="00506D67" w:rsidP="00B27207">
                      <w:pPr>
                        <w:pStyle w:val="Piedepgina"/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</w:t>
                      </w:r>
                      <w:r w:rsidRPr="0054434E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eastAsia="es-CL"/>
                        </w:rPr>
                        <w:drawing>
                          <wp:inline distT="0" distB="0" distL="0" distR="0" wp14:anchorId="110312FF" wp14:editId="3DFC6919">
                            <wp:extent cx="209550" cy="20955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 Esta evaluación  corresponde a la segunda evaluación formativa que realizar el docente de APT en la </w:t>
                      </w:r>
                      <w:r w:rsidRPr="006E7145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 xml:space="preserve">semana 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>9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F28"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p w14:paraId="54C56F45" w14:textId="77777777" w:rsidR="00FA2A66" w:rsidRDefault="00FA2A66" w:rsidP="00FA2A66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FA2A66" w14:paraId="0776A42A" w14:textId="77777777" w:rsidTr="00874D16">
        <w:trPr>
          <w:trHeight w:val="440"/>
        </w:trPr>
        <w:tc>
          <w:tcPr>
            <w:tcW w:w="10076" w:type="dxa"/>
            <w:vAlign w:val="center"/>
          </w:tcPr>
          <w:p w14:paraId="354A8900" w14:textId="428BE9AE" w:rsidR="00FA2A66" w:rsidRPr="00BF2EA6" w:rsidRDefault="00FA2A66" w:rsidP="00076E6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076E60">
              <w:rPr>
                <w:b/>
                <w:color w:val="1F4E79" w:themeColor="accent1" w:themeShade="80"/>
                <w:sz w:val="28"/>
                <w:szCs w:val="28"/>
              </w:rPr>
              <w:t>Evaluación formativa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informe de avance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Fase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APT</w:t>
            </w:r>
          </w:p>
        </w:tc>
      </w:tr>
      <w:tr w:rsidR="00FA2A66" w14:paraId="102C5CEC" w14:textId="77777777" w:rsidTr="00874D16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6D848698" w14:textId="16C15D74" w:rsidR="00FA2A66" w:rsidRPr="00874D16" w:rsidRDefault="005925FC" w:rsidP="00124582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A continuación se presenta una pauta de autoevaluación (rúbrica) que tiene como objetivo orientar a los estudiantes sobre los elementos a evaluar en esta fase </w:t>
            </w:r>
            <w:r w:rsidR="00124582">
              <w:rPr>
                <w:rFonts w:ascii="Calibri" w:hAnsi="Calibri"/>
                <w:b/>
                <w:color w:val="1F4E79" w:themeColor="accent1" w:themeShade="80"/>
              </w:rPr>
              <w:t>.</w:t>
            </w:r>
          </w:p>
        </w:tc>
      </w:tr>
    </w:tbl>
    <w:p w14:paraId="10F58C33" w14:textId="18E26B24" w:rsidR="00FA2A66" w:rsidRDefault="00FA2A66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269EC98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Equipos </w:t>
      </w:r>
    </w:p>
    <w:p w14:paraId="34A67C6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14:paraId="71FFBAB5" w14:textId="77777777" w:rsidR="00124582" w:rsidRPr="00124582" w:rsidRDefault="00124582" w:rsidP="00124582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124582" w:rsidRPr="00124582" w14:paraId="7FEA47A6" w14:textId="77777777" w:rsidTr="009F499D">
        <w:trPr>
          <w:trHeight w:val="670"/>
        </w:trPr>
        <w:tc>
          <w:tcPr>
            <w:tcW w:w="10485" w:type="dxa"/>
            <w:gridSpan w:val="7"/>
          </w:tcPr>
          <w:p w14:paraId="7AAAA78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="00124582" w:rsidRPr="00124582" w14:paraId="77F5A9DD" w14:textId="77777777" w:rsidTr="009F499D">
        <w:trPr>
          <w:trHeight w:val="670"/>
        </w:trPr>
        <w:tc>
          <w:tcPr>
            <w:tcW w:w="928" w:type="dxa"/>
          </w:tcPr>
          <w:p w14:paraId="59CBA882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50C7125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795D842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13A5071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3D0D0B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386F4B1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20A1AEF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75C2173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32027360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2310F93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5D35E74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124582" w:rsidRPr="00124582" w14:paraId="07F987C7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268269CA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</w:tcPr>
          <w:p w14:paraId="74213070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</w:tcPr>
          <w:p w14:paraId="384C3286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</w:tcPr>
          <w:p w14:paraId="5E3AFFA4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</w:tcPr>
          <w:p w14:paraId="186E22ED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</w:tcPr>
          <w:p w14:paraId="543EAA99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</w:tcPr>
          <w:p w14:paraId="03239A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3187B60" w14:textId="77777777" w:rsidTr="009F499D">
        <w:trPr>
          <w:cantSplit/>
          <w:trHeight w:val="2967"/>
        </w:trPr>
        <w:tc>
          <w:tcPr>
            <w:tcW w:w="928" w:type="dxa"/>
            <w:textDirection w:val="btLr"/>
          </w:tcPr>
          <w:p w14:paraId="0ADA8F33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7DB460F2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</w:tcPr>
          <w:p w14:paraId="0BF815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</w:tcPr>
          <w:p w14:paraId="4750926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>
            <w:tcW w:w="1701" w:type="dxa"/>
          </w:tcPr>
          <w:p w14:paraId="790D17FC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requieren ajustes mayores de acuerdo a los estándares de calidad de la disciplina y/o no justifica los ajustes en caso de ser necesario.</w:t>
            </w:r>
          </w:p>
        </w:tc>
        <w:tc>
          <w:tcPr>
            <w:tcW w:w="1705" w:type="dxa"/>
          </w:tcPr>
          <w:p w14:paraId="065E22F3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</w:tcPr>
          <w:p w14:paraId="646F7641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44CE328C" w14:textId="77777777" w:rsidTr="009F499D">
        <w:trPr>
          <w:cantSplit/>
          <w:trHeight w:val="1445"/>
        </w:trPr>
        <w:tc>
          <w:tcPr>
            <w:tcW w:w="928" w:type="dxa"/>
            <w:textDirection w:val="btLr"/>
          </w:tcPr>
          <w:p w14:paraId="7D41CA9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</w:tcPr>
          <w:p w14:paraId="60061650" w14:textId="16DC80D0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14:paraId="6492E6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72B0548D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1A88700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9500CD9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F09D8CB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7CEB6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502F61F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78F5E98C" w14:textId="77777777" w:rsidTr="009F499D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3575FB54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0A37908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</w:tcPr>
          <w:p w14:paraId="10B01157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Usamos correctamente un versionador como GitLab, Bitbucket, GitHub u otro para respaldar el código fuente, desarrollando así la aplicación de manera colaborativa.</w:t>
            </w:r>
          </w:p>
        </w:tc>
        <w:tc>
          <w:tcPr>
            <w:tcW w:w="1572" w:type="dxa"/>
          </w:tcPr>
          <w:p w14:paraId="4D95F3F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Usamos correctamente un versionador como GitLab, Bitbucket, GitHub u otro para respaldar el código fuente, desarrollando así la aplicación pero no de manera colaborativa.</w:t>
            </w:r>
          </w:p>
        </w:tc>
        <w:tc>
          <w:tcPr>
            <w:tcW w:w="1701" w:type="dxa"/>
          </w:tcPr>
          <w:p w14:paraId="0CBD683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Usamos   un versionador como GitLab, Bitbucket, GitHub u otro para respaldar el código fuente de forma sistemática a lo largo del proceso.</w:t>
            </w:r>
          </w:p>
        </w:tc>
        <w:tc>
          <w:tcPr>
            <w:tcW w:w="1705" w:type="dxa"/>
          </w:tcPr>
          <w:p w14:paraId="595471EE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usamos correctamente un versionador como GitLab, Bitbucket, GitHub u otro para respaldar el código fuente.</w:t>
            </w:r>
          </w:p>
        </w:tc>
        <w:tc>
          <w:tcPr>
            <w:tcW w:w="1272" w:type="dxa"/>
          </w:tcPr>
          <w:p w14:paraId="17A390C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F77E841" w14:textId="77777777" w:rsidTr="009F499D">
        <w:trPr>
          <w:trHeight w:val="690"/>
        </w:trPr>
        <w:tc>
          <w:tcPr>
            <w:tcW w:w="928" w:type="dxa"/>
            <w:vMerge/>
          </w:tcPr>
          <w:p w14:paraId="0D0D961A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5D4408D5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5.Implementa la solución de integración de acuerdo al modelado de negocio y arquitectura propuestos, que dan respuesta a los requerimientos de la fase 2.</w:t>
            </w:r>
          </w:p>
        </w:tc>
        <w:tc>
          <w:tcPr>
            <w:tcW w:w="1546" w:type="dxa"/>
          </w:tcPr>
          <w:p w14:paraId="1613C5B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la totalidad de los componentes del Front End con el Back End comprometidos para la fase 2.</w:t>
            </w:r>
          </w:p>
        </w:tc>
        <w:tc>
          <w:tcPr>
            <w:tcW w:w="1572" w:type="dxa"/>
          </w:tcPr>
          <w:p w14:paraId="0F9504B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entre el 79% y el 50% de los componentes del Front End con el Back End comprometidos para la fase 2.</w:t>
            </w:r>
          </w:p>
        </w:tc>
        <w:tc>
          <w:tcPr>
            <w:tcW w:w="1701" w:type="dxa"/>
          </w:tcPr>
          <w:p w14:paraId="62E3281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entre el 49% y el 25% de los componentes del Front End con el Back End comprometidos para la fase 2.</w:t>
            </w:r>
          </w:p>
        </w:tc>
        <w:tc>
          <w:tcPr>
            <w:tcW w:w="1705" w:type="dxa"/>
          </w:tcPr>
          <w:p w14:paraId="3F85D00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menos del 25% de los componentes del Front End con el Back End comprometidos para la fase 2.</w:t>
            </w:r>
          </w:p>
        </w:tc>
        <w:tc>
          <w:tcPr>
            <w:tcW w:w="1272" w:type="dxa"/>
          </w:tcPr>
          <w:p w14:paraId="0B895B1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1B675101" w14:textId="77777777" w:rsidTr="009F499D">
        <w:trPr>
          <w:trHeight w:val="690"/>
        </w:trPr>
        <w:tc>
          <w:tcPr>
            <w:tcW w:w="928" w:type="dxa"/>
            <w:vMerge/>
          </w:tcPr>
          <w:p w14:paraId="2615E539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31078CDB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de acuerdo a los requerimientos de la fase 2 </w:t>
            </w:r>
          </w:p>
        </w:tc>
        <w:tc>
          <w:tcPr>
            <w:tcW w:w="1546" w:type="dxa"/>
          </w:tcPr>
          <w:p w14:paraId="09B37C8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de la totalidad de requerimientos comprometidos para la fase 2</w:t>
            </w:r>
          </w:p>
        </w:tc>
        <w:tc>
          <w:tcPr>
            <w:tcW w:w="1572" w:type="dxa"/>
          </w:tcPr>
          <w:p w14:paraId="45BD587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79% y el 50% de requerimientos comprometidos para la fase 2.</w:t>
            </w:r>
          </w:p>
        </w:tc>
        <w:tc>
          <w:tcPr>
            <w:tcW w:w="1701" w:type="dxa"/>
          </w:tcPr>
          <w:p w14:paraId="0BF82F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49% y el 25% de requerimientos comprometidos para la fase 2 .</w:t>
            </w:r>
          </w:p>
        </w:tc>
        <w:tc>
          <w:tcPr>
            <w:tcW w:w="1705" w:type="dxa"/>
          </w:tcPr>
          <w:p w14:paraId="4B4F233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</w:tcPr>
          <w:p w14:paraId="3605E678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659B4ACF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191D0ED" w14:textId="5247AB7C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8AA7AA" w14:textId="182C805B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E44F33A" w14:textId="36B9F346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6B6A637" w14:textId="20A2F619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08D2E4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="00124582" w:rsidRPr="00124582" w14:paraId="7C29FC34" w14:textId="77777777" w:rsidTr="009F499D">
        <w:trPr>
          <w:trHeight w:val="670"/>
        </w:trPr>
        <w:tc>
          <w:tcPr>
            <w:tcW w:w="928" w:type="dxa"/>
          </w:tcPr>
          <w:p w14:paraId="478F308C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5B463BC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07048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5E8A6B6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7F4822F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0D724CE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74FDE8D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4BDADB5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</w:tcPr>
          <w:p w14:paraId="261DAB64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5B44EECC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</w:tcPr>
          <w:p w14:paraId="7E89EF4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0CADA1E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124582" w:rsidRPr="00124582" w14:paraId="774778F1" w14:textId="77777777" w:rsidTr="009F499D">
        <w:trPr>
          <w:trHeight w:val="1282"/>
        </w:trPr>
        <w:tc>
          <w:tcPr>
            <w:tcW w:w="928" w:type="dxa"/>
            <w:vMerge w:val="restart"/>
            <w:textDirection w:val="btLr"/>
          </w:tcPr>
          <w:p w14:paraId="71BD4170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14:paraId="04844AEB" w14:textId="77777777" w:rsidR="00124582" w:rsidRPr="00124582" w:rsidRDefault="00124582" w:rsidP="00124582">
            <w:pPr>
              <w:ind w:left="113" w:right="11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623ADC2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071BD82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523EF9F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</w:tcPr>
          <w:p w14:paraId="5507AD3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</w:tcPr>
          <w:p w14:paraId="228C7A23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</w:tcPr>
          <w:p w14:paraId="023646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="00124582" w:rsidRPr="00124582" w14:paraId="72F9DCF6" w14:textId="77777777" w:rsidTr="009F499D">
        <w:trPr>
          <w:trHeight w:val="1282"/>
        </w:trPr>
        <w:tc>
          <w:tcPr>
            <w:tcW w:w="928" w:type="dxa"/>
            <w:vMerge/>
          </w:tcPr>
          <w:p w14:paraId="0BF7BE87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3A54E6B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</w:tcPr>
          <w:p w14:paraId="66247BC8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</w:tcPr>
          <w:p w14:paraId="20AD9E6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</w:tcPr>
          <w:p w14:paraId="3FA344E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</w:tcPr>
          <w:p w14:paraId="7596A66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</w:tcPr>
          <w:p w14:paraId="2F79E95A" w14:textId="384CF314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participamos en equipos de trabajo. </w:t>
            </w:r>
          </w:p>
        </w:tc>
      </w:tr>
      <w:tr w:rsidR="00124582" w:rsidRPr="00124582" w14:paraId="0BE67D2E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769EBD34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</w:tcPr>
          <w:p w14:paraId="42CD6D33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</w:tcPr>
          <w:p w14:paraId="5DE31A5D" w14:textId="7C3C100D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Aplicamos de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6C773DA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3584D74E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560" w:type="dxa"/>
          </w:tcPr>
          <w:p w14:paraId="4444A89F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425" w:type="dxa"/>
          </w:tcPr>
          <w:p w14:paraId="1905BB13" w14:textId="190A78E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14:paraId="245D06CF" w14:textId="77777777" w:rsidR="00124582" w:rsidRPr="00124582" w:rsidRDefault="00124582" w:rsidP="00124582">
      <w:pPr>
        <w:rPr>
          <w:rFonts w:ascii="Calibri" w:eastAsia="Calibri" w:hAnsi="Calibri" w:cs="Calibri"/>
          <w:b/>
          <w:lang w:eastAsia="es-CL"/>
        </w:rPr>
      </w:pPr>
    </w:p>
    <w:p w14:paraId="4135069D" w14:textId="77777777" w:rsidR="00124582" w:rsidRDefault="00124582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sectPr w:rsidR="00124582" w:rsidSect="00800AA7">
      <w:headerReference w:type="default" r:id="rId12"/>
      <w:footerReference w:type="default" r:id="rId13"/>
      <w:headerReference w:type="first" r:id="rId14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2E16" w14:textId="77777777" w:rsidR="00CA386C" w:rsidRDefault="00CA386C" w:rsidP="00DF38AE">
      <w:pPr>
        <w:spacing w:after="0" w:line="240" w:lineRule="auto"/>
      </w:pPr>
      <w:r>
        <w:separator/>
      </w:r>
    </w:p>
  </w:endnote>
  <w:endnote w:type="continuationSeparator" w:id="0">
    <w:p w14:paraId="0C238E53" w14:textId="77777777" w:rsidR="00CA386C" w:rsidRDefault="00CA386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506D67" w:rsidRDefault="00506D67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2157A77" w:rsidR="00506D67" w:rsidRDefault="00506D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4582" w:rsidRP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2157A77" w:rsidR="00506D67" w:rsidRDefault="00506D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4582" w:rsidRP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4E7F" w14:textId="77777777" w:rsidR="00CA386C" w:rsidRDefault="00CA386C" w:rsidP="00DF38AE">
      <w:pPr>
        <w:spacing w:after="0" w:line="240" w:lineRule="auto"/>
      </w:pPr>
      <w:r>
        <w:separator/>
      </w:r>
    </w:p>
  </w:footnote>
  <w:footnote w:type="continuationSeparator" w:id="0">
    <w:p w14:paraId="77294FD9" w14:textId="77777777" w:rsidR="00CA386C" w:rsidRDefault="00CA386C" w:rsidP="00DF38AE">
      <w:pPr>
        <w:spacing w:after="0" w:line="240" w:lineRule="auto"/>
      </w:pPr>
      <w:r>
        <w:continuationSeparator/>
      </w:r>
    </w:p>
  </w:footnote>
  <w:footnote w:id="1">
    <w:p w14:paraId="3E2C1AA3" w14:textId="77777777" w:rsidR="00506D67" w:rsidRPr="002819E3" w:rsidRDefault="00506D67" w:rsidP="00F51F28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4CFC" w14:textId="59CD5525" w:rsidR="00506D67" w:rsidRPr="009A456E" w:rsidRDefault="00506D67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E3E8" w14:textId="62EF6173" w:rsidR="00506D67" w:rsidRDefault="00506D67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93A15AE"/>
    <w:multiLevelType w:val="multilevel"/>
    <w:tmpl w:val="C36A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40FB"/>
    <w:multiLevelType w:val="multilevel"/>
    <w:tmpl w:val="582E6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3"/>
  </w:num>
  <w:num w:numId="5">
    <w:abstractNumId w:val="15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18"/>
  </w:num>
  <w:num w:numId="13">
    <w:abstractNumId w:val="14"/>
  </w:num>
  <w:num w:numId="14">
    <w:abstractNumId w:val="0"/>
  </w:num>
  <w:num w:numId="15">
    <w:abstractNumId w:val="19"/>
  </w:num>
  <w:num w:numId="16">
    <w:abstractNumId w:val="10"/>
  </w:num>
  <w:num w:numId="17">
    <w:abstractNumId w:val="8"/>
  </w:num>
  <w:num w:numId="18">
    <w:abstractNumId w:val="16"/>
  </w:num>
  <w:num w:numId="19">
    <w:abstractNumId w:val="17"/>
  </w:num>
  <w:num w:numId="2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136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0D7A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582"/>
    <w:rsid w:val="00124EB8"/>
    <w:rsid w:val="00124F3C"/>
    <w:rsid w:val="00125367"/>
    <w:rsid w:val="00125D2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66B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586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07796"/>
    <w:rsid w:val="00B102B1"/>
    <w:rsid w:val="00B10CD9"/>
    <w:rsid w:val="00B10D22"/>
    <w:rsid w:val="00B1174F"/>
    <w:rsid w:val="00B11854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342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7BB2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386C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E4C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8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36DBC48D"/>
    <w:rsid w:val="4B320106"/>
    <w:rsid w:val="7548B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character" w:customStyle="1" w:styleId="Ttulo4Car">
    <w:name w:val="Título 4 Car"/>
    <w:basedOn w:val="Fuentedeprrafopredeter"/>
    <w:link w:val="Ttulo4"/>
    <w:uiPriority w:val="9"/>
    <w:semiHidden/>
    <w:rsid w:val="00B077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D4955-CE19-4EE3-ABFC-EA02289D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1704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PV-Alumno</cp:lastModifiedBy>
  <cp:revision>7</cp:revision>
  <cp:lastPrinted>2019-12-16T20:10:00Z</cp:lastPrinted>
  <dcterms:created xsi:type="dcterms:W3CDTF">2022-01-05T13:01:00Z</dcterms:created>
  <dcterms:modified xsi:type="dcterms:W3CDTF">2025-10-22T23:42:00Z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