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jc w:val="center"/>
      </w:pPr>
      <w:r>
        <w:rPr>
          <w:rFonts w:ascii="Aptos" w:hAnsi="Aptos" w:cs="Aptos"/>
          <w:sz w:val="18"/>
        </w:rPr>
        <w:drawing>
          <wp:inline xmlns:a="http://schemas.openxmlformats.org/drawingml/2006/main" xmlns:pic="http://schemas.openxmlformats.org/drawingml/2006/picture">
            <wp:extent cx="4800600" cy="1628204"/>
            <wp:docPr id="1" name="Picture 1" descr="Birzeit University logo"/>
            <wp:cNvGraphicFramePr>
              <a:graphicFrameLocks noChangeAspect="1"/>
            </wp:cNvGraphicFramePr>
            <a:graphic>
              <a:graphicData uri="http://schemas.openxmlformats.org/drawingml/2006/picture">
                <pic:pic>
                  <pic:nvPicPr>
                    <pic:cNvPr id="0" name="birzeit logo.png"/>
                    <pic:cNvPicPr/>
                  </pic:nvPicPr>
                  <pic:blipFill>
                    <a:blip r:embed="rId10"/>
                    <a:stretch>
                      <a:fillRect/>
                    </a:stretch>
                  </pic:blipFill>
                  <pic:spPr>
                    <a:xfrm>
                      <a:off x="0" y="0"/>
                      <a:ext cx="4800600" cy="1628204"/>
                    </a:xfrm>
                    <a:prstGeom prst="rect"/>
                  </pic:spPr>
                </pic:pic>
              </a:graphicData>
            </a:graphic>
          </wp:inline>
        </w:drawing>
      </w:r>
    </w:p>
    <w:p>
      <w:pPr>
        <w:spacing w:before="0" w:after="40" w:line="247" w:lineRule="auto"/>
        <w:jc w:val="center"/>
      </w:pPr>
      <w:r>
        <w:rPr>
          <w:rFonts w:ascii="Aptos" w:hAnsi="Aptos" w:cs="Aptos"/>
          <w:b/>
          <w:color w:val="202020"/>
          <w:sz w:val="24"/>
        </w:rPr>
        <w:t>Faculty of Engineering and Technology</w:t>
      </w:r>
    </w:p>
    <w:p>
      <w:pPr>
        <w:spacing w:before="0" w:after="40" w:line="247" w:lineRule="auto"/>
        <w:jc w:val="center"/>
      </w:pPr>
      <w:r>
        <w:rPr>
          <w:rFonts w:ascii="Aptos" w:hAnsi="Aptos" w:cs="Aptos"/>
          <w:b w:val="0"/>
          <w:color w:val="202020"/>
          <w:sz w:val="22"/>
        </w:rPr>
        <w:t>Department of Computer Science</w:t>
      </w:r>
    </w:p>
    <w:p>
      <w:pPr>
        <w:spacing w:before="0" w:after="40" w:line="247" w:lineRule="auto"/>
        <w:jc w:val="center"/>
      </w:pPr>
      <w:r>
        <w:rPr>
          <w:rFonts w:ascii="Aptos" w:hAnsi="Aptos" w:cs="Aptos"/>
          <w:b w:val="0"/>
          <w:color w:val="202020"/>
          <w:sz w:val="22"/>
        </w:rPr>
        <w:t>COMP432 - Computer Security</w:t>
      </w:r>
    </w:p>
    <w:p>
      <w:pPr>
        <w:spacing w:before="320" w:after="40" w:line="240" w:lineRule="auto"/>
        <w:jc w:val="center"/>
      </w:pPr>
      <w:r>
        <w:rPr>
          <w:rFonts w:ascii="Aptos" w:hAnsi="Aptos" w:cs="Aptos"/>
          <w:b/>
          <w:color w:val="1F4E12"/>
          <w:sz w:val="44"/>
        </w:rPr>
        <w:t>Securing Layer 2 Networks</w:t>
      </w:r>
    </w:p>
    <w:p>
      <w:pPr>
        <w:spacing w:before="0" w:after="100" w:line="252" w:lineRule="auto"/>
        <w:jc w:val="center"/>
      </w:pPr>
      <w:r>
        <w:rPr>
          <w:rFonts w:ascii="Aptos" w:hAnsi="Aptos" w:cs="Aptos"/>
          <w:b/>
          <w:color w:val="2F6F17"/>
          <w:sz w:val="30"/>
        </w:rPr>
        <w:t>STP-DHCP Reconvergence Attacks and Defense Strategies</w:t>
      </w:r>
    </w:p>
    <w:p>
      <w:pPr>
        <w:spacing w:before="0" w:after="360" w:line="247" w:lineRule="auto"/>
        <w:jc w:val="center"/>
      </w:pPr>
      <w:r>
        <w:rPr>
          <w:rFonts w:ascii="Aptos" w:hAnsi="Aptos" w:cs="Aptos"/>
          <w:b w:val="0"/>
          <w:color w:val="666666"/>
          <w:sz w:val="22"/>
        </w:rPr>
        <w:t>A Comprehensive Study of Layer 2 Network Attacks and Defense Strategies</w:t>
      </w:r>
    </w:p>
    <w:tbl>
      <w:tblPr>
        <w:tblW w:type="auto" w:w="0"/>
        <w:jc w:val="center"/>
        <w:tblLayout w:type="fixed"/>
        <w:tblLook w:firstColumn="1" w:firstRow="1" w:lastColumn="0" w:lastRow="0" w:noHBand="0" w:noVBand="1" w:val="04A0"/>
      </w:tblPr>
      <w:tblGrid>
        <w:gridCol w:w="4975"/>
        <w:gridCol w:w="4975"/>
      </w:tblGrid>
      <w:tr>
        <w:tc>
          <w:tcPr>
            <w:tcW w:type="dxa" w:w="2376"/>
            <w:tcBorders>
              <w:top w:val="single" w:sz="6" w:space="0" w:color="cfd8cc"/>
              <w:left w:val="single" w:sz="6" w:space="0" w:color="cfd8cc"/>
              <w:bottom w:val="single" w:sz="6" w:space="0" w:color="cfd8cc"/>
              <w:right w:val="single" w:sz="6" w:space="0" w:color="cfd8cc"/>
              <w:insideH w:val="single" w:sz="6" w:space="0" w:color="cfd8cc"/>
              <w:insideV w:val="single" w:sz="6" w:space="0" w:color="cfd8cc"/>
            </w:tcBorders>
            <w:tcMar>
              <w:top w:w="80" w:type="dxa"/>
              <w:start w:w="90" w:type="dxa"/>
              <w:bottom w:w="80" w:type="dxa"/>
              <w:end w:w="90" w:type="dxa"/>
            </w:tcMar>
            <w:vAlign w:val="center"/>
            <w:shd w:fill="eef5ea"/>
          </w:tcPr>
          <w:p>
            <w:pPr>
              <w:spacing w:before="0" w:after="30" w:line="240" w:lineRule="auto"/>
            </w:pPr>
            <w:r>
              <w:rPr>
                <w:rFonts w:ascii="Aptos" w:hAnsi="Aptos" w:cs="Aptos"/>
                <w:b/>
                <w:color w:val="1F4E12"/>
                <w:sz w:val="18"/>
              </w:rPr>
              <w:t>Prepared By:</w:t>
            </w:r>
          </w:p>
        </w:tc>
        <w:tc>
          <w:tcPr>
            <w:tcW w:type="dxa" w:w="5256"/>
            <w:tcBorders>
              <w:top w:val="single" w:sz="6" w:space="0" w:color="cfd8cc"/>
              <w:left w:val="single" w:sz="6" w:space="0" w:color="cfd8cc"/>
              <w:bottom w:val="single" w:sz="6" w:space="0" w:color="cfd8cc"/>
              <w:right w:val="single" w:sz="6" w:space="0" w:color="cfd8cc"/>
              <w:insideH w:val="single" w:sz="6" w:space="0" w:color="cfd8cc"/>
              <w:insideV w:val="single" w:sz="6" w:space="0" w:color="cfd8cc"/>
            </w:tcBorders>
            <w:tcMar>
              <w:top w:w="80" w:type="dxa"/>
              <w:start w:w="90" w:type="dxa"/>
              <w:bottom w:w="80" w:type="dxa"/>
              <w:end w:w="90" w:type="dxa"/>
            </w:tcMar>
            <w:vAlign w:val="center"/>
          </w:tcPr>
          <w:p>
            <w:pPr>
              <w:spacing w:before="0" w:after="30" w:line="240" w:lineRule="auto"/>
            </w:pPr>
            <w:r>
              <w:rPr>
                <w:rFonts w:ascii="Aptos" w:hAnsi="Aptos" w:cs="Aptos"/>
                <w:b w:val="0"/>
                <w:color w:val="202020"/>
                <w:sz w:val="18"/>
              </w:rPr>
              <w:t>Osama Abu jarad</w:t>
            </w:r>
          </w:p>
        </w:tc>
      </w:tr>
      <w:tr>
        <w:tc>
          <w:tcPr>
            <w:tcW w:type="dxa" w:w="2376"/>
            <w:tcBorders>
              <w:top w:val="single" w:sz="6" w:space="0" w:color="cfd8cc"/>
              <w:left w:val="single" w:sz="6" w:space="0" w:color="cfd8cc"/>
              <w:bottom w:val="single" w:sz="6" w:space="0" w:color="cfd8cc"/>
              <w:right w:val="single" w:sz="6" w:space="0" w:color="cfd8cc"/>
              <w:insideH w:val="single" w:sz="6" w:space="0" w:color="cfd8cc"/>
              <w:insideV w:val="single" w:sz="6" w:space="0" w:color="cfd8cc"/>
            </w:tcBorders>
            <w:tcMar>
              <w:top w:w="80" w:type="dxa"/>
              <w:start w:w="90" w:type="dxa"/>
              <w:bottom w:w="80" w:type="dxa"/>
              <w:end w:w="90" w:type="dxa"/>
            </w:tcMar>
            <w:vAlign w:val="center"/>
            <w:shd w:fill="eef5ea"/>
          </w:tcPr>
          <w:p>
            <w:pPr>
              <w:spacing w:before="0" w:after="30" w:line="240" w:lineRule="auto"/>
            </w:pPr>
            <w:r>
              <w:rPr>
                <w:rFonts w:ascii="Aptos" w:hAnsi="Aptos" w:cs="Aptos"/>
                <w:b/>
                <w:color w:val="1F4E12"/>
                <w:sz w:val="18"/>
              </w:rPr>
              <w:t>Student ID:</w:t>
            </w:r>
          </w:p>
        </w:tc>
        <w:tc>
          <w:tcPr>
            <w:tcW w:type="dxa" w:w="5256"/>
            <w:tcBorders>
              <w:top w:val="single" w:sz="6" w:space="0" w:color="cfd8cc"/>
              <w:left w:val="single" w:sz="6" w:space="0" w:color="cfd8cc"/>
              <w:bottom w:val="single" w:sz="6" w:space="0" w:color="cfd8cc"/>
              <w:right w:val="single" w:sz="6" w:space="0" w:color="cfd8cc"/>
              <w:insideH w:val="single" w:sz="6" w:space="0" w:color="cfd8cc"/>
              <w:insideV w:val="single" w:sz="6" w:space="0" w:color="cfd8cc"/>
            </w:tcBorders>
            <w:tcMar>
              <w:top w:w="80" w:type="dxa"/>
              <w:start w:w="90" w:type="dxa"/>
              <w:bottom w:w="80" w:type="dxa"/>
              <w:end w:w="90" w:type="dxa"/>
            </w:tcMar>
            <w:vAlign w:val="center"/>
            <w:shd w:fill="f8fbf6"/>
          </w:tcPr>
          <w:p>
            <w:pPr>
              <w:spacing w:before="0" w:after="30" w:line="240" w:lineRule="auto"/>
            </w:pPr>
            <w:r>
              <w:rPr>
                <w:rFonts w:ascii="Aptos" w:hAnsi="Aptos" w:cs="Aptos"/>
                <w:b w:val="0"/>
                <w:color w:val="202020"/>
                <w:sz w:val="18"/>
              </w:rPr>
              <w:t>1202883</w:t>
            </w:r>
          </w:p>
        </w:tc>
      </w:tr>
      <w:tr>
        <w:tc>
          <w:tcPr>
            <w:tcW w:type="dxa" w:w="2376"/>
            <w:tcBorders>
              <w:top w:val="single" w:sz="6" w:space="0" w:color="cfd8cc"/>
              <w:left w:val="single" w:sz="6" w:space="0" w:color="cfd8cc"/>
              <w:bottom w:val="single" w:sz="6" w:space="0" w:color="cfd8cc"/>
              <w:right w:val="single" w:sz="6" w:space="0" w:color="cfd8cc"/>
              <w:insideH w:val="single" w:sz="6" w:space="0" w:color="cfd8cc"/>
              <w:insideV w:val="single" w:sz="6" w:space="0" w:color="cfd8cc"/>
            </w:tcBorders>
            <w:tcMar>
              <w:top w:w="80" w:type="dxa"/>
              <w:start w:w="90" w:type="dxa"/>
              <w:bottom w:w="80" w:type="dxa"/>
              <w:end w:w="90" w:type="dxa"/>
            </w:tcMar>
            <w:vAlign w:val="center"/>
            <w:shd w:fill="eef5ea"/>
          </w:tcPr>
          <w:p>
            <w:pPr>
              <w:spacing w:before="0" w:after="30" w:line="240" w:lineRule="auto"/>
            </w:pPr>
            <w:r>
              <w:rPr>
                <w:rFonts w:ascii="Aptos" w:hAnsi="Aptos" w:cs="Aptos"/>
                <w:b/>
                <w:color w:val="1F4E12"/>
                <w:sz w:val="18"/>
              </w:rPr>
              <w:t>Instructor:</w:t>
            </w:r>
          </w:p>
        </w:tc>
        <w:tc>
          <w:tcPr>
            <w:tcW w:type="dxa" w:w="5256"/>
            <w:tcBorders>
              <w:top w:val="single" w:sz="6" w:space="0" w:color="cfd8cc"/>
              <w:left w:val="single" w:sz="6" w:space="0" w:color="cfd8cc"/>
              <w:bottom w:val="single" w:sz="6" w:space="0" w:color="cfd8cc"/>
              <w:right w:val="single" w:sz="6" w:space="0" w:color="cfd8cc"/>
              <w:insideH w:val="single" w:sz="6" w:space="0" w:color="cfd8cc"/>
              <w:insideV w:val="single" w:sz="6" w:space="0" w:color="cfd8cc"/>
            </w:tcBorders>
            <w:tcMar>
              <w:top w:w="80" w:type="dxa"/>
              <w:start w:w="90" w:type="dxa"/>
              <w:bottom w:w="80" w:type="dxa"/>
              <w:end w:w="90" w:type="dxa"/>
            </w:tcMar>
            <w:vAlign w:val="center"/>
          </w:tcPr>
          <w:p>
            <w:pPr>
              <w:spacing w:before="0" w:after="30" w:line="240" w:lineRule="auto"/>
            </w:pPr>
            <w:r>
              <w:rPr>
                <w:rFonts w:ascii="Aptos" w:hAnsi="Aptos" w:cs="Aptos"/>
                <w:b w:val="0"/>
                <w:color w:val="202020"/>
                <w:sz w:val="18"/>
              </w:rPr>
              <w:t>Dr. Hafez Barghouthi</w:t>
            </w:r>
          </w:p>
        </w:tc>
      </w:tr>
      <w:tr>
        <w:tc>
          <w:tcPr>
            <w:tcW w:type="dxa" w:w="2376"/>
            <w:tcBorders>
              <w:top w:val="single" w:sz="6" w:space="0" w:color="cfd8cc"/>
              <w:left w:val="single" w:sz="6" w:space="0" w:color="cfd8cc"/>
              <w:bottom w:val="single" w:sz="6" w:space="0" w:color="cfd8cc"/>
              <w:right w:val="single" w:sz="6" w:space="0" w:color="cfd8cc"/>
              <w:insideH w:val="single" w:sz="6" w:space="0" w:color="cfd8cc"/>
              <w:insideV w:val="single" w:sz="6" w:space="0" w:color="cfd8cc"/>
            </w:tcBorders>
            <w:tcMar>
              <w:top w:w="80" w:type="dxa"/>
              <w:start w:w="90" w:type="dxa"/>
              <w:bottom w:w="80" w:type="dxa"/>
              <w:end w:w="90" w:type="dxa"/>
            </w:tcMar>
            <w:vAlign w:val="center"/>
            <w:shd w:fill="eef5ea"/>
          </w:tcPr>
          <w:p>
            <w:pPr>
              <w:spacing w:before="0" w:after="30" w:line="240" w:lineRule="auto"/>
            </w:pPr>
            <w:r>
              <w:rPr>
                <w:rFonts w:ascii="Aptos" w:hAnsi="Aptos" w:cs="Aptos"/>
                <w:b/>
                <w:color w:val="1F4E12"/>
                <w:sz w:val="18"/>
              </w:rPr>
              <w:t>Submission:</w:t>
            </w:r>
          </w:p>
        </w:tc>
        <w:tc>
          <w:tcPr>
            <w:tcW w:type="dxa" w:w="5256"/>
            <w:tcBorders>
              <w:top w:val="single" w:sz="6" w:space="0" w:color="cfd8cc"/>
              <w:left w:val="single" w:sz="6" w:space="0" w:color="cfd8cc"/>
              <w:bottom w:val="single" w:sz="6" w:space="0" w:color="cfd8cc"/>
              <w:right w:val="single" w:sz="6" w:space="0" w:color="cfd8cc"/>
              <w:insideH w:val="single" w:sz="6" w:space="0" w:color="cfd8cc"/>
              <w:insideV w:val="single" w:sz="6" w:space="0" w:color="cfd8cc"/>
            </w:tcBorders>
            <w:tcMar>
              <w:top w:w="80" w:type="dxa"/>
              <w:start w:w="90" w:type="dxa"/>
              <w:bottom w:w="80" w:type="dxa"/>
              <w:end w:w="90" w:type="dxa"/>
            </w:tcMar>
            <w:vAlign w:val="center"/>
            <w:shd w:fill="f8fbf6"/>
          </w:tcPr>
          <w:p>
            <w:pPr>
              <w:spacing w:before="0" w:after="30" w:line="240" w:lineRule="auto"/>
            </w:pPr>
            <w:r>
              <w:rPr>
                <w:rFonts w:ascii="Aptos" w:hAnsi="Aptos" w:cs="Aptos"/>
                <w:b w:val="0"/>
                <w:color w:val="202020"/>
                <w:sz w:val="18"/>
              </w:rPr>
              <w:t>Initial report topic submission</w:t>
            </w:r>
          </w:p>
        </w:tc>
      </w:tr>
      <w:tr>
        <w:tc>
          <w:tcPr>
            <w:tcW w:type="dxa" w:w="2376"/>
            <w:tcBorders>
              <w:top w:val="single" w:sz="6" w:space="0" w:color="cfd8cc"/>
              <w:left w:val="single" w:sz="6" w:space="0" w:color="cfd8cc"/>
              <w:bottom w:val="single" w:sz="6" w:space="0" w:color="cfd8cc"/>
              <w:right w:val="single" w:sz="6" w:space="0" w:color="cfd8cc"/>
              <w:insideH w:val="single" w:sz="6" w:space="0" w:color="cfd8cc"/>
              <w:insideV w:val="single" w:sz="6" w:space="0" w:color="cfd8cc"/>
            </w:tcBorders>
            <w:tcMar>
              <w:top w:w="80" w:type="dxa"/>
              <w:start w:w="90" w:type="dxa"/>
              <w:bottom w:w="80" w:type="dxa"/>
              <w:end w:w="90" w:type="dxa"/>
            </w:tcMar>
            <w:vAlign w:val="center"/>
            <w:shd w:fill="eef5ea"/>
          </w:tcPr>
          <w:p>
            <w:pPr>
              <w:spacing w:before="0" w:after="30" w:line="240" w:lineRule="auto"/>
            </w:pPr>
            <w:r>
              <w:rPr>
                <w:rFonts w:ascii="Aptos" w:hAnsi="Aptos" w:cs="Aptos"/>
                <w:b/>
                <w:color w:val="1F4E12"/>
                <w:sz w:val="18"/>
              </w:rPr>
              <w:t>Date:</w:t>
            </w:r>
          </w:p>
        </w:tc>
        <w:tc>
          <w:tcPr>
            <w:tcW w:type="dxa" w:w="5256"/>
            <w:tcBorders>
              <w:top w:val="single" w:sz="6" w:space="0" w:color="cfd8cc"/>
              <w:left w:val="single" w:sz="6" w:space="0" w:color="cfd8cc"/>
              <w:bottom w:val="single" w:sz="6" w:space="0" w:color="cfd8cc"/>
              <w:right w:val="single" w:sz="6" w:space="0" w:color="cfd8cc"/>
              <w:insideH w:val="single" w:sz="6" w:space="0" w:color="cfd8cc"/>
              <w:insideV w:val="single" w:sz="6" w:space="0" w:color="cfd8cc"/>
            </w:tcBorders>
            <w:tcMar>
              <w:top w:w="80" w:type="dxa"/>
              <w:start w:w="90" w:type="dxa"/>
              <w:bottom w:w="80" w:type="dxa"/>
              <w:end w:w="90" w:type="dxa"/>
            </w:tcMar>
            <w:vAlign w:val="center"/>
          </w:tcPr>
          <w:p>
            <w:pPr>
              <w:spacing w:before="0" w:after="30" w:line="240" w:lineRule="auto"/>
            </w:pPr>
            <w:r>
              <w:rPr>
                <w:rFonts w:ascii="Aptos" w:hAnsi="Aptos" w:cs="Aptos"/>
                <w:b w:val="0"/>
                <w:color w:val="202020"/>
                <w:sz w:val="18"/>
              </w:rPr>
              <w:t>April 2026</w:t>
            </w:r>
          </w:p>
        </w:tc>
      </w:tr>
    </w:tbl>
    <w:p>
      <w:pPr>
        <w:spacing w:before="280" w:after="0" w:line="247" w:lineRule="auto"/>
        <w:jc w:val="center"/>
      </w:pPr>
      <w:r>
        <w:rPr>
          <w:rFonts w:ascii="Aptos" w:hAnsi="Aptos" w:cs="Aptos"/>
          <w:b w:val="0"/>
          <w:color w:val="666666"/>
          <w:sz w:val="18"/>
        </w:rPr>
        <w:t>Recommended short topic name: Layer 2 Reconvergence Security</w:t>
      </w:r>
    </w:p>
    <w:p>
      <w:r>
        <w:rPr>
          <w:rFonts w:ascii="Aptos" w:hAnsi="Aptos" w:cs="Aptos"/>
          <w:sz w:val="18"/>
        </w:rPr>
        <w:br w:type="page"/>
      </w:r>
    </w:p>
    <w:p>
      <w:pPr>
        <w:keepNext/>
        <w:spacing w:before="140" w:after="60"/>
      </w:pPr>
      <w:r>
        <w:rPr>
          <w:rFonts w:ascii="Aptos" w:hAnsi="Aptos" w:cs="Aptos"/>
          <w:b/>
          <w:color w:val="1F4E12"/>
          <w:sz w:val="23"/>
        </w:rPr>
        <w:t>Abstract</w:t>
      </w:r>
    </w:p>
    <w:p>
      <w:pPr>
        <w:spacing w:before="0" w:after="110" w:line="247" w:lineRule="auto"/>
      </w:pPr>
      <w:r>
        <w:rPr>
          <w:rFonts w:ascii="Aptos" w:hAnsi="Aptos" w:cs="Aptos"/>
          <w:b w:val="0"/>
          <w:color w:val="202020"/>
          <w:sz w:val="18"/>
        </w:rPr>
        <w:t>Layer 2 networks are often treated as trusted internal zones, yet many attacks begin before traffic reaches firewalls or application security controls. This report studies how Spanning Tree Protocol (STP), Rapid STP (RSTP), DHCP, ARP, and HTTPS interact during normal switching and during topology reconvergence. The main focus is the short but important period after a link or switch change, when ports move between states, forwarding paths change, and binding tables may be incomplete or stale. Attackers can exploit this window through rogue DHCP servers, DHCP starvation, ARP spoofing, BPDU manipulation, and man-in-the-middle positioning. The proposed defense strategy combines RSTP, PortFast edge configuration, BPDU Guard, Root Guard, DHCP Snooping, Dynamic ARP Inspection (DAI), IP Source Guard, port security, segmentation, and monitoring. HTTPS remains necessary for confidentiality, but it must be supported by Layer 2 controls because encryption alone cannot prevent local traffic redirection.</w:t>
      </w:r>
    </w:p>
    <w:p>
      <w:pPr>
        <w:keepNext/>
        <w:spacing w:before="140" w:after="60"/>
      </w:pPr>
      <w:r>
        <w:rPr>
          <w:rFonts w:ascii="Aptos" w:hAnsi="Aptos" w:cs="Aptos"/>
          <w:b/>
          <w:color w:val="1F4E12"/>
          <w:sz w:val="23"/>
        </w:rPr>
        <w:t>Introduction</w:t>
      </w:r>
    </w:p>
    <w:p>
      <w:pPr>
        <w:spacing w:before="0" w:after="110" w:line="247" w:lineRule="auto"/>
      </w:pPr>
      <w:r>
        <w:rPr>
          <w:rFonts w:ascii="Aptos" w:hAnsi="Aptos" w:cs="Aptos"/>
          <w:b w:val="0"/>
          <w:color w:val="202020"/>
          <w:sz w:val="18"/>
        </w:rPr>
        <w:t>A switched LAN depends on several automatic trust decisions. STP prevents loops, DHCP assigns addressing information, and ARP maps IP addresses to MAC addresses. These protocols were designed for availability and convenience, not for hostile access networks. In a campus, lab, or enterprise floor, a single unauthorized device can advertise itself as a better bridge, answer DHCP requests faster than the real server, or poison ARP caches so that users send traffic through the attacker. The study is therefore named Securing Layer 2 Networks: STP-DHCP Reconvergence Attacks and Defense Strategies, because it connects the protocol behavior to practical defense controls.</w:t>
      </w:r>
    </w:p>
    <w:p>
      <w:pPr>
        <w:keepNext/>
        <w:spacing w:before="140" w:after="60"/>
      </w:pPr>
      <w:r>
        <w:rPr>
          <w:rFonts w:ascii="Aptos" w:hAnsi="Aptos" w:cs="Aptos"/>
          <w:b/>
          <w:color w:val="1F4E12"/>
          <w:sz w:val="23"/>
        </w:rPr>
        <w:t>1. Current STP-DHCP Integration Challenges</w:t>
      </w:r>
    </w:p>
    <w:p>
      <w:pPr>
        <w:pStyle w:val="CompactBullet"/>
        <w:spacing w:after="36" w:line="245" w:lineRule="auto"/>
        <w:ind w:left="259" w:hanging="173"/>
      </w:pPr>
      <w:r>
        <w:rPr>
          <w:rFonts w:ascii="Aptos" w:hAnsi="Aptos" w:cs="Aptos"/>
          <w:color w:val="202020"/>
          <w:sz w:val="18"/>
        </w:rPr>
        <w:t>Separate control planes: STP/RSTP changes forwarding topology, while DHCP Snooping and IP Source Guard depend on accurate per-port and per-VLAN bindings.</w:t>
      </w:r>
    </w:p>
    <w:p>
      <w:pPr>
        <w:pStyle w:val="CompactBullet"/>
        <w:spacing w:after="36" w:line="245" w:lineRule="auto"/>
        <w:ind w:left="259" w:hanging="173"/>
      </w:pPr>
      <w:r>
        <w:rPr>
          <w:rFonts w:ascii="Aptos" w:hAnsi="Aptos" w:cs="Aptos"/>
          <w:color w:val="202020"/>
          <w:sz w:val="18"/>
        </w:rPr>
        <w:t>Reconvergence timing: classic STP may delay forwarding for tens of seconds, while RSTP improves recovery but still requires correct edge and trunk design [3].</w:t>
      </w:r>
    </w:p>
    <w:p>
      <w:pPr>
        <w:pStyle w:val="CompactBullet"/>
        <w:spacing w:after="36" w:line="245" w:lineRule="auto"/>
        <w:ind w:left="259" w:hanging="173"/>
      </w:pPr>
      <w:r>
        <w:rPr>
          <w:rFonts w:ascii="Aptos" w:hAnsi="Aptos" w:cs="Aptos"/>
          <w:color w:val="202020"/>
          <w:sz w:val="18"/>
        </w:rPr>
        <w:t>Binding accuracy: DHCP Snooping creates trusted state from DHCP exchanges, but static hosts, sleeping devices, virtual machines, and moved ports can leave gaps.</w:t>
      </w:r>
    </w:p>
    <w:p>
      <w:pPr>
        <w:pStyle w:val="CompactBullet"/>
        <w:spacing w:after="36" w:line="245" w:lineRule="auto"/>
        <w:ind w:left="259" w:hanging="173"/>
      </w:pPr>
      <w:r>
        <w:rPr>
          <w:rFonts w:ascii="Aptos" w:hAnsi="Aptos" w:cs="Aptos"/>
          <w:color w:val="202020"/>
          <w:sz w:val="18"/>
        </w:rPr>
        <w:t>Trust boundary mistakes: an uplink should be trusted for DHCP/DAI, but an access port should normally remain untrusted; one wrong trust setting can permit spoofed control traffic.</w:t>
      </w:r>
    </w:p>
    <w:p>
      <w:pPr>
        <w:pStyle w:val="CompactBullet"/>
        <w:spacing w:after="36" w:line="245" w:lineRule="auto"/>
        <w:ind w:left="259" w:hanging="173"/>
      </w:pPr>
      <w:r>
        <w:rPr>
          <w:rFonts w:ascii="Aptos" w:hAnsi="Aptos" w:cs="Aptos"/>
          <w:color w:val="202020"/>
          <w:sz w:val="18"/>
        </w:rPr>
        <w:t>Protocol mismatch: HTTPS protects application payloads, but it does not stop a local attacker from forcing gateway, DNS, DHCP, or ARP redirection before TLS is established.</w:t>
      </w:r>
    </w:p>
    <w:p>
      <w:pPr>
        <w:keepNext/>
        <w:spacing w:before="140" w:after="60"/>
      </w:pPr>
      <w:r>
        <w:rPr>
          <w:rFonts w:ascii="Aptos" w:hAnsi="Aptos" w:cs="Aptos"/>
          <w:b/>
          <w:color w:val="1F4E12"/>
          <w:sz w:val="23"/>
        </w:rPr>
        <w:t>2. Security Vulnerabilities During Reconvergence</w:t>
      </w:r>
    </w:p>
    <w:tbl>
      <w:tblPr>
        <w:tblW w:type="auto" w:w="0"/>
        <w:jc w:val="center"/>
        <w:tblLayout w:type="fixed"/>
        <w:tblLook w:firstColumn="1" w:firstRow="1" w:lastColumn="0" w:lastRow="0" w:noHBand="0" w:noVBand="1" w:val="04A0"/>
      </w:tblPr>
      <w:tblGrid>
        <w:gridCol w:w="2488"/>
        <w:gridCol w:w="2488"/>
        <w:gridCol w:w="2488"/>
        <w:gridCol w:w="2488"/>
      </w:tblGrid>
      <w:tr>
        <w:tc>
          <w:tcPr>
            <w:tcW w:type="dxa" w:w="1728"/>
            <w:tcBorders>
              <w:top w:val="single" w:sz="6" w:space="0" w:color="cfd8cc"/>
              <w:left w:val="single" w:sz="6" w:space="0" w:color="cfd8cc"/>
              <w:bottom w:val="single" w:sz="6" w:space="0" w:color="cfd8cc"/>
              <w:right w:val="single" w:sz="6" w:space="0" w:color="cfd8cc"/>
              <w:insideH w:val="single" w:sz="6" w:space="0" w:color="cfd8cc"/>
              <w:insideV w:val="single" w:sz="6" w:space="0" w:color="cfd8cc"/>
            </w:tcBorders>
            <w:tcMar>
              <w:top w:w="80" w:type="dxa"/>
              <w:start w:w="90" w:type="dxa"/>
              <w:bottom w:w="80" w:type="dxa"/>
              <w:end w:w="90" w:type="dxa"/>
            </w:tcMar>
            <w:vAlign w:val="center"/>
            <w:shd w:fill="1f4e12"/>
          </w:tcPr>
          <w:p>
            <w:pPr>
              <w:spacing w:before="0" w:after="30" w:line="240" w:lineRule="auto"/>
            </w:pPr>
            <w:r>
              <w:rPr>
                <w:rFonts w:ascii="Aptos" w:hAnsi="Aptos" w:cs="Aptos"/>
                <w:b/>
                <w:color w:val="FFFFFF"/>
                <w:sz w:val="15"/>
              </w:rPr>
              <w:t>Attack</w:t>
            </w:r>
          </w:p>
        </w:tc>
        <w:tc>
          <w:tcPr>
            <w:tcW w:type="dxa" w:w="2951"/>
            <w:tcBorders>
              <w:top w:val="single" w:sz="6" w:space="0" w:color="cfd8cc"/>
              <w:left w:val="single" w:sz="6" w:space="0" w:color="cfd8cc"/>
              <w:bottom w:val="single" w:sz="6" w:space="0" w:color="cfd8cc"/>
              <w:right w:val="single" w:sz="6" w:space="0" w:color="cfd8cc"/>
              <w:insideH w:val="single" w:sz="6" w:space="0" w:color="cfd8cc"/>
              <w:insideV w:val="single" w:sz="6" w:space="0" w:color="cfd8cc"/>
            </w:tcBorders>
            <w:tcMar>
              <w:top w:w="80" w:type="dxa"/>
              <w:start w:w="90" w:type="dxa"/>
              <w:bottom w:w="80" w:type="dxa"/>
              <w:end w:w="90" w:type="dxa"/>
            </w:tcMar>
            <w:vAlign w:val="center"/>
            <w:shd w:fill="1f4e12"/>
          </w:tcPr>
          <w:p>
            <w:pPr>
              <w:spacing w:before="0" w:after="30" w:line="240" w:lineRule="auto"/>
            </w:pPr>
            <w:r>
              <w:rPr>
                <w:rFonts w:ascii="Aptos" w:hAnsi="Aptos" w:cs="Aptos"/>
                <w:b/>
                <w:color w:val="FFFFFF"/>
                <w:sz w:val="15"/>
              </w:rPr>
              <w:t>Reconvergence Weakness</w:t>
            </w:r>
          </w:p>
        </w:tc>
        <w:tc>
          <w:tcPr>
            <w:tcW w:type="dxa" w:w="2376"/>
            <w:tcBorders>
              <w:top w:val="single" w:sz="6" w:space="0" w:color="cfd8cc"/>
              <w:left w:val="single" w:sz="6" w:space="0" w:color="cfd8cc"/>
              <w:bottom w:val="single" w:sz="6" w:space="0" w:color="cfd8cc"/>
              <w:right w:val="single" w:sz="6" w:space="0" w:color="cfd8cc"/>
              <w:insideH w:val="single" w:sz="6" w:space="0" w:color="cfd8cc"/>
              <w:insideV w:val="single" w:sz="6" w:space="0" w:color="cfd8cc"/>
            </w:tcBorders>
            <w:tcMar>
              <w:top w:w="80" w:type="dxa"/>
              <w:start w:w="90" w:type="dxa"/>
              <w:bottom w:w="80" w:type="dxa"/>
              <w:end w:w="90" w:type="dxa"/>
            </w:tcMar>
            <w:vAlign w:val="center"/>
            <w:shd w:fill="1f4e12"/>
          </w:tcPr>
          <w:p>
            <w:pPr>
              <w:spacing w:before="0" w:after="30" w:line="240" w:lineRule="auto"/>
            </w:pPr>
            <w:r>
              <w:rPr>
                <w:rFonts w:ascii="Aptos" w:hAnsi="Aptos" w:cs="Aptos"/>
                <w:b/>
                <w:color w:val="FFFFFF"/>
                <w:sz w:val="15"/>
              </w:rPr>
              <w:t>Impact</w:t>
            </w:r>
          </w:p>
        </w:tc>
        <w:tc>
          <w:tcPr>
            <w:tcW w:type="dxa" w:w="2808"/>
            <w:tcBorders>
              <w:top w:val="single" w:sz="6" w:space="0" w:color="cfd8cc"/>
              <w:left w:val="single" w:sz="6" w:space="0" w:color="cfd8cc"/>
              <w:bottom w:val="single" w:sz="6" w:space="0" w:color="cfd8cc"/>
              <w:right w:val="single" w:sz="6" w:space="0" w:color="cfd8cc"/>
              <w:insideH w:val="single" w:sz="6" w:space="0" w:color="cfd8cc"/>
              <w:insideV w:val="single" w:sz="6" w:space="0" w:color="cfd8cc"/>
            </w:tcBorders>
            <w:tcMar>
              <w:top w:w="80" w:type="dxa"/>
              <w:start w:w="90" w:type="dxa"/>
              <w:bottom w:w="80" w:type="dxa"/>
              <w:end w:w="90" w:type="dxa"/>
            </w:tcMar>
            <w:vAlign w:val="center"/>
            <w:shd w:fill="1f4e12"/>
          </w:tcPr>
          <w:p>
            <w:pPr>
              <w:spacing w:before="0" w:after="30" w:line="240" w:lineRule="auto"/>
            </w:pPr>
            <w:r>
              <w:rPr>
                <w:rFonts w:ascii="Aptos" w:hAnsi="Aptos" w:cs="Aptos"/>
                <w:b/>
                <w:color w:val="FFFFFF"/>
                <w:sz w:val="15"/>
              </w:rPr>
              <w:t>Primary Defense</w:t>
            </w:r>
          </w:p>
        </w:tc>
      </w:tr>
      <w:tr>
        <w:tc>
          <w:tcPr>
            <w:tcW w:type="dxa" w:w="1728"/>
            <w:tcBorders>
              <w:top w:val="single" w:sz="6" w:space="0" w:color="cfd8cc"/>
              <w:left w:val="single" w:sz="6" w:space="0" w:color="cfd8cc"/>
              <w:bottom w:val="single" w:sz="6" w:space="0" w:color="cfd8cc"/>
              <w:right w:val="single" w:sz="6" w:space="0" w:color="cfd8cc"/>
              <w:insideH w:val="single" w:sz="6" w:space="0" w:color="cfd8cc"/>
              <w:insideV w:val="single" w:sz="6" w:space="0" w:color="cfd8cc"/>
            </w:tcBorders>
            <w:tcMar>
              <w:top w:w="80" w:type="dxa"/>
              <w:start w:w="90" w:type="dxa"/>
              <w:bottom w:w="80" w:type="dxa"/>
              <w:end w:w="90" w:type="dxa"/>
            </w:tcMar>
            <w:vAlign w:val="center"/>
            <w:shd w:fill="f8fbf6"/>
          </w:tcPr>
          <w:p>
            <w:pPr>
              <w:spacing w:before="0" w:after="30" w:line="240" w:lineRule="auto"/>
            </w:pPr>
            <w:r>
              <w:rPr>
                <w:rFonts w:ascii="Aptos" w:hAnsi="Aptos" w:cs="Aptos"/>
                <w:b w:val="0"/>
                <w:color w:val="202020"/>
                <w:sz w:val="15"/>
              </w:rPr>
              <w:t>Rogue DHCP</w:t>
            </w:r>
          </w:p>
        </w:tc>
        <w:tc>
          <w:tcPr>
            <w:tcW w:type="dxa" w:w="2951"/>
            <w:tcBorders>
              <w:top w:val="single" w:sz="6" w:space="0" w:color="cfd8cc"/>
              <w:left w:val="single" w:sz="6" w:space="0" w:color="cfd8cc"/>
              <w:bottom w:val="single" w:sz="6" w:space="0" w:color="cfd8cc"/>
              <w:right w:val="single" w:sz="6" w:space="0" w:color="cfd8cc"/>
              <w:insideH w:val="single" w:sz="6" w:space="0" w:color="cfd8cc"/>
              <w:insideV w:val="single" w:sz="6" w:space="0" w:color="cfd8cc"/>
            </w:tcBorders>
            <w:tcMar>
              <w:top w:w="80" w:type="dxa"/>
              <w:start w:w="90" w:type="dxa"/>
              <w:bottom w:w="80" w:type="dxa"/>
              <w:end w:w="90" w:type="dxa"/>
            </w:tcMar>
            <w:vAlign w:val="center"/>
            <w:shd w:fill="f8fbf6"/>
          </w:tcPr>
          <w:p>
            <w:pPr>
              <w:spacing w:before="0" w:after="30" w:line="240" w:lineRule="auto"/>
            </w:pPr>
            <w:r>
              <w:rPr>
                <w:rFonts w:ascii="Aptos" w:hAnsi="Aptos" w:cs="Aptos"/>
                <w:b w:val="0"/>
                <w:color w:val="202020"/>
                <w:sz w:val="15"/>
              </w:rPr>
              <w:t>Client broadcasts may reach an attacker before the legitimate server path is stable.</w:t>
            </w:r>
          </w:p>
        </w:tc>
        <w:tc>
          <w:tcPr>
            <w:tcW w:type="dxa" w:w="2376"/>
            <w:tcBorders>
              <w:top w:val="single" w:sz="6" w:space="0" w:color="cfd8cc"/>
              <w:left w:val="single" w:sz="6" w:space="0" w:color="cfd8cc"/>
              <w:bottom w:val="single" w:sz="6" w:space="0" w:color="cfd8cc"/>
              <w:right w:val="single" w:sz="6" w:space="0" w:color="cfd8cc"/>
              <w:insideH w:val="single" w:sz="6" w:space="0" w:color="cfd8cc"/>
              <w:insideV w:val="single" w:sz="6" w:space="0" w:color="cfd8cc"/>
            </w:tcBorders>
            <w:tcMar>
              <w:top w:w="80" w:type="dxa"/>
              <w:start w:w="90" w:type="dxa"/>
              <w:bottom w:w="80" w:type="dxa"/>
              <w:end w:w="90" w:type="dxa"/>
            </w:tcMar>
            <w:vAlign w:val="center"/>
            <w:shd w:fill="f8fbf6"/>
          </w:tcPr>
          <w:p>
            <w:pPr>
              <w:spacing w:before="0" w:after="30" w:line="240" w:lineRule="auto"/>
            </w:pPr>
            <w:r>
              <w:rPr>
                <w:rFonts w:ascii="Aptos" w:hAnsi="Aptos" w:cs="Aptos"/>
                <w:b w:val="0"/>
                <w:color w:val="202020"/>
                <w:sz w:val="15"/>
              </w:rPr>
              <w:t>Wrong gateway/DNS, traffic interception, outage.</w:t>
            </w:r>
          </w:p>
        </w:tc>
        <w:tc>
          <w:tcPr>
            <w:tcW w:type="dxa" w:w="2808"/>
            <w:tcBorders>
              <w:top w:val="single" w:sz="6" w:space="0" w:color="cfd8cc"/>
              <w:left w:val="single" w:sz="6" w:space="0" w:color="cfd8cc"/>
              <w:bottom w:val="single" w:sz="6" w:space="0" w:color="cfd8cc"/>
              <w:right w:val="single" w:sz="6" w:space="0" w:color="cfd8cc"/>
              <w:insideH w:val="single" w:sz="6" w:space="0" w:color="cfd8cc"/>
              <w:insideV w:val="single" w:sz="6" w:space="0" w:color="cfd8cc"/>
            </w:tcBorders>
            <w:tcMar>
              <w:top w:w="80" w:type="dxa"/>
              <w:start w:w="90" w:type="dxa"/>
              <w:bottom w:w="80" w:type="dxa"/>
              <w:end w:w="90" w:type="dxa"/>
            </w:tcMar>
            <w:vAlign w:val="center"/>
            <w:shd w:fill="f8fbf6"/>
          </w:tcPr>
          <w:p>
            <w:pPr>
              <w:spacing w:before="0" w:after="30" w:line="240" w:lineRule="auto"/>
            </w:pPr>
            <w:r>
              <w:rPr>
                <w:rFonts w:ascii="Aptos" w:hAnsi="Aptos" w:cs="Aptos"/>
                <w:b w:val="0"/>
                <w:color w:val="202020"/>
                <w:sz w:val="15"/>
              </w:rPr>
              <w:t>DHCP Snooping, trusted uplinks only.</w:t>
            </w:r>
          </w:p>
        </w:tc>
      </w:tr>
      <w:tr>
        <w:tc>
          <w:tcPr>
            <w:tcW w:type="dxa" w:w="1728"/>
            <w:tcBorders>
              <w:top w:val="single" w:sz="6" w:space="0" w:color="cfd8cc"/>
              <w:left w:val="single" w:sz="6" w:space="0" w:color="cfd8cc"/>
              <w:bottom w:val="single" w:sz="6" w:space="0" w:color="cfd8cc"/>
              <w:right w:val="single" w:sz="6" w:space="0" w:color="cfd8cc"/>
              <w:insideH w:val="single" w:sz="6" w:space="0" w:color="cfd8cc"/>
              <w:insideV w:val="single" w:sz="6" w:space="0" w:color="cfd8cc"/>
            </w:tcBorders>
            <w:tcMar>
              <w:top w:w="80" w:type="dxa"/>
              <w:start w:w="90" w:type="dxa"/>
              <w:bottom w:w="80" w:type="dxa"/>
              <w:end w:w="90" w:type="dxa"/>
            </w:tcMar>
            <w:vAlign w:val="center"/>
          </w:tcPr>
          <w:p>
            <w:pPr>
              <w:spacing w:before="0" w:after="30" w:line="240" w:lineRule="auto"/>
            </w:pPr>
            <w:r>
              <w:rPr>
                <w:rFonts w:ascii="Aptos" w:hAnsi="Aptos" w:cs="Aptos"/>
                <w:b w:val="0"/>
                <w:color w:val="202020"/>
                <w:sz w:val="15"/>
              </w:rPr>
              <w:t>ARP spoofing / MITM</w:t>
            </w:r>
          </w:p>
        </w:tc>
        <w:tc>
          <w:tcPr>
            <w:tcW w:type="dxa" w:w="2951"/>
            <w:tcBorders>
              <w:top w:val="single" w:sz="6" w:space="0" w:color="cfd8cc"/>
              <w:left w:val="single" w:sz="6" w:space="0" w:color="cfd8cc"/>
              <w:bottom w:val="single" w:sz="6" w:space="0" w:color="cfd8cc"/>
              <w:right w:val="single" w:sz="6" w:space="0" w:color="cfd8cc"/>
              <w:insideH w:val="single" w:sz="6" w:space="0" w:color="cfd8cc"/>
              <w:insideV w:val="single" w:sz="6" w:space="0" w:color="cfd8cc"/>
            </w:tcBorders>
            <w:tcMar>
              <w:top w:w="80" w:type="dxa"/>
              <w:start w:w="90" w:type="dxa"/>
              <w:bottom w:w="80" w:type="dxa"/>
              <w:end w:w="90" w:type="dxa"/>
            </w:tcMar>
            <w:vAlign w:val="center"/>
          </w:tcPr>
          <w:p>
            <w:pPr>
              <w:spacing w:before="0" w:after="30" w:line="240" w:lineRule="auto"/>
            </w:pPr>
            <w:r>
              <w:rPr>
                <w:rFonts w:ascii="Aptos" w:hAnsi="Aptos" w:cs="Aptos"/>
                <w:b w:val="0"/>
                <w:color w:val="202020"/>
                <w:sz w:val="15"/>
              </w:rPr>
              <w:t>Caches and inspection bindings can be stale or missing after a port/path change.</w:t>
            </w:r>
          </w:p>
        </w:tc>
        <w:tc>
          <w:tcPr>
            <w:tcW w:type="dxa" w:w="2376"/>
            <w:tcBorders>
              <w:top w:val="single" w:sz="6" w:space="0" w:color="cfd8cc"/>
              <w:left w:val="single" w:sz="6" w:space="0" w:color="cfd8cc"/>
              <w:bottom w:val="single" w:sz="6" w:space="0" w:color="cfd8cc"/>
              <w:right w:val="single" w:sz="6" w:space="0" w:color="cfd8cc"/>
              <w:insideH w:val="single" w:sz="6" w:space="0" w:color="cfd8cc"/>
              <w:insideV w:val="single" w:sz="6" w:space="0" w:color="cfd8cc"/>
            </w:tcBorders>
            <w:tcMar>
              <w:top w:w="80" w:type="dxa"/>
              <w:start w:w="90" w:type="dxa"/>
              <w:bottom w:w="80" w:type="dxa"/>
              <w:end w:w="90" w:type="dxa"/>
            </w:tcMar>
            <w:vAlign w:val="center"/>
          </w:tcPr>
          <w:p>
            <w:pPr>
              <w:spacing w:before="0" w:after="30" w:line="240" w:lineRule="auto"/>
            </w:pPr>
            <w:r>
              <w:rPr>
                <w:rFonts w:ascii="Aptos" w:hAnsi="Aptos" w:cs="Aptos"/>
                <w:b w:val="0"/>
                <w:color w:val="202020"/>
                <w:sz w:val="15"/>
              </w:rPr>
              <w:t>Session hijack, credential exposure, traffic manipulation.</w:t>
            </w:r>
          </w:p>
        </w:tc>
        <w:tc>
          <w:tcPr>
            <w:tcW w:type="dxa" w:w="2808"/>
            <w:tcBorders>
              <w:top w:val="single" w:sz="6" w:space="0" w:color="cfd8cc"/>
              <w:left w:val="single" w:sz="6" w:space="0" w:color="cfd8cc"/>
              <w:bottom w:val="single" w:sz="6" w:space="0" w:color="cfd8cc"/>
              <w:right w:val="single" w:sz="6" w:space="0" w:color="cfd8cc"/>
              <w:insideH w:val="single" w:sz="6" w:space="0" w:color="cfd8cc"/>
              <w:insideV w:val="single" w:sz="6" w:space="0" w:color="cfd8cc"/>
            </w:tcBorders>
            <w:tcMar>
              <w:top w:w="80" w:type="dxa"/>
              <w:start w:w="90" w:type="dxa"/>
              <w:bottom w:w="80" w:type="dxa"/>
              <w:end w:w="90" w:type="dxa"/>
            </w:tcMar>
            <w:vAlign w:val="center"/>
          </w:tcPr>
          <w:p>
            <w:pPr>
              <w:spacing w:before="0" w:after="30" w:line="240" w:lineRule="auto"/>
            </w:pPr>
            <w:r>
              <w:rPr>
                <w:rFonts w:ascii="Aptos" w:hAnsi="Aptos" w:cs="Aptos"/>
                <w:b w:val="0"/>
                <w:color w:val="202020"/>
                <w:sz w:val="15"/>
              </w:rPr>
              <w:t>DAI with DHCP bindings or ARP ACLs [5].</w:t>
            </w:r>
          </w:p>
        </w:tc>
      </w:tr>
      <w:tr>
        <w:tc>
          <w:tcPr>
            <w:tcW w:type="dxa" w:w="1728"/>
            <w:tcBorders>
              <w:top w:val="single" w:sz="6" w:space="0" w:color="cfd8cc"/>
              <w:left w:val="single" w:sz="6" w:space="0" w:color="cfd8cc"/>
              <w:bottom w:val="single" w:sz="6" w:space="0" w:color="cfd8cc"/>
              <w:right w:val="single" w:sz="6" w:space="0" w:color="cfd8cc"/>
              <w:insideH w:val="single" w:sz="6" w:space="0" w:color="cfd8cc"/>
              <w:insideV w:val="single" w:sz="6" w:space="0" w:color="cfd8cc"/>
            </w:tcBorders>
            <w:tcMar>
              <w:top w:w="80" w:type="dxa"/>
              <w:start w:w="90" w:type="dxa"/>
              <w:bottom w:w="80" w:type="dxa"/>
              <w:end w:w="90" w:type="dxa"/>
            </w:tcMar>
            <w:vAlign w:val="center"/>
            <w:shd w:fill="f8fbf6"/>
          </w:tcPr>
          <w:p>
            <w:pPr>
              <w:spacing w:before="0" w:after="30" w:line="240" w:lineRule="auto"/>
            </w:pPr>
            <w:r>
              <w:rPr>
                <w:rFonts w:ascii="Aptos" w:hAnsi="Aptos" w:cs="Aptos"/>
                <w:b w:val="0"/>
                <w:color w:val="202020"/>
                <w:sz w:val="15"/>
              </w:rPr>
              <w:t>BPDU spoofing</w:t>
            </w:r>
          </w:p>
        </w:tc>
        <w:tc>
          <w:tcPr>
            <w:tcW w:type="dxa" w:w="2951"/>
            <w:tcBorders>
              <w:top w:val="single" w:sz="6" w:space="0" w:color="cfd8cc"/>
              <w:left w:val="single" w:sz="6" w:space="0" w:color="cfd8cc"/>
              <w:bottom w:val="single" w:sz="6" w:space="0" w:color="cfd8cc"/>
              <w:right w:val="single" w:sz="6" w:space="0" w:color="cfd8cc"/>
              <w:insideH w:val="single" w:sz="6" w:space="0" w:color="cfd8cc"/>
              <w:insideV w:val="single" w:sz="6" w:space="0" w:color="cfd8cc"/>
            </w:tcBorders>
            <w:tcMar>
              <w:top w:w="80" w:type="dxa"/>
              <w:start w:w="90" w:type="dxa"/>
              <w:bottom w:w="80" w:type="dxa"/>
              <w:end w:w="90" w:type="dxa"/>
            </w:tcMar>
            <w:vAlign w:val="center"/>
            <w:shd w:fill="f8fbf6"/>
          </w:tcPr>
          <w:p>
            <w:pPr>
              <w:spacing w:before="0" w:after="30" w:line="240" w:lineRule="auto"/>
            </w:pPr>
            <w:r>
              <w:rPr>
                <w:rFonts w:ascii="Aptos" w:hAnsi="Aptos" w:cs="Aptos"/>
                <w:b w:val="0"/>
                <w:color w:val="202020"/>
                <w:sz w:val="15"/>
              </w:rPr>
              <w:t>A hostile switch may attempt to become root or alter the tree during topology change.</w:t>
            </w:r>
          </w:p>
        </w:tc>
        <w:tc>
          <w:tcPr>
            <w:tcW w:type="dxa" w:w="2376"/>
            <w:tcBorders>
              <w:top w:val="single" w:sz="6" w:space="0" w:color="cfd8cc"/>
              <w:left w:val="single" w:sz="6" w:space="0" w:color="cfd8cc"/>
              <w:bottom w:val="single" w:sz="6" w:space="0" w:color="cfd8cc"/>
              <w:right w:val="single" w:sz="6" w:space="0" w:color="cfd8cc"/>
              <w:insideH w:val="single" w:sz="6" w:space="0" w:color="cfd8cc"/>
              <w:insideV w:val="single" w:sz="6" w:space="0" w:color="cfd8cc"/>
            </w:tcBorders>
            <w:tcMar>
              <w:top w:w="80" w:type="dxa"/>
              <w:start w:w="90" w:type="dxa"/>
              <w:bottom w:w="80" w:type="dxa"/>
              <w:end w:w="90" w:type="dxa"/>
            </w:tcMar>
            <w:vAlign w:val="center"/>
            <w:shd w:fill="f8fbf6"/>
          </w:tcPr>
          <w:p>
            <w:pPr>
              <w:spacing w:before="0" w:after="30" w:line="240" w:lineRule="auto"/>
            </w:pPr>
            <w:r>
              <w:rPr>
                <w:rFonts w:ascii="Aptos" w:hAnsi="Aptos" w:cs="Aptos"/>
                <w:b w:val="0"/>
                <w:color w:val="202020"/>
                <w:sz w:val="15"/>
              </w:rPr>
              <w:t>Traffic redirection, loops, unstable LAN.</w:t>
            </w:r>
          </w:p>
        </w:tc>
        <w:tc>
          <w:tcPr>
            <w:tcW w:type="dxa" w:w="2808"/>
            <w:tcBorders>
              <w:top w:val="single" w:sz="6" w:space="0" w:color="cfd8cc"/>
              <w:left w:val="single" w:sz="6" w:space="0" w:color="cfd8cc"/>
              <w:bottom w:val="single" w:sz="6" w:space="0" w:color="cfd8cc"/>
              <w:right w:val="single" w:sz="6" w:space="0" w:color="cfd8cc"/>
              <w:insideH w:val="single" w:sz="6" w:space="0" w:color="cfd8cc"/>
              <w:insideV w:val="single" w:sz="6" w:space="0" w:color="cfd8cc"/>
            </w:tcBorders>
            <w:tcMar>
              <w:top w:w="80" w:type="dxa"/>
              <w:start w:w="90" w:type="dxa"/>
              <w:bottom w:w="80" w:type="dxa"/>
              <w:end w:w="90" w:type="dxa"/>
            </w:tcMar>
            <w:vAlign w:val="center"/>
            <w:shd w:fill="f8fbf6"/>
          </w:tcPr>
          <w:p>
            <w:pPr>
              <w:spacing w:before="0" w:after="30" w:line="240" w:lineRule="auto"/>
            </w:pPr>
            <w:r>
              <w:rPr>
                <w:rFonts w:ascii="Aptos" w:hAnsi="Aptos" w:cs="Aptos"/>
                <w:b w:val="0"/>
                <w:color w:val="202020"/>
                <w:sz w:val="15"/>
              </w:rPr>
              <w:t>BPDU Guard, Root Guard, correct bridge priority [4].</w:t>
            </w:r>
          </w:p>
        </w:tc>
      </w:tr>
      <w:tr>
        <w:tc>
          <w:tcPr>
            <w:tcW w:type="dxa" w:w="1728"/>
            <w:tcBorders>
              <w:top w:val="single" w:sz="6" w:space="0" w:color="cfd8cc"/>
              <w:left w:val="single" w:sz="6" w:space="0" w:color="cfd8cc"/>
              <w:bottom w:val="single" w:sz="6" w:space="0" w:color="cfd8cc"/>
              <w:right w:val="single" w:sz="6" w:space="0" w:color="cfd8cc"/>
              <w:insideH w:val="single" w:sz="6" w:space="0" w:color="cfd8cc"/>
              <w:insideV w:val="single" w:sz="6" w:space="0" w:color="cfd8cc"/>
            </w:tcBorders>
            <w:tcMar>
              <w:top w:w="80" w:type="dxa"/>
              <w:start w:w="90" w:type="dxa"/>
              <w:bottom w:w="80" w:type="dxa"/>
              <w:end w:w="90" w:type="dxa"/>
            </w:tcMar>
            <w:vAlign w:val="center"/>
          </w:tcPr>
          <w:p>
            <w:pPr>
              <w:spacing w:before="0" w:after="30" w:line="240" w:lineRule="auto"/>
            </w:pPr>
            <w:r>
              <w:rPr>
                <w:rFonts w:ascii="Aptos" w:hAnsi="Aptos" w:cs="Aptos"/>
                <w:b w:val="0"/>
                <w:color w:val="202020"/>
                <w:sz w:val="15"/>
              </w:rPr>
              <w:t>DHCP starvation</w:t>
            </w:r>
          </w:p>
        </w:tc>
        <w:tc>
          <w:tcPr>
            <w:tcW w:type="dxa" w:w="2951"/>
            <w:tcBorders>
              <w:top w:val="single" w:sz="6" w:space="0" w:color="cfd8cc"/>
              <w:left w:val="single" w:sz="6" w:space="0" w:color="cfd8cc"/>
              <w:bottom w:val="single" w:sz="6" w:space="0" w:color="cfd8cc"/>
              <w:right w:val="single" w:sz="6" w:space="0" w:color="cfd8cc"/>
              <w:insideH w:val="single" w:sz="6" w:space="0" w:color="cfd8cc"/>
              <w:insideV w:val="single" w:sz="6" w:space="0" w:color="cfd8cc"/>
            </w:tcBorders>
            <w:tcMar>
              <w:top w:w="80" w:type="dxa"/>
              <w:start w:w="90" w:type="dxa"/>
              <w:bottom w:w="80" w:type="dxa"/>
              <w:end w:w="90" w:type="dxa"/>
            </w:tcMar>
            <w:vAlign w:val="center"/>
          </w:tcPr>
          <w:p>
            <w:pPr>
              <w:spacing w:before="0" w:after="30" w:line="240" w:lineRule="auto"/>
            </w:pPr>
            <w:r>
              <w:rPr>
                <w:rFonts w:ascii="Aptos" w:hAnsi="Aptos" w:cs="Aptos"/>
                <w:b w:val="0"/>
                <w:color w:val="202020"/>
                <w:sz w:val="15"/>
              </w:rPr>
              <w:t>Repeated spoofed clients exhaust the address pool while users reconnect.</w:t>
            </w:r>
          </w:p>
        </w:tc>
        <w:tc>
          <w:tcPr>
            <w:tcW w:type="dxa" w:w="2376"/>
            <w:tcBorders>
              <w:top w:val="single" w:sz="6" w:space="0" w:color="cfd8cc"/>
              <w:left w:val="single" w:sz="6" w:space="0" w:color="cfd8cc"/>
              <w:bottom w:val="single" w:sz="6" w:space="0" w:color="cfd8cc"/>
              <w:right w:val="single" w:sz="6" w:space="0" w:color="cfd8cc"/>
              <w:insideH w:val="single" w:sz="6" w:space="0" w:color="cfd8cc"/>
              <w:insideV w:val="single" w:sz="6" w:space="0" w:color="cfd8cc"/>
            </w:tcBorders>
            <w:tcMar>
              <w:top w:w="80" w:type="dxa"/>
              <w:start w:w="90" w:type="dxa"/>
              <w:bottom w:w="80" w:type="dxa"/>
              <w:end w:w="90" w:type="dxa"/>
            </w:tcMar>
            <w:vAlign w:val="center"/>
          </w:tcPr>
          <w:p>
            <w:pPr>
              <w:spacing w:before="0" w:after="30" w:line="240" w:lineRule="auto"/>
            </w:pPr>
            <w:r>
              <w:rPr>
                <w:rFonts w:ascii="Aptos" w:hAnsi="Aptos" w:cs="Aptos"/>
                <w:b w:val="0"/>
                <w:color w:val="202020"/>
                <w:sz w:val="15"/>
              </w:rPr>
              <w:t>Denial of service, easier rogue DHCP success.</w:t>
            </w:r>
          </w:p>
        </w:tc>
        <w:tc>
          <w:tcPr>
            <w:tcW w:type="dxa" w:w="2808"/>
            <w:tcBorders>
              <w:top w:val="single" w:sz="6" w:space="0" w:color="cfd8cc"/>
              <w:left w:val="single" w:sz="6" w:space="0" w:color="cfd8cc"/>
              <w:bottom w:val="single" w:sz="6" w:space="0" w:color="cfd8cc"/>
              <w:right w:val="single" w:sz="6" w:space="0" w:color="cfd8cc"/>
              <w:insideH w:val="single" w:sz="6" w:space="0" w:color="cfd8cc"/>
              <w:insideV w:val="single" w:sz="6" w:space="0" w:color="cfd8cc"/>
            </w:tcBorders>
            <w:tcMar>
              <w:top w:w="80" w:type="dxa"/>
              <w:start w:w="90" w:type="dxa"/>
              <w:bottom w:w="80" w:type="dxa"/>
              <w:end w:w="90" w:type="dxa"/>
            </w:tcMar>
            <w:vAlign w:val="center"/>
          </w:tcPr>
          <w:p>
            <w:pPr>
              <w:spacing w:before="0" w:after="30" w:line="240" w:lineRule="auto"/>
            </w:pPr>
            <w:r>
              <w:rPr>
                <w:rFonts w:ascii="Aptos" w:hAnsi="Aptos" w:cs="Aptos"/>
                <w:b w:val="0"/>
                <w:color w:val="202020"/>
                <w:sz w:val="15"/>
              </w:rPr>
              <w:t>Port security, rate limits, DHCP Snooping.</w:t>
            </w:r>
          </w:p>
        </w:tc>
      </w:tr>
      <w:tr>
        <w:tc>
          <w:tcPr>
            <w:tcW w:type="dxa" w:w="1728"/>
            <w:tcBorders>
              <w:top w:val="single" w:sz="6" w:space="0" w:color="cfd8cc"/>
              <w:left w:val="single" w:sz="6" w:space="0" w:color="cfd8cc"/>
              <w:bottom w:val="single" w:sz="6" w:space="0" w:color="cfd8cc"/>
              <w:right w:val="single" w:sz="6" w:space="0" w:color="cfd8cc"/>
              <w:insideH w:val="single" w:sz="6" w:space="0" w:color="cfd8cc"/>
              <w:insideV w:val="single" w:sz="6" w:space="0" w:color="cfd8cc"/>
            </w:tcBorders>
            <w:tcMar>
              <w:top w:w="80" w:type="dxa"/>
              <w:start w:w="90" w:type="dxa"/>
              <w:bottom w:w="80" w:type="dxa"/>
              <w:end w:w="90" w:type="dxa"/>
            </w:tcMar>
            <w:vAlign w:val="center"/>
            <w:shd w:fill="f8fbf6"/>
          </w:tcPr>
          <w:p>
            <w:pPr>
              <w:spacing w:before="0" w:after="30" w:line="240" w:lineRule="auto"/>
            </w:pPr>
            <w:r>
              <w:rPr>
                <w:rFonts w:ascii="Aptos" w:hAnsi="Aptos" w:cs="Aptos"/>
                <w:b w:val="0"/>
                <w:color w:val="202020"/>
                <w:sz w:val="15"/>
              </w:rPr>
              <w:t>MAC flooding</w:t>
            </w:r>
          </w:p>
        </w:tc>
        <w:tc>
          <w:tcPr>
            <w:tcW w:type="dxa" w:w="2951"/>
            <w:tcBorders>
              <w:top w:val="single" w:sz="6" w:space="0" w:color="cfd8cc"/>
              <w:left w:val="single" w:sz="6" w:space="0" w:color="cfd8cc"/>
              <w:bottom w:val="single" w:sz="6" w:space="0" w:color="cfd8cc"/>
              <w:right w:val="single" w:sz="6" w:space="0" w:color="cfd8cc"/>
              <w:insideH w:val="single" w:sz="6" w:space="0" w:color="cfd8cc"/>
              <w:insideV w:val="single" w:sz="6" w:space="0" w:color="cfd8cc"/>
            </w:tcBorders>
            <w:tcMar>
              <w:top w:w="80" w:type="dxa"/>
              <w:start w:w="90" w:type="dxa"/>
              <w:bottom w:w="80" w:type="dxa"/>
              <w:end w:w="90" w:type="dxa"/>
            </w:tcMar>
            <w:vAlign w:val="center"/>
            <w:shd w:fill="f8fbf6"/>
          </w:tcPr>
          <w:p>
            <w:pPr>
              <w:spacing w:before="0" w:after="30" w:line="240" w:lineRule="auto"/>
            </w:pPr>
            <w:r>
              <w:rPr>
                <w:rFonts w:ascii="Aptos" w:hAnsi="Aptos" w:cs="Aptos"/>
                <w:b w:val="0"/>
                <w:color w:val="202020"/>
                <w:sz w:val="15"/>
              </w:rPr>
              <w:t>Forwarding database churn can increase during link changes.</w:t>
            </w:r>
          </w:p>
        </w:tc>
        <w:tc>
          <w:tcPr>
            <w:tcW w:type="dxa" w:w="2376"/>
            <w:tcBorders>
              <w:top w:val="single" w:sz="6" w:space="0" w:color="cfd8cc"/>
              <w:left w:val="single" w:sz="6" w:space="0" w:color="cfd8cc"/>
              <w:bottom w:val="single" w:sz="6" w:space="0" w:color="cfd8cc"/>
              <w:right w:val="single" w:sz="6" w:space="0" w:color="cfd8cc"/>
              <w:insideH w:val="single" w:sz="6" w:space="0" w:color="cfd8cc"/>
              <w:insideV w:val="single" w:sz="6" w:space="0" w:color="cfd8cc"/>
            </w:tcBorders>
            <w:tcMar>
              <w:top w:w="80" w:type="dxa"/>
              <w:start w:w="90" w:type="dxa"/>
              <w:bottom w:w="80" w:type="dxa"/>
              <w:end w:w="90" w:type="dxa"/>
            </w:tcMar>
            <w:vAlign w:val="center"/>
            <w:shd w:fill="f8fbf6"/>
          </w:tcPr>
          <w:p>
            <w:pPr>
              <w:spacing w:before="0" w:after="30" w:line="240" w:lineRule="auto"/>
            </w:pPr>
            <w:r>
              <w:rPr>
                <w:rFonts w:ascii="Aptos" w:hAnsi="Aptos" w:cs="Aptos"/>
                <w:b w:val="0"/>
                <w:color w:val="202020"/>
                <w:sz w:val="15"/>
              </w:rPr>
              <w:t>Unknown unicast flooding and sniffing opportunity.</w:t>
            </w:r>
          </w:p>
        </w:tc>
        <w:tc>
          <w:tcPr>
            <w:tcW w:type="dxa" w:w="2808"/>
            <w:tcBorders>
              <w:top w:val="single" w:sz="6" w:space="0" w:color="cfd8cc"/>
              <w:left w:val="single" w:sz="6" w:space="0" w:color="cfd8cc"/>
              <w:bottom w:val="single" w:sz="6" w:space="0" w:color="cfd8cc"/>
              <w:right w:val="single" w:sz="6" w:space="0" w:color="cfd8cc"/>
              <w:insideH w:val="single" w:sz="6" w:space="0" w:color="cfd8cc"/>
              <w:insideV w:val="single" w:sz="6" w:space="0" w:color="cfd8cc"/>
            </w:tcBorders>
            <w:tcMar>
              <w:top w:w="80" w:type="dxa"/>
              <w:start w:w="90" w:type="dxa"/>
              <w:bottom w:w="80" w:type="dxa"/>
              <w:end w:w="90" w:type="dxa"/>
            </w:tcMar>
            <w:vAlign w:val="center"/>
            <w:shd w:fill="f8fbf6"/>
          </w:tcPr>
          <w:p>
            <w:pPr>
              <w:spacing w:before="0" w:after="30" w:line="240" w:lineRule="auto"/>
            </w:pPr>
            <w:r>
              <w:rPr>
                <w:rFonts w:ascii="Aptos" w:hAnsi="Aptos" w:cs="Aptos"/>
                <w:b w:val="0"/>
                <w:color w:val="202020"/>
                <w:sz w:val="15"/>
              </w:rPr>
              <w:t>Port security, storm control, segmentation.</w:t>
            </w:r>
          </w:p>
        </w:tc>
      </w:tr>
    </w:tbl>
    <w:p>
      <w:pPr>
        <w:keepNext/>
        <w:spacing w:before="140" w:after="60"/>
      </w:pPr>
      <w:r>
        <w:rPr>
          <w:rFonts w:ascii="Aptos" w:hAnsi="Aptos" w:cs="Aptos"/>
          <w:b/>
          <w:color w:val="1F4E12"/>
          <w:sz w:val="23"/>
        </w:rPr>
        <w:t>3. Proposed Security Solutions</w:t>
      </w:r>
    </w:p>
    <w:p>
      <w:pPr>
        <w:spacing w:before="0" w:after="70" w:line="247" w:lineRule="auto"/>
      </w:pPr>
      <w:r>
        <w:rPr>
          <w:rFonts w:ascii="Aptos" w:hAnsi="Aptos" w:cs="Aptos"/>
          <w:b w:val="0"/>
          <w:color w:val="202020"/>
          <w:sz w:val="18"/>
        </w:rPr>
        <w:t>The best defense is layered. RSTP should replace legacy STP where supported because it provides faster convergence and can interoperate with legacy 802.1D bridges when necessary [3]. Edge ports should use PortFast or equivalent edge behavior, but only for end-host ports. BPDU Guard should shut down an edge port if it receives a BPDU, because that indicates a possible unauthorized switch or a cabling mistake [4]. Root Guard and Loop Guard should protect upstream topology stability.</w:t>
      </w:r>
    </w:p>
    <w:p>
      <w:pPr>
        <w:spacing w:before="0" w:after="110" w:line="247" w:lineRule="auto"/>
      </w:pPr>
      <w:r>
        <w:rPr>
          <w:rFonts w:ascii="Aptos" w:hAnsi="Aptos" w:cs="Aptos"/>
          <w:b w:val="0"/>
          <w:color w:val="202020"/>
          <w:sz w:val="18"/>
        </w:rPr>
        <w:t>For address integrity, DHCP Snooping should be enabled globally and per VLAN, with only server-facing uplinks trusted. DAI should validate ARP requests and replies against the DHCP Snooping binding database, while ARP ACLs should cover static hosts [5]. IP Source Guard should permit IP traffic only when the source IP and MAC match a valid binding, helping block spoofed source traffic on Layer 2 access ports [6]. Add 802.1X/NAC, port security, VLAN segmentation, storm control, and centralized logging to make the controls operational rather than only theoretical.</w:t>
      </w:r>
    </w:p>
    <w:p>
      <w:pPr>
        <w:keepNext/>
        <w:spacing w:before="140" w:after="60"/>
      </w:pPr>
      <w:r>
        <w:rPr>
          <w:rFonts w:ascii="Aptos" w:hAnsi="Aptos" w:cs="Aptos"/>
          <w:b/>
          <w:color w:val="1F4E12"/>
          <w:sz w:val="23"/>
        </w:rPr>
        <w:t>4. Implementation Strategy</w:t>
      </w:r>
    </w:p>
    <w:p>
      <w:pPr>
        <w:pStyle w:val="CompactBullet"/>
        <w:spacing w:after="36" w:line="245" w:lineRule="auto"/>
        <w:ind w:left="259" w:hanging="173"/>
      </w:pPr>
      <w:r>
        <w:rPr>
          <w:rFonts w:ascii="Aptos" w:hAnsi="Aptos" w:cs="Aptos"/>
          <w:color w:val="202020"/>
          <w:sz w:val="18"/>
        </w:rPr>
        <w:t>Map the network first: root bridge location, VLANs, trunks, DHCP server/relay ports, static hosts, voice/Wi-Fi/VM ports, and critical services.</w:t>
      </w:r>
    </w:p>
    <w:p>
      <w:pPr>
        <w:pStyle w:val="CompactBullet"/>
        <w:spacing w:after="36" w:line="245" w:lineRule="auto"/>
        <w:ind w:left="259" w:hanging="173"/>
      </w:pPr>
      <w:r>
        <w:rPr>
          <w:rFonts w:ascii="Aptos" w:hAnsi="Aptos" w:cs="Aptos"/>
          <w:color w:val="202020"/>
          <w:sz w:val="18"/>
        </w:rPr>
        <w:t>Enable RSTP/MSTP and set deliberate bridge priorities so the core/distribution layer remains the root. Mark only end-host ports as edge/PortFast.</w:t>
      </w:r>
    </w:p>
    <w:p>
      <w:pPr>
        <w:pStyle w:val="CompactBullet"/>
        <w:spacing w:after="36" w:line="245" w:lineRule="auto"/>
        <w:ind w:left="259" w:hanging="173"/>
      </w:pPr>
      <w:r>
        <w:rPr>
          <w:rFonts w:ascii="Aptos" w:hAnsi="Aptos" w:cs="Aptos"/>
          <w:color w:val="202020"/>
          <w:sz w:val="18"/>
        </w:rPr>
        <w:t>Turn on DHCP Snooping for selected VLANs, trust only uplinks toward DHCP servers or relays, and enable rate limits on access ports.</w:t>
      </w:r>
    </w:p>
    <w:p>
      <w:pPr>
        <w:pStyle w:val="CompactBullet"/>
        <w:spacing w:after="36" w:line="245" w:lineRule="auto"/>
        <w:ind w:left="259" w:hanging="173"/>
      </w:pPr>
      <w:r>
        <w:rPr>
          <w:rFonts w:ascii="Aptos" w:hAnsi="Aptos" w:cs="Aptos"/>
          <w:color w:val="202020"/>
          <w:sz w:val="18"/>
        </w:rPr>
        <w:t>After bindings are stable, enable DAI per VLAN and add ARP ACLs/static bindings for servers, printers, cameras, or devices without DHCP.</w:t>
      </w:r>
    </w:p>
    <w:p>
      <w:pPr>
        <w:pStyle w:val="CompactBullet"/>
        <w:spacing w:after="36" w:line="245" w:lineRule="auto"/>
        <w:ind w:left="259" w:hanging="173"/>
      </w:pPr>
      <w:r>
        <w:rPr>
          <w:rFonts w:ascii="Aptos" w:hAnsi="Aptos" w:cs="Aptos"/>
          <w:color w:val="202020"/>
          <w:sz w:val="18"/>
        </w:rPr>
        <w:t>Enable IP Source Guard on user-facing access ports, then monitor drops, err-disable events, DHCP binding changes, and ARP inspection logs before wider rollout.</w:t>
      </w:r>
    </w:p>
    <w:p>
      <w:pPr>
        <w:keepNext/>
        <w:spacing w:before="140" w:after="60"/>
      </w:pPr>
      <w:r>
        <w:rPr>
          <w:rFonts w:ascii="Aptos" w:hAnsi="Aptos" w:cs="Aptos"/>
          <w:b/>
          <w:color w:val="1F4E12"/>
          <w:sz w:val="23"/>
        </w:rPr>
        <w:t>5. Performance and Compatibility Considerations</w:t>
      </w:r>
    </w:p>
    <w:p>
      <w:pPr>
        <w:spacing w:before="0" w:after="100" w:line="247" w:lineRule="auto"/>
      </w:pPr>
      <w:r>
        <w:rPr>
          <w:rFonts w:ascii="Aptos" w:hAnsi="Aptos" w:cs="Aptos"/>
          <w:b w:val="0"/>
          <w:color w:val="202020"/>
          <w:sz w:val="18"/>
        </w:rPr>
        <w:t>Security controls must not be enabled blindly. DAI performs validation work and is commonly paired with ARP rate limiting to avoid CPU pressure [5]. IP Source Guard consumes hardware filtering resources and can deny all IP traffic if no binding exists for a port [6]. Older switches may support only legacy STP, and mixed environments can force RSTP to interoperate at slower behavior. DHCP Option 82, static addressing, trunk ports, wireless controllers, IP phones, and virtualization hosts require careful testing. A staged deployment with logging-only observation where possible reduces accidental outages.</w:t>
      </w:r>
    </w:p>
    <w:p>
      <w:pPr>
        <w:keepNext/>
        <w:spacing w:before="140" w:after="60"/>
      </w:pPr>
      <w:r>
        <w:rPr>
          <w:rFonts w:ascii="Aptos" w:hAnsi="Aptos" w:cs="Aptos"/>
          <w:b/>
          <w:color w:val="1F4E12"/>
          <w:sz w:val="23"/>
        </w:rPr>
        <w:t>6. Risk Assessment and Mitigation</w:t>
      </w:r>
    </w:p>
    <w:tbl>
      <w:tblPr>
        <w:tblW w:type="auto" w:w="0"/>
        <w:jc w:val="center"/>
        <w:tblLayout w:type="fixed"/>
        <w:tblLook w:firstColumn="1" w:firstRow="1" w:lastColumn="0" w:lastRow="0" w:noHBand="0" w:noVBand="1" w:val="04A0"/>
      </w:tblPr>
      <w:tblGrid>
        <w:gridCol w:w="2488"/>
        <w:gridCol w:w="2488"/>
        <w:gridCol w:w="2488"/>
        <w:gridCol w:w="2488"/>
      </w:tblGrid>
      <w:tr>
        <w:tc>
          <w:tcPr>
            <w:tcW w:type="dxa" w:w="2088"/>
            <w:tcBorders>
              <w:top w:val="single" w:sz="6" w:space="0" w:color="cfd8cc"/>
              <w:left w:val="single" w:sz="6" w:space="0" w:color="cfd8cc"/>
              <w:bottom w:val="single" w:sz="6" w:space="0" w:color="cfd8cc"/>
              <w:right w:val="single" w:sz="6" w:space="0" w:color="cfd8cc"/>
              <w:insideH w:val="single" w:sz="6" w:space="0" w:color="cfd8cc"/>
              <w:insideV w:val="single" w:sz="6" w:space="0" w:color="cfd8cc"/>
            </w:tcBorders>
            <w:tcMar>
              <w:top w:w="80" w:type="dxa"/>
              <w:start w:w="90" w:type="dxa"/>
              <w:bottom w:w="80" w:type="dxa"/>
              <w:end w:w="90" w:type="dxa"/>
            </w:tcMar>
            <w:vAlign w:val="center"/>
            <w:shd w:fill="1f4e12"/>
          </w:tcPr>
          <w:p>
            <w:pPr>
              <w:spacing w:before="0" w:after="30" w:line="240" w:lineRule="auto"/>
            </w:pPr>
            <w:r>
              <w:rPr>
                <w:rFonts w:ascii="Aptos" w:hAnsi="Aptos" w:cs="Aptos"/>
                <w:b/>
                <w:color w:val="FFFFFF"/>
                <w:sz w:val="15"/>
              </w:rPr>
              <w:t>Risk</w:t>
            </w:r>
          </w:p>
        </w:tc>
        <w:tc>
          <w:tcPr>
            <w:tcW w:type="dxa" w:w="1224"/>
            <w:tcBorders>
              <w:top w:val="single" w:sz="6" w:space="0" w:color="cfd8cc"/>
              <w:left w:val="single" w:sz="6" w:space="0" w:color="cfd8cc"/>
              <w:bottom w:val="single" w:sz="6" w:space="0" w:color="cfd8cc"/>
              <w:right w:val="single" w:sz="6" w:space="0" w:color="cfd8cc"/>
              <w:insideH w:val="single" w:sz="6" w:space="0" w:color="cfd8cc"/>
              <w:insideV w:val="single" w:sz="6" w:space="0" w:color="cfd8cc"/>
            </w:tcBorders>
            <w:tcMar>
              <w:top w:w="80" w:type="dxa"/>
              <w:start w:w="90" w:type="dxa"/>
              <w:bottom w:w="80" w:type="dxa"/>
              <w:end w:w="90" w:type="dxa"/>
            </w:tcMar>
            <w:vAlign w:val="center"/>
            <w:shd w:fill="1f4e12"/>
          </w:tcPr>
          <w:p>
            <w:pPr>
              <w:spacing w:before="0" w:after="30" w:line="240" w:lineRule="auto"/>
            </w:pPr>
            <w:r>
              <w:rPr>
                <w:rFonts w:ascii="Aptos" w:hAnsi="Aptos" w:cs="Aptos"/>
                <w:b/>
                <w:color w:val="FFFFFF"/>
                <w:sz w:val="15"/>
              </w:rPr>
              <w:t>Level</w:t>
            </w:r>
          </w:p>
        </w:tc>
        <w:tc>
          <w:tcPr>
            <w:tcW w:type="dxa" w:w="2880"/>
            <w:tcBorders>
              <w:top w:val="single" w:sz="6" w:space="0" w:color="cfd8cc"/>
              <w:left w:val="single" w:sz="6" w:space="0" w:color="cfd8cc"/>
              <w:bottom w:val="single" w:sz="6" w:space="0" w:color="cfd8cc"/>
              <w:right w:val="single" w:sz="6" w:space="0" w:color="cfd8cc"/>
              <w:insideH w:val="single" w:sz="6" w:space="0" w:color="cfd8cc"/>
              <w:insideV w:val="single" w:sz="6" w:space="0" w:color="cfd8cc"/>
            </w:tcBorders>
            <w:tcMar>
              <w:top w:w="80" w:type="dxa"/>
              <w:start w:w="90" w:type="dxa"/>
              <w:bottom w:w="80" w:type="dxa"/>
              <w:end w:w="90" w:type="dxa"/>
            </w:tcMar>
            <w:vAlign w:val="center"/>
            <w:shd w:fill="1f4e12"/>
          </w:tcPr>
          <w:p>
            <w:pPr>
              <w:spacing w:before="0" w:after="30" w:line="240" w:lineRule="auto"/>
            </w:pPr>
            <w:r>
              <w:rPr>
                <w:rFonts w:ascii="Aptos" w:hAnsi="Aptos" w:cs="Aptos"/>
                <w:b/>
                <w:color w:val="FFFFFF"/>
                <w:sz w:val="15"/>
              </w:rPr>
              <w:t>Reason</w:t>
            </w:r>
          </w:p>
        </w:tc>
        <w:tc>
          <w:tcPr>
            <w:tcW w:type="dxa" w:w="3671"/>
            <w:tcBorders>
              <w:top w:val="single" w:sz="6" w:space="0" w:color="cfd8cc"/>
              <w:left w:val="single" w:sz="6" w:space="0" w:color="cfd8cc"/>
              <w:bottom w:val="single" w:sz="6" w:space="0" w:color="cfd8cc"/>
              <w:right w:val="single" w:sz="6" w:space="0" w:color="cfd8cc"/>
              <w:insideH w:val="single" w:sz="6" w:space="0" w:color="cfd8cc"/>
              <w:insideV w:val="single" w:sz="6" w:space="0" w:color="cfd8cc"/>
            </w:tcBorders>
            <w:tcMar>
              <w:top w:w="80" w:type="dxa"/>
              <w:start w:w="90" w:type="dxa"/>
              <w:bottom w:w="80" w:type="dxa"/>
              <w:end w:w="90" w:type="dxa"/>
            </w:tcMar>
            <w:vAlign w:val="center"/>
            <w:shd w:fill="1f4e12"/>
          </w:tcPr>
          <w:p>
            <w:pPr>
              <w:spacing w:before="0" w:after="30" w:line="240" w:lineRule="auto"/>
            </w:pPr>
            <w:r>
              <w:rPr>
                <w:rFonts w:ascii="Aptos" w:hAnsi="Aptos" w:cs="Aptos"/>
                <w:b/>
                <w:color w:val="FFFFFF"/>
                <w:sz w:val="15"/>
              </w:rPr>
              <w:t>Mitigation</w:t>
            </w:r>
          </w:p>
        </w:tc>
      </w:tr>
      <w:tr>
        <w:tc>
          <w:tcPr>
            <w:tcW w:type="dxa" w:w="2088"/>
            <w:tcBorders>
              <w:top w:val="single" w:sz="6" w:space="0" w:color="cfd8cc"/>
              <w:left w:val="single" w:sz="6" w:space="0" w:color="cfd8cc"/>
              <w:bottom w:val="single" w:sz="6" w:space="0" w:color="cfd8cc"/>
              <w:right w:val="single" w:sz="6" w:space="0" w:color="cfd8cc"/>
              <w:insideH w:val="single" w:sz="6" w:space="0" w:color="cfd8cc"/>
              <w:insideV w:val="single" w:sz="6" w:space="0" w:color="cfd8cc"/>
            </w:tcBorders>
            <w:tcMar>
              <w:top w:w="80" w:type="dxa"/>
              <w:start w:w="90" w:type="dxa"/>
              <w:bottom w:w="80" w:type="dxa"/>
              <w:end w:w="90" w:type="dxa"/>
            </w:tcMar>
            <w:vAlign w:val="center"/>
            <w:shd w:fill="f8fbf6"/>
          </w:tcPr>
          <w:p>
            <w:pPr>
              <w:spacing w:before="0" w:after="30" w:line="240" w:lineRule="auto"/>
            </w:pPr>
            <w:r>
              <w:rPr>
                <w:rFonts w:ascii="Aptos" w:hAnsi="Aptos" w:cs="Aptos"/>
                <w:b w:val="0"/>
                <w:color w:val="202020"/>
                <w:sz w:val="15"/>
              </w:rPr>
              <w:t>Rogue DHCP</w:t>
            </w:r>
          </w:p>
        </w:tc>
        <w:tc>
          <w:tcPr>
            <w:tcW w:type="dxa" w:w="1224"/>
            <w:tcBorders>
              <w:top w:val="single" w:sz="6" w:space="0" w:color="cfd8cc"/>
              <w:left w:val="single" w:sz="6" w:space="0" w:color="cfd8cc"/>
              <w:bottom w:val="single" w:sz="6" w:space="0" w:color="cfd8cc"/>
              <w:right w:val="single" w:sz="6" w:space="0" w:color="cfd8cc"/>
              <w:insideH w:val="single" w:sz="6" w:space="0" w:color="cfd8cc"/>
              <w:insideV w:val="single" w:sz="6" w:space="0" w:color="cfd8cc"/>
            </w:tcBorders>
            <w:tcMar>
              <w:top w:w="80" w:type="dxa"/>
              <w:start w:w="90" w:type="dxa"/>
              <w:bottom w:w="80" w:type="dxa"/>
              <w:end w:w="90" w:type="dxa"/>
            </w:tcMar>
            <w:vAlign w:val="center"/>
            <w:shd w:fill="f8fbf6"/>
          </w:tcPr>
          <w:p>
            <w:pPr>
              <w:spacing w:before="0" w:after="30" w:line="240" w:lineRule="auto"/>
            </w:pPr>
            <w:r>
              <w:rPr>
                <w:rFonts w:ascii="Aptos" w:hAnsi="Aptos" w:cs="Aptos"/>
                <w:b w:val="0"/>
                <w:color w:val="202020"/>
                <w:sz w:val="15"/>
              </w:rPr>
              <w:t>High</w:t>
            </w:r>
          </w:p>
        </w:tc>
        <w:tc>
          <w:tcPr>
            <w:tcW w:type="dxa" w:w="2880"/>
            <w:tcBorders>
              <w:top w:val="single" w:sz="6" w:space="0" w:color="cfd8cc"/>
              <w:left w:val="single" w:sz="6" w:space="0" w:color="cfd8cc"/>
              <w:bottom w:val="single" w:sz="6" w:space="0" w:color="cfd8cc"/>
              <w:right w:val="single" w:sz="6" w:space="0" w:color="cfd8cc"/>
              <w:insideH w:val="single" w:sz="6" w:space="0" w:color="cfd8cc"/>
              <w:insideV w:val="single" w:sz="6" w:space="0" w:color="cfd8cc"/>
            </w:tcBorders>
            <w:tcMar>
              <w:top w:w="80" w:type="dxa"/>
              <w:start w:w="90" w:type="dxa"/>
              <w:bottom w:w="80" w:type="dxa"/>
              <w:end w:w="90" w:type="dxa"/>
            </w:tcMar>
            <w:vAlign w:val="center"/>
            <w:shd w:fill="f8fbf6"/>
          </w:tcPr>
          <w:p>
            <w:pPr>
              <w:spacing w:before="0" w:after="30" w:line="240" w:lineRule="auto"/>
            </w:pPr>
            <w:r>
              <w:rPr>
                <w:rFonts w:ascii="Aptos" w:hAnsi="Aptos" w:cs="Aptos"/>
                <w:b w:val="0"/>
                <w:color w:val="202020"/>
                <w:sz w:val="15"/>
              </w:rPr>
              <w:t>Easy to launch from an access port.</w:t>
            </w:r>
          </w:p>
        </w:tc>
        <w:tc>
          <w:tcPr>
            <w:tcW w:type="dxa" w:w="3671"/>
            <w:tcBorders>
              <w:top w:val="single" w:sz="6" w:space="0" w:color="cfd8cc"/>
              <w:left w:val="single" w:sz="6" w:space="0" w:color="cfd8cc"/>
              <w:bottom w:val="single" w:sz="6" w:space="0" w:color="cfd8cc"/>
              <w:right w:val="single" w:sz="6" w:space="0" w:color="cfd8cc"/>
              <w:insideH w:val="single" w:sz="6" w:space="0" w:color="cfd8cc"/>
              <w:insideV w:val="single" w:sz="6" w:space="0" w:color="cfd8cc"/>
            </w:tcBorders>
            <w:tcMar>
              <w:top w:w="80" w:type="dxa"/>
              <w:start w:w="90" w:type="dxa"/>
              <w:bottom w:w="80" w:type="dxa"/>
              <w:end w:w="90" w:type="dxa"/>
            </w:tcMar>
            <w:vAlign w:val="center"/>
            <w:shd w:fill="f8fbf6"/>
          </w:tcPr>
          <w:p>
            <w:pPr>
              <w:spacing w:before="0" w:after="30" w:line="240" w:lineRule="auto"/>
            </w:pPr>
            <w:r>
              <w:rPr>
                <w:rFonts w:ascii="Aptos" w:hAnsi="Aptos" w:cs="Aptos"/>
                <w:b w:val="0"/>
                <w:color w:val="202020"/>
                <w:sz w:val="15"/>
              </w:rPr>
              <w:t>DHCP Snooping, port trust policy, alerts.</w:t>
            </w:r>
          </w:p>
        </w:tc>
      </w:tr>
      <w:tr>
        <w:tc>
          <w:tcPr>
            <w:tcW w:type="dxa" w:w="2088"/>
            <w:tcBorders>
              <w:top w:val="single" w:sz="6" w:space="0" w:color="cfd8cc"/>
              <w:left w:val="single" w:sz="6" w:space="0" w:color="cfd8cc"/>
              <w:bottom w:val="single" w:sz="6" w:space="0" w:color="cfd8cc"/>
              <w:right w:val="single" w:sz="6" w:space="0" w:color="cfd8cc"/>
              <w:insideH w:val="single" w:sz="6" w:space="0" w:color="cfd8cc"/>
              <w:insideV w:val="single" w:sz="6" w:space="0" w:color="cfd8cc"/>
            </w:tcBorders>
            <w:tcMar>
              <w:top w:w="80" w:type="dxa"/>
              <w:start w:w="90" w:type="dxa"/>
              <w:bottom w:w="80" w:type="dxa"/>
              <w:end w:w="90" w:type="dxa"/>
            </w:tcMar>
            <w:vAlign w:val="center"/>
          </w:tcPr>
          <w:p>
            <w:pPr>
              <w:spacing w:before="0" w:after="30" w:line="240" w:lineRule="auto"/>
            </w:pPr>
            <w:r>
              <w:rPr>
                <w:rFonts w:ascii="Aptos" w:hAnsi="Aptos" w:cs="Aptos"/>
                <w:b w:val="0"/>
                <w:color w:val="202020"/>
                <w:sz w:val="15"/>
              </w:rPr>
              <w:t>ARP MITM</w:t>
            </w:r>
          </w:p>
        </w:tc>
        <w:tc>
          <w:tcPr>
            <w:tcW w:type="dxa" w:w="1224"/>
            <w:tcBorders>
              <w:top w:val="single" w:sz="6" w:space="0" w:color="cfd8cc"/>
              <w:left w:val="single" w:sz="6" w:space="0" w:color="cfd8cc"/>
              <w:bottom w:val="single" w:sz="6" w:space="0" w:color="cfd8cc"/>
              <w:right w:val="single" w:sz="6" w:space="0" w:color="cfd8cc"/>
              <w:insideH w:val="single" w:sz="6" w:space="0" w:color="cfd8cc"/>
              <w:insideV w:val="single" w:sz="6" w:space="0" w:color="cfd8cc"/>
            </w:tcBorders>
            <w:tcMar>
              <w:top w:w="80" w:type="dxa"/>
              <w:start w:w="90" w:type="dxa"/>
              <w:bottom w:w="80" w:type="dxa"/>
              <w:end w:w="90" w:type="dxa"/>
            </w:tcMar>
            <w:vAlign w:val="center"/>
          </w:tcPr>
          <w:p>
            <w:pPr>
              <w:spacing w:before="0" w:after="30" w:line="240" w:lineRule="auto"/>
            </w:pPr>
            <w:r>
              <w:rPr>
                <w:rFonts w:ascii="Aptos" w:hAnsi="Aptos" w:cs="Aptos"/>
                <w:b w:val="0"/>
                <w:color w:val="202020"/>
                <w:sz w:val="15"/>
              </w:rPr>
              <w:t>High</w:t>
            </w:r>
          </w:p>
        </w:tc>
        <w:tc>
          <w:tcPr>
            <w:tcW w:type="dxa" w:w="2880"/>
            <w:tcBorders>
              <w:top w:val="single" w:sz="6" w:space="0" w:color="cfd8cc"/>
              <w:left w:val="single" w:sz="6" w:space="0" w:color="cfd8cc"/>
              <w:bottom w:val="single" w:sz="6" w:space="0" w:color="cfd8cc"/>
              <w:right w:val="single" w:sz="6" w:space="0" w:color="cfd8cc"/>
              <w:insideH w:val="single" w:sz="6" w:space="0" w:color="cfd8cc"/>
              <w:insideV w:val="single" w:sz="6" w:space="0" w:color="cfd8cc"/>
            </w:tcBorders>
            <w:tcMar>
              <w:top w:w="80" w:type="dxa"/>
              <w:start w:w="90" w:type="dxa"/>
              <w:bottom w:w="80" w:type="dxa"/>
              <w:end w:w="90" w:type="dxa"/>
            </w:tcMar>
            <w:vAlign w:val="center"/>
          </w:tcPr>
          <w:p>
            <w:pPr>
              <w:spacing w:before="0" w:after="30" w:line="240" w:lineRule="auto"/>
            </w:pPr>
            <w:r>
              <w:rPr>
                <w:rFonts w:ascii="Aptos" w:hAnsi="Aptos" w:cs="Aptos"/>
                <w:b w:val="0"/>
                <w:color w:val="202020"/>
                <w:sz w:val="15"/>
              </w:rPr>
              <w:t>ARP has no built-in authentication [1].</w:t>
            </w:r>
          </w:p>
        </w:tc>
        <w:tc>
          <w:tcPr>
            <w:tcW w:type="dxa" w:w="3671"/>
            <w:tcBorders>
              <w:top w:val="single" w:sz="6" w:space="0" w:color="cfd8cc"/>
              <w:left w:val="single" w:sz="6" w:space="0" w:color="cfd8cc"/>
              <w:bottom w:val="single" w:sz="6" w:space="0" w:color="cfd8cc"/>
              <w:right w:val="single" w:sz="6" w:space="0" w:color="cfd8cc"/>
              <w:insideH w:val="single" w:sz="6" w:space="0" w:color="cfd8cc"/>
              <w:insideV w:val="single" w:sz="6" w:space="0" w:color="cfd8cc"/>
            </w:tcBorders>
            <w:tcMar>
              <w:top w:w="80" w:type="dxa"/>
              <w:start w:w="90" w:type="dxa"/>
              <w:bottom w:w="80" w:type="dxa"/>
              <w:end w:w="90" w:type="dxa"/>
            </w:tcMar>
            <w:vAlign w:val="center"/>
          </w:tcPr>
          <w:p>
            <w:pPr>
              <w:spacing w:before="0" w:after="30" w:line="240" w:lineRule="auto"/>
            </w:pPr>
            <w:r>
              <w:rPr>
                <w:rFonts w:ascii="Aptos" w:hAnsi="Aptos" w:cs="Aptos"/>
                <w:b w:val="0"/>
                <w:color w:val="202020"/>
                <w:sz w:val="15"/>
              </w:rPr>
              <w:t>DAI, IP Source Guard, HTTPS/HSTS.</w:t>
            </w:r>
          </w:p>
        </w:tc>
      </w:tr>
      <w:tr>
        <w:tc>
          <w:tcPr>
            <w:tcW w:type="dxa" w:w="2088"/>
            <w:tcBorders>
              <w:top w:val="single" w:sz="6" w:space="0" w:color="cfd8cc"/>
              <w:left w:val="single" w:sz="6" w:space="0" w:color="cfd8cc"/>
              <w:bottom w:val="single" w:sz="6" w:space="0" w:color="cfd8cc"/>
              <w:right w:val="single" w:sz="6" w:space="0" w:color="cfd8cc"/>
              <w:insideH w:val="single" w:sz="6" w:space="0" w:color="cfd8cc"/>
              <w:insideV w:val="single" w:sz="6" w:space="0" w:color="cfd8cc"/>
            </w:tcBorders>
            <w:tcMar>
              <w:top w:w="80" w:type="dxa"/>
              <w:start w:w="90" w:type="dxa"/>
              <w:bottom w:w="80" w:type="dxa"/>
              <w:end w:w="90" w:type="dxa"/>
            </w:tcMar>
            <w:vAlign w:val="center"/>
            <w:shd w:fill="f8fbf6"/>
          </w:tcPr>
          <w:p>
            <w:pPr>
              <w:spacing w:before="0" w:after="30" w:line="240" w:lineRule="auto"/>
            </w:pPr>
            <w:r>
              <w:rPr>
                <w:rFonts w:ascii="Aptos" w:hAnsi="Aptos" w:cs="Aptos"/>
                <w:b w:val="0"/>
                <w:color w:val="202020"/>
                <w:sz w:val="15"/>
              </w:rPr>
              <w:t>BPDU attack</w:t>
            </w:r>
          </w:p>
        </w:tc>
        <w:tc>
          <w:tcPr>
            <w:tcW w:type="dxa" w:w="1224"/>
            <w:tcBorders>
              <w:top w:val="single" w:sz="6" w:space="0" w:color="cfd8cc"/>
              <w:left w:val="single" w:sz="6" w:space="0" w:color="cfd8cc"/>
              <w:bottom w:val="single" w:sz="6" w:space="0" w:color="cfd8cc"/>
              <w:right w:val="single" w:sz="6" w:space="0" w:color="cfd8cc"/>
              <w:insideH w:val="single" w:sz="6" w:space="0" w:color="cfd8cc"/>
              <w:insideV w:val="single" w:sz="6" w:space="0" w:color="cfd8cc"/>
            </w:tcBorders>
            <w:tcMar>
              <w:top w:w="80" w:type="dxa"/>
              <w:start w:w="90" w:type="dxa"/>
              <w:bottom w:w="80" w:type="dxa"/>
              <w:end w:w="90" w:type="dxa"/>
            </w:tcMar>
            <w:vAlign w:val="center"/>
            <w:shd w:fill="f8fbf6"/>
          </w:tcPr>
          <w:p>
            <w:pPr>
              <w:spacing w:before="0" w:after="30" w:line="240" w:lineRule="auto"/>
            </w:pPr>
            <w:r>
              <w:rPr>
                <w:rFonts w:ascii="Aptos" w:hAnsi="Aptos" w:cs="Aptos"/>
                <w:b w:val="0"/>
                <w:color w:val="202020"/>
                <w:sz w:val="15"/>
              </w:rPr>
              <w:t>Medium-High</w:t>
            </w:r>
          </w:p>
        </w:tc>
        <w:tc>
          <w:tcPr>
            <w:tcW w:type="dxa" w:w="2880"/>
            <w:tcBorders>
              <w:top w:val="single" w:sz="6" w:space="0" w:color="cfd8cc"/>
              <w:left w:val="single" w:sz="6" w:space="0" w:color="cfd8cc"/>
              <w:bottom w:val="single" w:sz="6" w:space="0" w:color="cfd8cc"/>
              <w:right w:val="single" w:sz="6" w:space="0" w:color="cfd8cc"/>
              <w:insideH w:val="single" w:sz="6" w:space="0" w:color="cfd8cc"/>
              <w:insideV w:val="single" w:sz="6" w:space="0" w:color="cfd8cc"/>
            </w:tcBorders>
            <w:tcMar>
              <w:top w:w="80" w:type="dxa"/>
              <w:start w:w="90" w:type="dxa"/>
              <w:bottom w:w="80" w:type="dxa"/>
              <w:end w:w="90" w:type="dxa"/>
            </w:tcMar>
            <w:vAlign w:val="center"/>
            <w:shd w:fill="f8fbf6"/>
          </w:tcPr>
          <w:p>
            <w:pPr>
              <w:spacing w:before="0" w:after="30" w:line="240" w:lineRule="auto"/>
            </w:pPr>
            <w:r>
              <w:rPr>
                <w:rFonts w:ascii="Aptos" w:hAnsi="Aptos" w:cs="Aptos"/>
                <w:b w:val="0"/>
                <w:color w:val="202020"/>
                <w:sz w:val="15"/>
              </w:rPr>
              <w:t>Can alter forwarding or create instability.</w:t>
            </w:r>
          </w:p>
        </w:tc>
        <w:tc>
          <w:tcPr>
            <w:tcW w:type="dxa" w:w="3671"/>
            <w:tcBorders>
              <w:top w:val="single" w:sz="6" w:space="0" w:color="cfd8cc"/>
              <w:left w:val="single" w:sz="6" w:space="0" w:color="cfd8cc"/>
              <w:bottom w:val="single" w:sz="6" w:space="0" w:color="cfd8cc"/>
              <w:right w:val="single" w:sz="6" w:space="0" w:color="cfd8cc"/>
              <w:insideH w:val="single" w:sz="6" w:space="0" w:color="cfd8cc"/>
              <w:insideV w:val="single" w:sz="6" w:space="0" w:color="cfd8cc"/>
            </w:tcBorders>
            <w:tcMar>
              <w:top w:w="80" w:type="dxa"/>
              <w:start w:w="90" w:type="dxa"/>
              <w:bottom w:w="80" w:type="dxa"/>
              <w:end w:w="90" w:type="dxa"/>
            </w:tcMar>
            <w:vAlign w:val="center"/>
            <w:shd w:fill="f8fbf6"/>
          </w:tcPr>
          <w:p>
            <w:pPr>
              <w:spacing w:before="0" w:after="30" w:line="240" w:lineRule="auto"/>
            </w:pPr>
            <w:r>
              <w:rPr>
                <w:rFonts w:ascii="Aptos" w:hAnsi="Aptos" w:cs="Aptos"/>
                <w:b w:val="0"/>
                <w:color w:val="202020"/>
                <w:sz w:val="15"/>
              </w:rPr>
              <w:t>BPDU Guard, Root Guard, known root bridge.</w:t>
            </w:r>
          </w:p>
        </w:tc>
      </w:tr>
      <w:tr>
        <w:tc>
          <w:tcPr>
            <w:tcW w:type="dxa" w:w="2088"/>
            <w:tcBorders>
              <w:top w:val="single" w:sz="6" w:space="0" w:color="cfd8cc"/>
              <w:left w:val="single" w:sz="6" w:space="0" w:color="cfd8cc"/>
              <w:bottom w:val="single" w:sz="6" w:space="0" w:color="cfd8cc"/>
              <w:right w:val="single" w:sz="6" w:space="0" w:color="cfd8cc"/>
              <w:insideH w:val="single" w:sz="6" w:space="0" w:color="cfd8cc"/>
              <w:insideV w:val="single" w:sz="6" w:space="0" w:color="cfd8cc"/>
            </w:tcBorders>
            <w:tcMar>
              <w:top w:w="80" w:type="dxa"/>
              <w:start w:w="90" w:type="dxa"/>
              <w:bottom w:w="80" w:type="dxa"/>
              <w:end w:w="90" w:type="dxa"/>
            </w:tcMar>
            <w:vAlign w:val="center"/>
          </w:tcPr>
          <w:p>
            <w:pPr>
              <w:spacing w:before="0" w:after="30" w:line="240" w:lineRule="auto"/>
            </w:pPr>
            <w:r>
              <w:rPr>
                <w:rFonts w:ascii="Aptos" w:hAnsi="Aptos" w:cs="Aptos"/>
                <w:b w:val="0"/>
                <w:color w:val="202020"/>
                <w:sz w:val="15"/>
              </w:rPr>
              <w:t>Control misconfiguration</w:t>
            </w:r>
          </w:p>
        </w:tc>
        <w:tc>
          <w:tcPr>
            <w:tcW w:type="dxa" w:w="1224"/>
            <w:tcBorders>
              <w:top w:val="single" w:sz="6" w:space="0" w:color="cfd8cc"/>
              <w:left w:val="single" w:sz="6" w:space="0" w:color="cfd8cc"/>
              <w:bottom w:val="single" w:sz="6" w:space="0" w:color="cfd8cc"/>
              <w:right w:val="single" w:sz="6" w:space="0" w:color="cfd8cc"/>
              <w:insideH w:val="single" w:sz="6" w:space="0" w:color="cfd8cc"/>
              <w:insideV w:val="single" w:sz="6" w:space="0" w:color="cfd8cc"/>
            </w:tcBorders>
            <w:tcMar>
              <w:top w:w="80" w:type="dxa"/>
              <w:start w:w="90" w:type="dxa"/>
              <w:bottom w:w="80" w:type="dxa"/>
              <w:end w:w="90" w:type="dxa"/>
            </w:tcMar>
            <w:vAlign w:val="center"/>
          </w:tcPr>
          <w:p>
            <w:pPr>
              <w:spacing w:before="0" w:after="30" w:line="240" w:lineRule="auto"/>
            </w:pPr>
            <w:r>
              <w:rPr>
                <w:rFonts w:ascii="Aptos" w:hAnsi="Aptos" w:cs="Aptos"/>
                <w:b w:val="0"/>
                <w:color w:val="202020"/>
                <w:sz w:val="15"/>
              </w:rPr>
              <w:t>High</w:t>
            </w:r>
          </w:p>
        </w:tc>
        <w:tc>
          <w:tcPr>
            <w:tcW w:type="dxa" w:w="2880"/>
            <w:tcBorders>
              <w:top w:val="single" w:sz="6" w:space="0" w:color="cfd8cc"/>
              <w:left w:val="single" w:sz="6" w:space="0" w:color="cfd8cc"/>
              <w:bottom w:val="single" w:sz="6" w:space="0" w:color="cfd8cc"/>
              <w:right w:val="single" w:sz="6" w:space="0" w:color="cfd8cc"/>
              <w:insideH w:val="single" w:sz="6" w:space="0" w:color="cfd8cc"/>
              <w:insideV w:val="single" w:sz="6" w:space="0" w:color="cfd8cc"/>
            </w:tcBorders>
            <w:tcMar>
              <w:top w:w="80" w:type="dxa"/>
              <w:start w:w="90" w:type="dxa"/>
              <w:bottom w:w="80" w:type="dxa"/>
              <w:end w:w="90" w:type="dxa"/>
            </w:tcMar>
            <w:vAlign w:val="center"/>
          </w:tcPr>
          <w:p>
            <w:pPr>
              <w:spacing w:before="0" w:after="30" w:line="240" w:lineRule="auto"/>
            </w:pPr>
            <w:r>
              <w:rPr>
                <w:rFonts w:ascii="Aptos" w:hAnsi="Aptos" w:cs="Aptos"/>
                <w:b w:val="0"/>
                <w:color w:val="202020"/>
                <w:sz w:val="15"/>
              </w:rPr>
              <w:t>Security controls can block valid traffic.</w:t>
            </w:r>
          </w:p>
        </w:tc>
        <w:tc>
          <w:tcPr>
            <w:tcW w:type="dxa" w:w="3671"/>
            <w:tcBorders>
              <w:top w:val="single" w:sz="6" w:space="0" w:color="cfd8cc"/>
              <w:left w:val="single" w:sz="6" w:space="0" w:color="cfd8cc"/>
              <w:bottom w:val="single" w:sz="6" w:space="0" w:color="cfd8cc"/>
              <w:right w:val="single" w:sz="6" w:space="0" w:color="cfd8cc"/>
              <w:insideH w:val="single" w:sz="6" w:space="0" w:color="cfd8cc"/>
              <w:insideV w:val="single" w:sz="6" w:space="0" w:color="cfd8cc"/>
            </w:tcBorders>
            <w:tcMar>
              <w:top w:w="80" w:type="dxa"/>
              <w:start w:w="90" w:type="dxa"/>
              <w:bottom w:w="80" w:type="dxa"/>
              <w:end w:w="90" w:type="dxa"/>
            </w:tcMar>
            <w:vAlign w:val="center"/>
          </w:tcPr>
          <w:p>
            <w:pPr>
              <w:spacing w:before="0" w:after="30" w:line="240" w:lineRule="auto"/>
            </w:pPr>
            <w:r>
              <w:rPr>
                <w:rFonts w:ascii="Aptos" w:hAnsi="Aptos" w:cs="Aptos"/>
                <w:b w:val="0"/>
                <w:color w:val="202020"/>
                <w:sz w:val="15"/>
              </w:rPr>
              <w:t>Pilot VLANs, rollback plan, documented exceptions.</w:t>
            </w:r>
          </w:p>
        </w:tc>
      </w:tr>
      <w:tr>
        <w:tc>
          <w:tcPr>
            <w:tcW w:type="dxa" w:w="2088"/>
            <w:tcBorders>
              <w:top w:val="single" w:sz="6" w:space="0" w:color="cfd8cc"/>
              <w:left w:val="single" w:sz="6" w:space="0" w:color="cfd8cc"/>
              <w:bottom w:val="single" w:sz="6" w:space="0" w:color="cfd8cc"/>
              <w:right w:val="single" w:sz="6" w:space="0" w:color="cfd8cc"/>
              <w:insideH w:val="single" w:sz="6" w:space="0" w:color="cfd8cc"/>
              <w:insideV w:val="single" w:sz="6" w:space="0" w:color="cfd8cc"/>
            </w:tcBorders>
            <w:tcMar>
              <w:top w:w="80" w:type="dxa"/>
              <w:start w:w="90" w:type="dxa"/>
              <w:bottom w:w="80" w:type="dxa"/>
              <w:end w:w="90" w:type="dxa"/>
            </w:tcMar>
            <w:vAlign w:val="center"/>
            <w:shd w:fill="f8fbf6"/>
          </w:tcPr>
          <w:p>
            <w:pPr>
              <w:spacing w:before="0" w:after="30" w:line="240" w:lineRule="auto"/>
            </w:pPr>
            <w:r>
              <w:rPr>
                <w:rFonts w:ascii="Aptos" w:hAnsi="Aptos" w:cs="Aptos"/>
                <w:b w:val="0"/>
                <w:color w:val="202020"/>
                <w:sz w:val="15"/>
              </w:rPr>
              <w:t>Legacy compatibility</w:t>
            </w:r>
          </w:p>
        </w:tc>
        <w:tc>
          <w:tcPr>
            <w:tcW w:type="dxa" w:w="1224"/>
            <w:tcBorders>
              <w:top w:val="single" w:sz="6" w:space="0" w:color="cfd8cc"/>
              <w:left w:val="single" w:sz="6" w:space="0" w:color="cfd8cc"/>
              <w:bottom w:val="single" w:sz="6" w:space="0" w:color="cfd8cc"/>
              <w:right w:val="single" w:sz="6" w:space="0" w:color="cfd8cc"/>
              <w:insideH w:val="single" w:sz="6" w:space="0" w:color="cfd8cc"/>
              <w:insideV w:val="single" w:sz="6" w:space="0" w:color="cfd8cc"/>
            </w:tcBorders>
            <w:tcMar>
              <w:top w:w="80" w:type="dxa"/>
              <w:start w:w="90" w:type="dxa"/>
              <w:bottom w:w="80" w:type="dxa"/>
              <w:end w:w="90" w:type="dxa"/>
            </w:tcMar>
            <w:vAlign w:val="center"/>
            <w:shd w:fill="f8fbf6"/>
          </w:tcPr>
          <w:p>
            <w:pPr>
              <w:spacing w:before="0" w:after="30" w:line="240" w:lineRule="auto"/>
            </w:pPr>
            <w:r>
              <w:rPr>
                <w:rFonts w:ascii="Aptos" w:hAnsi="Aptos" w:cs="Aptos"/>
                <w:b w:val="0"/>
                <w:color w:val="202020"/>
                <w:sz w:val="15"/>
              </w:rPr>
              <w:t>Medium</w:t>
            </w:r>
          </w:p>
        </w:tc>
        <w:tc>
          <w:tcPr>
            <w:tcW w:type="dxa" w:w="2880"/>
            <w:tcBorders>
              <w:top w:val="single" w:sz="6" w:space="0" w:color="cfd8cc"/>
              <w:left w:val="single" w:sz="6" w:space="0" w:color="cfd8cc"/>
              <w:bottom w:val="single" w:sz="6" w:space="0" w:color="cfd8cc"/>
              <w:right w:val="single" w:sz="6" w:space="0" w:color="cfd8cc"/>
              <w:insideH w:val="single" w:sz="6" w:space="0" w:color="cfd8cc"/>
              <w:insideV w:val="single" w:sz="6" w:space="0" w:color="cfd8cc"/>
            </w:tcBorders>
            <w:tcMar>
              <w:top w:w="80" w:type="dxa"/>
              <w:start w:w="90" w:type="dxa"/>
              <w:bottom w:w="80" w:type="dxa"/>
              <w:end w:w="90" w:type="dxa"/>
            </w:tcMar>
            <w:vAlign w:val="center"/>
            <w:shd w:fill="f8fbf6"/>
          </w:tcPr>
          <w:p>
            <w:pPr>
              <w:spacing w:before="0" w:after="30" w:line="240" w:lineRule="auto"/>
            </w:pPr>
            <w:r>
              <w:rPr>
                <w:rFonts w:ascii="Aptos" w:hAnsi="Aptos" w:cs="Aptos"/>
                <w:b w:val="0"/>
                <w:color w:val="202020"/>
                <w:sz w:val="15"/>
              </w:rPr>
              <w:t>Old devices may not support every feature.</w:t>
            </w:r>
          </w:p>
        </w:tc>
        <w:tc>
          <w:tcPr>
            <w:tcW w:type="dxa" w:w="3671"/>
            <w:tcBorders>
              <w:top w:val="single" w:sz="6" w:space="0" w:color="cfd8cc"/>
              <w:left w:val="single" w:sz="6" w:space="0" w:color="cfd8cc"/>
              <w:bottom w:val="single" w:sz="6" w:space="0" w:color="cfd8cc"/>
              <w:right w:val="single" w:sz="6" w:space="0" w:color="cfd8cc"/>
              <w:insideH w:val="single" w:sz="6" w:space="0" w:color="cfd8cc"/>
              <w:insideV w:val="single" w:sz="6" w:space="0" w:color="cfd8cc"/>
            </w:tcBorders>
            <w:tcMar>
              <w:top w:w="80" w:type="dxa"/>
              <w:start w:w="90" w:type="dxa"/>
              <w:bottom w:w="80" w:type="dxa"/>
              <w:end w:w="90" w:type="dxa"/>
            </w:tcMar>
            <w:vAlign w:val="center"/>
            <w:shd w:fill="f8fbf6"/>
          </w:tcPr>
          <w:p>
            <w:pPr>
              <w:spacing w:before="0" w:after="30" w:line="240" w:lineRule="auto"/>
            </w:pPr>
            <w:r>
              <w:rPr>
                <w:rFonts w:ascii="Aptos" w:hAnsi="Aptos" w:cs="Aptos"/>
                <w:b w:val="0"/>
                <w:color w:val="202020"/>
                <w:sz w:val="15"/>
              </w:rPr>
              <w:t>Phased rollout and vendor-specific testing.</w:t>
            </w:r>
          </w:p>
        </w:tc>
      </w:tr>
    </w:tbl>
    <w:p>
      <w:pPr>
        <w:keepNext/>
        <w:spacing w:before="140" w:after="60"/>
      </w:pPr>
      <w:r>
        <w:rPr>
          <w:rFonts w:ascii="Aptos" w:hAnsi="Aptos" w:cs="Aptos"/>
          <w:b/>
          <w:color w:val="1F4E12"/>
          <w:sz w:val="23"/>
        </w:rPr>
        <w:t>7. Future Enhancements and Emerging Solutions</w:t>
      </w:r>
    </w:p>
    <w:p>
      <w:pPr>
        <w:spacing w:before="0" w:after="100" w:line="247" w:lineRule="auto"/>
      </w:pPr>
      <w:r>
        <w:rPr>
          <w:rFonts w:ascii="Aptos" w:hAnsi="Aptos" w:cs="Aptos"/>
          <w:b w:val="0"/>
          <w:color w:val="202020"/>
          <w:sz w:val="18"/>
        </w:rPr>
        <w:t>Future work should extend the design beyond IPv4 access switching. IPv6 networks need RA Guard, DHCPv6 Guard, Neighbor Discovery inspection, and source validation. 802.1X with dynamic VLAN assignment can prevent unknown devices from reaching production segments at all. MACsec can protect traffic on sensitive switch-to-switch links. Software-defined access and EVPN/VXLAN fabrics can reduce flat Layer 2 blast radius, while telemetry can correlate STP topology changes, DHCP binding updates, ARP inspection drops, and certificate warnings into a single incident view.</w:t>
      </w:r>
    </w:p>
    <w:p>
      <w:pPr>
        <w:keepNext/>
        <w:spacing w:before="140" w:after="60"/>
      </w:pPr>
      <w:r>
        <w:rPr>
          <w:rFonts w:ascii="Aptos" w:hAnsi="Aptos" w:cs="Aptos"/>
          <w:b/>
          <w:color w:val="1F4E12"/>
          <w:sz w:val="23"/>
        </w:rPr>
        <w:t>8. Conclusion</w:t>
      </w:r>
    </w:p>
    <w:p>
      <w:pPr>
        <w:spacing w:before="0" w:after="100" w:line="247" w:lineRule="auto"/>
      </w:pPr>
      <w:r>
        <w:rPr>
          <w:rFonts w:ascii="Aptos" w:hAnsi="Aptos" w:cs="Aptos"/>
          <w:b w:val="0"/>
          <w:color w:val="202020"/>
          <w:sz w:val="18"/>
        </w:rPr>
        <w:t>Layer 2 security is a foundation for every higher-layer defense. STP/RSTP keeps the LAN loop-free, DHCP makes addressing manageable, and ARP enables local delivery, but together they create trust assumptions that attackers can abuse. The most practical solution is not one feature but a coordinated baseline: stable RSTP design, protected edge ports, DHCP Snooping, DAI, IP Source Guard, port security, segmentation, and continuous monitoring. With these controls, reconvergence becomes a managed availability event instead of an opportunity for man-in-the-middle attacks or denial of service.</w:t>
      </w:r>
    </w:p>
    <w:p>
      <w:pPr>
        <w:keepNext/>
        <w:spacing w:before="140" w:after="60"/>
      </w:pPr>
      <w:r>
        <w:rPr>
          <w:rFonts w:ascii="Aptos" w:hAnsi="Aptos" w:cs="Aptos"/>
          <w:b/>
          <w:color w:val="1F4E12"/>
          <w:sz w:val="23"/>
        </w:rPr>
        <w:t>9. References</w:t>
      </w:r>
    </w:p>
    <w:p>
      <w:pPr>
        <w:spacing w:before="0" w:after="30" w:line="240" w:lineRule="auto"/>
        <w:ind w:left="259" w:hanging="259"/>
      </w:pPr>
      <w:r>
        <w:rPr>
          <w:rFonts w:ascii="Aptos" w:hAnsi="Aptos" w:cs="Aptos"/>
          <w:b w:val="0"/>
          <w:color w:val="202020"/>
          <w:sz w:val="15"/>
        </w:rPr>
        <w:t>[1] D. C. Plummer, RFC 826: An Ethernet Address Resolution Protocol, IETF, 1982. https://datatracker.ietf.org/doc/html/rfc826</w:t>
      </w:r>
    </w:p>
    <w:p>
      <w:pPr>
        <w:spacing w:before="0" w:after="30" w:line="240" w:lineRule="auto"/>
        <w:ind w:left="259" w:hanging="259"/>
      </w:pPr>
      <w:r>
        <w:rPr>
          <w:rFonts w:ascii="Aptos" w:hAnsi="Aptos" w:cs="Aptos"/>
          <w:b w:val="0"/>
          <w:color w:val="202020"/>
          <w:sz w:val="15"/>
        </w:rPr>
        <w:t>[2] R. Droms, RFC 2131: Dynamic Host Configuration Protocol, IETF, 1997. https://www.rfc-editor.org/rfc/rfc2131</w:t>
      </w:r>
    </w:p>
    <w:p>
      <w:pPr>
        <w:spacing w:before="0" w:after="30" w:line="240" w:lineRule="auto"/>
        <w:ind w:left="259" w:hanging="259"/>
      </w:pPr>
      <w:r>
        <w:rPr>
          <w:rFonts w:ascii="Aptos" w:hAnsi="Aptos" w:cs="Aptos"/>
          <w:b w:val="0"/>
          <w:color w:val="202020"/>
          <w:sz w:val="15"/>
        </w:rPr>
        <w:t>[3] Cisco, Understand Rapid Spanning Tree Protocol (802.1w). https://www.cisco.com/c/en/us/support/docs/lan-switching/spanning-tree-protocol/24062-146.html</w:t>
      </w:r>
    </w:p>
    <w:p>
      <w:pPr>
        <w:spacing w:before="0" w:after="30" w:line="240" w:lineRule="auto"/>
        <w:ind w:left="259" w:hanging="259"/>
      </w:pPr>
      <w:r>
        <w:rPr>
          <w:rFonts w:ascii="Aptos" w:hAnsi="Aptos" w:cs="Aptos"/>
          <w:b w:val="0"/>
          <w:color w:val="202020"/>
          <w:sz w:val="15"/>
        </w:rPr>
        <w:t>[4] Cisco, Understand the Spanning Tree PortFast BPDU Guard Enhancement. https://www.cisco.com/c/en/us/support/docs/lan-switching/spanning-tree-protocol/10586-65.html</w:t>
      </w:r>
    </w:p>
    <w:p>
      <w:pPr>
        <w:spacing w:before="0" w:after="30" w:line="240" w:lineRule="auto"/>
        <w:ind w:left="259" w:hanging="259"/>
      </w:pPr>
      <w:r>
        <w:rPr>
          <w:rFonts w:ascii="Aptos" w:hAnsi="Aptos" w:cs="Aptos"/>
          <w:b w:val="0"/>
          <w:color w:val="202020"/>
          <w:sz w:val="15"/>
        </w:rPr>
        <w:t>[5] Cisco, Configuring Dynamic ARP Inspection. https://www.cisco.com/c/en/us/td/docs/switches/lan/catalyst9500/software/release/17-13/configuration_guide/sec/b_1713_sec_9500_cg/configuring_dynamic_arp_inspection.pdf</w:t>
      </w:r>
    </w:p>
    <w:p>
      <w:pPr>
        <w:spacing w:before="0" w:after="30" w:line="240" w:lineRule="auto"/>
        <w:ind w:left="259" w:hanging="259"/>
      </w:pPr>
      <w:r>
        <w:rPr>
          <w:rFonts w:ascii="Aptos" w:hAnsi="Aptos" w:cs="Aptos"/>
          <w:b w:val="0"/>
          <w:color w:val="202020"/>
          <w:sz w:val="15"/>
        </w:rPr>
        <w:t>[6] Cisco, Configuring DHCP Features and IP Source Guard. https://www.cisco.com/c/en/us/td/docs/switches/connectedgrid/cgsswitch_master/software/configuration/guide/security/Security/sec_dhcp82.html</w:t>
      </w:r>
    </w:p>
    <w:sectPr w:rsidR="00FC693F" w:rsidRPr="0006063C" w:rsidSect="00034616">
      <w:footerReference w:type="default" r:id="rId9"/>
      <w:pgSz w:w="11909" w:h="16834"/>
      <w:pgMar w:top="936" w:right="979" w:bottom="792" w:left="979"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rFonts w:ascii="Aptos" w:hAnsi="Aptos" w:cs="Aptos"/>
        <w:color w:val="666666"/>
        <w:sz w:val="16"/>
      </w:rPr>
      <w:t xml:space="preserve">COMP432 Computer Security | Layer 2 Defense Study | Page </w:t>
    </w: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202020"/>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mpactBullet">
    <w:name w:val="Compact Bullet"/>
    <w:basedOn w:val="Normal"/>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Securing Layer 2 Networks: STP-DHCP Reconvergence Attacks and Defense Strategies</dc:title>
  <dc:subject>COMP432 - Computer Security</dc:subject>
  <dc:creator>Osama Abu jarad</dc:creator>
  <cp:keywords>Layer 2, STP, DHCP, ARP, DAI, BPDU Guard, IP Source Guard, MITM</cp:keywords>
  <dc:description>generated by python-docx</dc:description>
  <cp:lastModifiedBy/>
  <cp:revision>1</cp:revision>
  <dcterms:created xsi:type="dcterms:W3CDTF">2013-12-23T23:15:00Z</dcterms:created>
  <dcterms:modified xsi:type="dcterms:W3CDTF">2013-12-23T23:15:00Z</dcterms:modified>
  <cp:category/>
</cp:coreProperties>
</file>