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Revision Alignment for the TLS 1.3 Document Family</w:t>
      </w:r>
    </w:p>
    <w:p>
      <w:pPr/>
      <w:r>
        <w:t>The revision-alignment stage receives collected document revisions, parsed and segmented clauses, and document metadata from the preceding collection, segmentation, and metadata stages. It produces correspondence hypotheses between consecutive versions, persistent clause lineages, change indicators, provenance, and review artifacts. These outputs make it possible to trace how a requirement develops without treating every textual edit as evidence of ambiguity. They provide the Ground Truth team with a reproducible starting point for verifying alignment, explaining revision intent, and subsequently assigning ambiguity labels.</w:t>
      </w:r>
    </w:p>
    <w:p>
      <w:pPr>
        <w:pStyle w:val="Heading2"/>
      </w:pPr>
      <w:r>
        <w:t>Revision Alignment Overview</w:t>
      </w:r>
    </w:p>
    <w:p>
      <w:pPr/>
      <w:r>
        <w:t>Internet-Drafts evolve through corrections, reorganizations, additions, and technical redesign. A clause identifier identifies an occurrence in one source document; it does not, by itself, establish that another occurrence in a later revision expresses the same requirement. Revision alignment supplies that correspondence layer. Without it, downstream annotation may compare unrelated passages or mistake a section renumbering, insertion, split, or merge for a substantive change to a particular requirement.</w:t>
      </w:r>
    </w:p>
    <w:p>
      <w:pPr/>
      <w:r>
        <w:t>This chapter concerns correspondence and its engineering validation. It does not repeat the collection protocol, parser design, full ambiguity taxonomy, benchmark design, or model-training methodology assigned to other project stages. The implementation consumes those stages' existing outputs and retains their provenance. Its responsibility is to establish a transparent, revisable connection between clause occurrences and to expose uncertainty wherever correspondence cannot be supported reliably.</w:t>
      </w:r>
    </w:p>
    <w:p>
      <w:pPr>
        <w:pStyle w:val="Figure"/>
        <w:jc w:val="center"/>
      </w:pPr>
      <w:r>
        <w:drawing>
          <wp:inline xmlns:a="http://schemas.openxmlformats.org/drawingml/2006/main" xmlns:pic="http://schemas.openxmlformats.org/drawingml/2006/picture">
            <wp:extent cx="5943600" cy="891540"/>
            <wp:docPr id="1" name="Picture 1" descr="The project pipeline places revision alignment between metadata extraction and Ground Truth, with later benchmark and model stages outside this chapter." title="project pipeline"/>
            <wp:cNvGraphicFramePr>
              <a:graphicFrameLocks noChangeAspect="1"/>
            </wp:cNvGraphicFramePr>
            <a:graphic>
              <a:graphicData uri="http://schemas.openxmlformats.org/drawingml/2006/picture">
                <pic:pic>
                  <pic:nvPicPr>
                    <pic:cNvPr id="0" name="project_pipeline.png"/>
                    <pic:cNvPicPr/>
                  </pic:nvPicPr>
                  <pic:blipFill>
                    <a:blip r:embed="rId9"/>
                    <a:stretch>
                      <a:fillRect/>
                    </a:stretch>
                  </pic:blipFill>
                  <pic:spPr>
                    <a:xfrm>
                      <a:off x="0" y="0"/>
                      <a:ext cx="5943600" cy="891540"/>
                    </a:xfrm>
                    <a:prstGeom prst="rect"/>
                  </pic:spPr>
                </pic:pic>
              </a:graphicData>
            </a:graphic>
          </wp:inline>
        </w:drawing>
      </w:r>
    </w:p>
    <w:p>
      <w:pPr>
        <w:pStyle w:val="Caption"/>
        <w:keepNext w:val="0"/>
      </w:pPr>
      <w:r>
        <w:t>Position of revision alignment in the project pipeline. Only the TLS alignment stage is claimed complete by this chapter.</w:t>
      </w:r>
    </w:p>
    <w:p>
      <w:pPr/>
      <w:r>
        <w:t>Three decisions are kept separate. An alignment relationship describes correspondence, such as MODIFIED or SPLIT. A revision reason describes why the author changed the document, such as editorial improvement or ambiguity clarification. An ambiguity label describes whether the assessed clause permits problematic interpretations. Neither alignment scores nor the presence of a change establishes the second or third decision. Similarly, NORMATIVE, CONTEXTUAL, EXCLUDED, and MANUAL_REVIEW describe upstream clause treatment; they are not ambiguity labels.</w:t>
      </w:r>
    </w:p>
    <w:p>
      <w:pPr/>
      <w:r>
        <w:t>The implementation was assessed using deterministic tests and an independent artifact audit. Its empirical alignment quality remains unmeasured because no manually verified gold alignment scope was supplied. Throughout this chapter, “validated” refers to the stated software, structural, provenance, or temporal checks, not to human confirmation that every correspondence is correct.</w:t>
      </w:r>
    </w:p>
    <w:p>
      <w:pPr>
        <w:pStyle w:val="Heading2"/>
      </w:pPr>
      <w:r>
        <w:t>Scope of the TLS Pilot</w:t>
      </w:r>
    </w:p>
    <w:p>
      <w:pPr/>
      <w:r>
        <w:t>The pilot covers one document family: the 29 collected TLS 1.3 drafts, revisions 00–28, followed by RFC8446, the August 2018 TLS 1.3 specification [RA-3]. These form 30 documents and 29 consecutive alignment problems. The endpoint is the historically selected RFC8446; this is not a claim about the latest current TLS specification. The design leaves room for later families, while discovery and orchestration deliberately remain TLS-specific in this milestone.</w:t>
      </w:r>
    </w:p>
    <w:p>
      <w:pPr/>
      <w:r>
        <w:t>Included capabilities are input validation, immutable snapshot preparation, conservative normalization, exact and structural anchors, semantic and lexical candidates, globally consistent assignment, basic split/merge/move detection, uncertain alternatives, confidence bands, review routing, lineage, and guarded draft-history features. Missing clause snapshots for TLS-22 and RFC8446 were generated with the existing deterministic parser and segmentation pipeline only inside a new alignment run. No LLM refinement was invoked for those preparations.</w:t>
      </w:r>
    </w:p>
    <w:p>
      <w:pPr/>
      <w:r>
        <w:t>Excluded activities are processing another family, ambiguity Ground Truth construction, revision-reason classification, final benchmark assembly, ambiguity-detector training, family-level generalization experiments, and protocol holdout evaluation. The lexical backend supplies a reproducible comparison mode; only the preserved early and late smoke pairs were run in both lexical and semantic modes. A complete lexical timeline comparison was not performed.</w:t>
      </w:r>
    </w:p>
    <w:p>
      <w:pPr>
        <w:pStyle w:val="Figure"/>
        <w:jc w:val="center"/>
      </w:pPr>
      <w:r>
        <w:drawing>
          <wp:inline xmlns:a="http://schemas.openxmlformats.org/drawingml/2006/main" xmlns:pic="http://schemas.openxmlformats.org/drawingml/2006/picture">
            <wp:extent cx="5943600" cy="1040130"/>
            <wp:docPr id="2" name="Picture 2" descr="TLS drafts 00, 01, 02, continuing through 27 and 28, are aligned only to their next revision, with draft 28 then aligned to RFC8446." title="consecutive versions"/>
            <wp:cNvGraphicFramePr>
              <a:graphicFrameLocks noChangeAspect="1"/>
            </wp:cNvGraphicFramePr>
            <a:graphic>
              <a:graphicData uri="http://schemas.openxmlformats.org/drawingml/2006/picture">
                <pic:pic>
                  <pic:nvPicPr>
                    <pic:cNvPr id="0" name="consecutive_versions.png"/>
                    <pic:cNvPicPr/>
                  </pic:nvPicPr>
                  <pic:blipFill>
                    <a:blip r:embed="rId10"/>
                    <a:stretch>
                      <a:fillRect/>
                    </a:stretch>
                  </pic:blipFill>
                  <pic:spPr>
                    <a:xfrm>
                      <a:off x="0" y="0"/>
                      <a:ext cx="5943600" cy="1040130"/>
                    </a:xfrm>
                    <a:prstGeom prst="rect"/>
                  </pic:spPr>
                </pic:pic>
              </a:graphicData>
            </a:graphic>
          </wp:inline>
        </w:drawing>
      </w:r>
    </w:p>
    <w:p>
      <w:pPr>
        <w:pStyle w:val="Caption"/>
        <w:keepNext w:val="0"/>
      </w:pPr>
      <w:r>
        <w:t>Consecutive version alignment. The ellipsis represents the intervening collected revisions, not omitted pairs.</w:t>
      </w:r>
    </w:p>
    <w:p>
      <w:pPr>
        <w:pStyle w:val="Heading2"/>
      </w:pPr>
      <w:r>
        <w:t>Initial Repository and Data State</w:t>
      </w:r>
    </w:p>
    <w:p>
      <w:pPr/>
      <w:r>
        <w:t>The repository already contained collection scripts and metadata manifests, TXT/XML structural parsing, and deterministic block-to-clause segmentation. The existing clause schema supplied occurrence identifiers, parent section and block information, original text, source locations, block-relative character spans, references, BCP 14 keywords, classifications, and classification evidence. These abstractions were reused rather than silently replaced.</w:t>
      </w:r>
    </w:p>
    <w:p>
      <w:pPr/>
      <w:r>
        <w:t>The preferred updated input collection contained 28 TLS snapshots. TLS-22 and RFC8446 did not have corresponding preferred clause snapshots. Older deterministic clause outputs also existed, but the alignment runner does not silently substitute them for updated classifications. The two missing snapshots were prepared in the run directory and marked as prepared. This makes their different classification provenance visible to reviewers. All other snapshots preserve the existing rule and LLM extension fields through the clause adapter.</w:t>
      </w:r>
    </w:p>
    <w:p>
      <w:pPr/>
      <w:r>
        <w:t>Occurrence IDs remain specific to document, section, block, and clause position. They are stable for the same parsed source but are not assumed to persist unchanged across revisions. An independent lineage identifier supplies continuity after alignment. The adapter also checks that clause document/revision identities agree with their envelope and that the character-span length equals the original text length.</w:t>
      </w:r>
    </w:p>
    <w:p>
      <w:pPr/>
      <w:r>
        <w:t>Document metadata presents two temporal limitations. Draft dates have day-level precision, and revisions 00 and 01 share the same submission date, 17 April 2014. RFC metadata has month-level precision: a first-of-month value is not treated as an exact publication timestamp. The RFC's conservative availability bound is the end of its reported month. The final-draft association is checked against RFC metadata. The shared draft–RFC link manifest was empty at chapter inspection; the TLS runner therefore relies on the explicitly checked RFC record, rather than claiming an independently populated link table.</w:t>
      </w:r>
    </w:p>
    <w:p>
      <w:pPr/>
      <w:r>
        <w:t>Initial reproducibility constraints included an existing Windows Conda environment, previously generated user data, a pinned local embedding model, and preserved partial runs. The implementation had to avoid overwriting any existing clause output, silently downloading a different model revision, or treating a partially written run as successful. Appendix A identifies reused and added files; appendices I–K separate retained development evidence from facts that cannot be reconstructed from raw logs.</w:t>
      </w:r>
    </w:p>
    <w:p>
      <w:pPr>
        <w:pStyle w:val="Heading2"/>
      </w:pPr>
      <w:r>
        <w:t>Alignment Methodology</w:t>
      </w:r>
    </w:p>
    <w:p>
      <w:pPr>
        <w:pStyle w:val="Heading3"/>
      </w:pPr>
      <w:r>
        <w:t>Document-family timeline construction</w:t>
      </w:r>
    </w:p>
    <w:p>
      <w:pPr/>
      <w:r>
        <w:t>The timeline is constructed from the TLS metadata record. Revisions are sorted numerically and must form a complete sequence beginning at 00; gaps, duplicate revision numbers, and non-numerical identifiers fail clearly. Submission dates must not decrease as the revision number increases. Consecutive pairs are formed after validation. Equal dates are permitted for validated numerical predecessors; chronology is not fabricated at an hour or minute resolution.</w:t>
      </w:r>
    </w:p>
    <w:p>
      <w:pPr/>
      <w:r>
        <w:t>RFC8446 is appended only when its metadata associates it with the last collected draft and its publication month follows the final draft under the implemented conservative check. A conflicting association or date requires better evidence. The reusable conceptual contract does not assume that every draft family becomes an RFC, although this pilot's expected complete timeline contains RFC8446.</w:t>
      </w:r>
    </w:p>
    <w:p>
      <w:pPr>
        <w:pStyle w:val="Heading3"/>
      </w:pPr>
      <w:r>
        <w:t>Immutable input snapshots</w:t>
      </w:r>
    </w:p>
    <w:p>
      <w:pPr/>
      <w:r>
        <w:t>The runner rejects an existing output directory. It writes a request record before processing and then stores one enriched snapshot per input document through exclusive file creation. Original raw-source and preferred-input hashes are retained separately from each serialized snapshot hash. Prepared snapshots identify their raw source and deterministic origin; they do not claim LLM refinement.</w:t>
      </w:r>
    </w:p>
    <w:p>
      <w:pPr/>
      <w:r>
        <w:t>Immutability here is an application-level exclusive-write policy backed by hash audits, not an operating-system read-only lock. A user could still edit a file externally, but the recorded hashes expose such changes. Failed and stopped directories are retained and never reused for a later attempt. Embedding caches are separate, content-addressed resources whose stored arrays are verified before reuse.</w:t>
      </w:r>
    </w:p>
    <w:p>
      <w:pPr>
        <w:pStyle w:val="Heading3"/>
      </w:pPr>
      <w:r>
        <w:t>Clause adaptation and enrichment</w:t>
      </w:r>
    </w:p>
    <w:p>
      <w:pPr/>
      <w:r>
        <w:t>The clause adapter preserves the existing segmentation fields and accepts extra classification/​provenance fields for backward compatibility. A document envelope adds family identity, revision, publication and availability dates, date precision, source/input hashes, and preparation status. It checks unique occurrence IDs and positions, ordered positions, nonempty text, and identity consistency. Gaps in clause position values are not equated with missing draft revisions.</w:t>
      </w:r>
    </w:p>
    <w:p>
      <w:pPr/>
      <w:r>
        <w:t>The adapter does not invent correspondence from an occurrence ID. It retains section paths, block types, references, BCP 14 keywords, and source locations as evidence for scoring and review. Classification transitions are reported for human attention; they do not automatically become revision reasons or ambiguity findings.</w:t>
      </w:r>
    </w:p>
    <w:p>
      <w:pPr>
        <w:pStyle w:val="Heading3"/>
      </w:pPr>
      <w:r>
        <w:t>Conservative normalization</w:t>
      </w:r>
    </w:p>
    <w:p>
      <w:pPr/>
      <w:r>
        <w:t>Normalization uses Unicode NFC and consistent line endings. Prose receives whitespace consolidation. An explicit leading list bullet may be removed, while numerical and alphabetical markers remain because they may be protocol identifiers. Artwork, source code, tables, and formal syntax retain multiline structure; trailing spaces are removed conservatively. Both original and normalized text remain available.</w:t>
      </w:r>
    </w:p>
    <w:p>
      <w:pPr/>
      <w:r>
        <w:t>The alignment normalizer does not independently strip arbitrary headers or footers: presentation-noise handling belongs to the reused parser. It does not lowercase the stored normalized text, remove negation, erase numbers, or collapse modal distinctions. Preserving BCP 14 capitalization supports inspection of requirement strength [RA-1, RA-2]. Lexical and signature components may case-fold their own comparison tokens without rewriting the preserved source.</w:t>
      </w:r>
    </w:p>
    <w:p>
      <w:pPr>
        <w:pStyle w:val="Heading3"/>
      </w:pPr>
      <w:r>
        <w:t>Structural correspondence</w:t>
      </w:r>
    </w:p>
    <w:p>
      <w:pPr/>
      <w:r>
        <w:t>For each source section heading, candidate retrieval identifies the most similar target heading and includes nearby target sections. Ties use deterministic section order. Section identifiers and paths are preserved, but the implemented weighted structural score is section-heading similarity, not a separate learned or path-based structural model. Renumbering alone therefore does not determine correspondence.</w:t>
      </w:r>
    </w:p>
    <w:p>
      <w:pPr/>
      <w:r>
        <w:t>Block compatibility is 1.0 for identical block types, 0.8 across paragraph/​list-​item/​definition combinations, and zero for other type changes. Incompatible candidates are discarded. Relative clause position provides a weak preference, not an absolute monotonicity constraint. This allows strong correspondence to survive document reorganization.</w:t>
      </w:r>
    </w:p>
    <w:p>
      <w:pPr>
        <w:pStyle w:val="Heading3"/>
      </w:pPr>
      <w:r>
        <w:t>Exact anchors</w:t>
      </w:r>
    </w:p>
    <w:p>
      <w:pPr/>
      <w:r>
        <w:t>Normalized exact-text matches are retrieved explicitly. A match is locked only when its text is unique on both sides, it contains at least six distinctive content tokens, and its structural score is exactly one. Short or repeated boilerplate is not locked merely because identical wording occurs in both versions. Other exact matches remain candidates and can be displaced or marked uncertain.</w:t>
      </w:r>
    </w:p>
    <w:p>
      <w:pPr/>
      <w:r>
        <w:t>Exact candidates receive a combined score of one, but that score is not a calibrated probability. A locked anchor can still have review reasons, including a classification transition or a detected movement. An effectively unchanged text can therefore require review even when its correspondence is straightforward.</w:t>
      </w:r>
    </w:p>
    <w:p>
      <w:pPr>
        <w:pStyle w:val="Heading3"/>
      </w:pPr>
      <w:r>
        <w:t>Semantic candidate matching</w:t>
      </w:r>
    </w:p>
    <w:p>
      <w:pPr/>
      <w:r>
        <w:t>Retrieval is bidirectional. Each direction searches heading-​corresponding and nearby sections first, then adds controlled document-wide candidates to recover moved clauses. The semantic mode uses local and global embedding ranks, a lexical-overlap union, and exact matches. The lexical mode uses reproducible content-overlap rankings without loading a model. Both directions are combined into a deterministically ordered graph.</w:t>
      </w:r>
    </w:p>
    <w:p>
      <w:pPr/>
      <w:r>
        <w:t>Defaults retain local top-10 and global top-5 retrieval contributions with a neighboring-section window of one. Because the graph is a union of several retrieval routes and both directions, this does not impose a strict final degree of fifteen candidates per clause. Component scoring and the candidate floor remove weak edges afterward. A candidate is a possible relationship, not an accepted link.</w:t>
      </w:r>
    </w:p>
    <w:p>
      <w:pPr>
        <w:pStyle w:val="Figure"/>
        <w:jc w:val="center"/>
      </w:pPr>
      <w:r>
        <w:drawing>
          <wp:inline xmlns:a="http://schemas.openxmlformats.org/drawingml/2006/main" xmlns:pic="http://schemas.openxmlformats.org/drawingml/2006/picture">
            <wp:extent cx="5943600" cy="1882140"/>
            <wp:docPr id="3" name="Picture 3" descr="Input snapshots feed exact and structural anchors, candidate retrieval, global selection, relationship decisions, and then lineage, review and guarded features." title="alignment architecture"/>
            <wp:cNvGraphicFramePr>
              <a:graphicFrameLocks noChangeAspect="1"/>
            </wp:cNvGraphicFramePr>
            <a:graphic>
              <a:graphicData uri="http://schemas.openxmlformats.org/drawingml/2006/picture">
                <pic:pic>
                  <pic:nvPicPr>
                    <pic:cNvPr id="0" name="alignment_architecture.png"/>
                    <pic:cNvPicPr/>
                  </pic:nvPicPr>
                  <pic:blipFill>
                    <a:blip r:embed="rId11"/>
                    <a:stretch>
                      <a:fillRect/>
                    </a:stretch>
                  </pic:blipFill>
                  <pic:spPr>
                    <a:xfrm>
                      <a:off x="0" y="0"/>
                      <a:ext cx="5943600" cy="1882140"/>
                    </a:xfrm>
                    <a:prstGeom prst="rect"/>
                  </pic:spPr>
                </pic:pic>
              </a:graphicData>
            </a:graphic>
          </wp:inline>
        </w:drawing>
      </w:r>
    </w:p>
    <w:p>
      <w:pPr>
        <w:pStyle w:val="Caption"/>
        <w:keepNext w:val="0"/>
      </w:pPr>
      <w:r>
        <w:t>Architecture of the implemented stage. Candidate generation and relationship decisions are separate operations.</w:t>
      </w:r>
    </w:p>
    <w:p>
      <w:pPr>
        <w:pStyle w:val="Heading3"/>
      </w:pPr>
      <w:r>
        <w:t>Scoring components</w:t>
      </w:r>
    </w:p>
    <w:p>
      <w:pPr/>
      <w:r>
        <w:t>Each one-to-one candidate stores semantic, lexical, structural, relative-position and block-compatibility scores, together with actor, modal, negation, number, identifier, condition, and reference consistency. Missing semantic scores are null in lexical mode. The protected-​information contribution averages the seven consistency measures; a changed number or actor reduces correspondence evidence modestly rather than proving that the clauses are unrelated.</w:t>
      </w:r>
    </w:p>
    <w:p>
      <w:pPr>
        <w:pStyle w:val="Caption"/>
        <w:keepNext/>
      </w:pPr>
      <w:r>
        <w:t>Default weighted correspondence components. Settings are development choices requiring later calibration.</w:t>
      </w:r>
    </w:p>
    <w:tbl>
      <w:tblPr>
        <w:tblStyle w:val="TableGrid"/>
        <w:tblW w:type="auto" w:w="0"/>
        <w:jc w:val="center"/>
        <w:tblLayout w:type="fixed"/>
        <w:tblLook w:firstColumn="1" w:firstRow="1" w:lastColumn="0" w:lastRow="0" w:noHBand="0" w:noVBand="1" w:val="04A0"/>
      </w:tblPr>
      <w:tblGrid>
        <w:gridCol w:w="2952"/>
        <w:gridCol w:w="2016"/>
        <w:gridCol w:w="4392"/>
      </w:tblGrid>
      <w:tr>
        <w:trPr>
          <w:tblHeader w:val="true"/>
          <w:cantSplit/>
        </w:trPr>
        <w:tc>
          <w:tcPr>
            <w:tcW w:type="dxa" w:w="2952"/>
            <w:vAlign w:val="top"/>
            <w:tcMar>
              <w:top w:w="40" w:type="dxa"/>
              <w:left w:w="65" w:type="dxa"/>
              <w:bottom w:w="35" w:type="dxa"/>
              <w:right w:w="65" w:type="dxa"/>
            </w:tcMar>
          </w:tcPr>
          <w:p>
            <w:pPr>
              <w:pStyle w:val="TableHeader"/>
            </w:pPr>
            <w:r>
              <w:t>Component</w:t>
            </w:r>
          </w:p>
        </w:tc>
        <w:tc>
          <w:tcPr>
            <w:tcW w:type="dxa" w:w="2016"/>
            <w:vAlign w:val="top"/>
            <w:tcMar>
              <w:top w:w="40" w:type="dxa"/>
              <w:left w:w="65" w:type="dxa"/>
              <w:bottom w:w="35" w:type="dxa"/>
              <w:right w:w="65" w:type="dxa"/>
            </w:tcMar>
          </w:tcPr>
          <w:p>
            <w:pPr>
              <w:pStyle w:val="TableHeader"/>
            </w:pPr>
            <w:r>
              <w:t>Weight</w:t>
            </w:r>
          </w:p>
        </w:tc>
        <w:tc>
          <w:tcPr>
            <w:tcW w:type="dxa" w:w="4392"/>
            <w:vAlign w:val="top"/>
            <w:tcMar>
              <w:top w:w="40" w:type="dxa"/>
              <w:left w:w="65" w:type="dxa"/>
              <w:bottom w:w="35" w:type="dxa"/>
              <w:right w:w="65" w:type="dxa"/>
            </w:tcMar>
          </w:tcPr>
          <w:p>
            <w:pPr>
              <w:pStyle w:val="TableHeader"/>
            </w:pPr>
            <w:r>
              <w:t>Implemented interpretation</w:t>
            </w:r>
          </w:p>
        </w:tc>
      </w:tr>
      <w:tr>
        <w:trPr>
          <w:cantSplit/>
        </w:trPr>
        <w:tc>
          <w:tcPr>
            <w:tcW w:type="dxa" w:w="2952"/>
            <w:vAlign w:val="top"/>
            <w:tcMar>
              <w:top w:w="40" w:type="dxa"/>
              <w:left w:w="65" w:type="dxa"/>
              <w:bottom w:w="35" w:type="dxa"/>
              <w:right w:w="65" w:type="dxa"/>
            </w:tcMar>
          </w:tcPr>
          <w:p>
            <w:pPr>
              <w:pStyle w:val="TableText"/>
            </w:pPr>
            <w:r>
              <w:t>Semantic</w:t>
            </w:r>
          </w:p>
        </w:tc>
        <w:tc>
          <w:tcPr>
            <w:tcW w:type="dxa" w:w="2016"/>
            <w:vAlign w:val="top"/>
            <w:tcMar>
              <w:top w:w="40" w:type="dxa"/>
              <w:left w:w="65" w:type="dxa"/>
              <w:bottom w:w="35" w:type="dxa"/>
              <w:right w:w="65" w:type="dxa"/>
            </w:tcMar>
          </w:tcPr>
          <w:p>
            <w:pPr>
              <w:pStyle w:val="TableText"/>
            </w:pPr>
            <w:r>
              <w:t>0.38</w:t>
            </w:r>
          </w:p>
        </w:tc>
        <w:tc>
          <w:tcPr>
            <w:tcW w:type="dxa" w:w="4392"/>
            <w:vAlign w:val="top"/>
            <w:tcMar>
              <w:top w:w="40" w:type="dxa"/>
              <w:left w:w="65" w:type="dxa"/>
              <w:bottom w:w="35" w:type="dxa"/>
              <w:right w:w="65" w:type="dxa"/>
            </w:tcMar>
          </w:tcPr>
          <w:p>
            <w:pPr>
              <w:pStyle w:val="TableText"/>
            </w:pPr>
            <w:r>
              <w:t>Nonnegative cosine similarity between normalized clause vectors</w:t>
            </w:r>
          </w:p>
        </w:tc>
      </w:tr>
      <w:tr>
        <w:trPr>
          <w:cantSplit/>
        </w:trPr>
        <w:tc>
          <w:tcPr>
            <w:tcW w:type="dxa" w:w="2952"/>
            <w:vAlign w:val="top"/>
            <w:tcMar>
              <w:top w:w="40" w:type="dxa"/>
              <w:left w:w="65" w:type="dxa"/>
              <w:bottom w:w="35" w:type="dxa"/>
              <w:right w:w="65" w:type="dxa"/>
            </w:tcMar>
          </w:tcPr>
          <w:p>
            <w:pPr>
              <w:pStyle w:val="TableText"/>
            </w:pPr>
            <w:r>
              <w:t>Lexical</w:t>
            </w:r>
          </w:p>
        </w:tc>
        <w:tc>
          <w:tcPr>
            <w:tcW w:type="dxa" w:w="2016"/>
            <w:vAlign w:val="top"/>
            <w:tcMar>
              <w:top w:w="40" w:type="dxa"/>
              <w:left w:w="65" w:type="dxa"/>
              <w:bottom w:w="35" w:type="dxa"/>
              <w:right w:w="65" w:type="dxa"/>
            </w:tcMar>
          </w:tcPr>
          <w:p>
            <w:pPr>
              <w:pStyle w:val="TableText"/>
            </w:pPr>
            <w:r>
              <w:t>0.38</w:t>
            </w:r>
          </w:p>
        </w:tc>
        <w:tc>
          <w:tcPr>
            <w:tcW w:type="dxa" w:w="4392"/>
            <w:vAlign w:val="top"/>
            <w:tcMar>
              <w:top w:w="40" w:type="dxa"/>
              <w:left w:w="65" w:type="dxa"/>
              <w:bottom w:w="35" w:type="dxa"/>
              <w:right w:w="65" w:type="dxa"/>
            </w:tcMar>
          </w:tcPr>
          <w:p>
            <w:pPr>
              <w:pStyle w:val="TableText"/>
            </w:pPr>
            <w:r>
              <w:t>0.6 multiset token overlap plus 0.4 character similarity</w:t>
            </w:r>
          </w:p>
        </w:tc>
      </w:tr>
      <w:tr>
        <w:trPr>
          <w:cantSplit/>
        </w:trPr>
        <w:tc>
          <w:tcPr>
            <w:tcW w:type="dxa" w:w="2952"/>
            <w:vAlign w:val="top"/>
            <w:tcMar>
              <w:top w:w="40" w:type="dxa"/>
              <w:left w:w="65" w:type="dxa"/>
              <w:bottom w:w="35" w:type="dxa"/>
              <w:right w:w="65" w:type="dxa"/>
            </w:tcMar>
          </w:tcPr>
          <w:p>
            <w:pPr>
              <w:pStyle w:val="TableText"/>
            </w:pPr>
            <w:r>
              <w:t>Structural</w:t>
            </w:r>
          </w:p>
        </w:tc>
        <w:tc>
          <w:tcPr>
            <w:tcW w:type="dxa" w:w="2016"/>
            <w:vAlign w:val="top"/>
            <w:tcMar>
              <w:top w:w="40" w:type="dxa"/>
              <w:left w:w="65" w:type="dxa"/>
              <w:bottom w:w="35" w:type="dxa"/>
              <w:right w:w="65" w:type="dxa"/>
            </w:tcMar>
          </w:tcPr>
          <w:p>
            <w:pPr>
              <w:pStyle w:val="TableText"/>
            </w:pPr>
            <w:r>
              <w:t>0.12</w:t>
            </w:r>
          </w:p>
        </w:tc>
        <w:tc>
          <w:tcPr>
            <w:tcW w:type="dxa" w:w="4392"/>
            <w:vAlign w:val="top"/>
            <w:tcMar>
              <w:top w:w="40" w:type="dxa"/>
              <w:left w:w="65" w:type="dxa"/>
              <w:bottom w:w="35" w:type="dxa"/>
              <w:right w:w="65" w:type="dxa"/>
            </w:tcMar>
          </w:tcPr>
          <w:p>
            <w:pPr>
              <w:pStyle w:val="TableText"/>
            </w:pPr>
            <w:r>
              <w:t>Case-folded section-heading similarity</w:t>
            </w:r>
          </w:p>
        </w:tc>
      </w:tr>
      <w:tr>
        <w:trPr>
          <w:cantSplit/>
        </w:trPr>
        <w:tc>
          <w:tcPr>
            <w:tcW w:type="dxa" w:w="2952"/>
            <w:vAlign w:val="top"/>
            <w:tcMar>
              <w:top w:w="40" w:type="dxa"/>
              <w:left w:w="65" w:type="dxa"/>
              <w:bottom w:w="35" w:type="dxa"/>
              <w:right w:w="65" w:type="dxa"/>
            </w:tcMar>
          </w:tcPr>
          <w:p>
            <w:pPr>
              <w:pStyle w:val="TableText"/>
            </w:pPr>
            <w:r>
              <w:t>Position</w:t>
            </w:r>
          </w:p>
        </w:tc>
        <w:tc>
          <w:tcPr>
            <w:tcW w:type="dxa" w:w="2016"/>
            <w:vAlign w:val="top"/>
            <w:tcMar>
              <w:top w:w="40" w:type="dxa"/>
              <w:left w:w="65" w:type="dxa"/>
              <w:bottom w:w="35" w:type="dxa"/>
              <w:right w:w="65" w:type="dxa"/>
            </w:tcMar>
          </w:tcPr>
          <w:p>
            <w:pPr>
              <w:pStyle w:val="TableText"/>
            </w:pPr>
            <w:r>
              <w:t>0.04</w:t>
            </w:r>
          </w:p>
        </w:tc>
        <w:tc>
          <w:tcPr>
            <w:tcW w:type="dxa" w:w="4392"/>
            <w:vAlign w:val="top"/>
            <w:tcMar>
              <w:top w:w="40" w:type="dxa"/>
              <w:left w:w="65" w:type="dxa"/>
              <w:bottom w:w="35" w:type="dxa"/>
              <w:right w:w="65" w:type="dxa"/>
            </w:tcMar>
          </w:tcPr>
          <w:p>
            <w:pPr>
              <w:pStyle w:val="TableText"/>
            </w:pPr>
            <w:r>
              <w:t>One minus normalized positional distance</w:t>
            </w:r>
          </w:p>
        </w:tc>
      </w:tr>
      <w:tr>
        <w:trPr>
          <w:cantSplit/>
        </w:trPr>
        <w:tc>
          <w:tcPr>
            <w:tcW w:type="dxa" w:w="2952"/>
            <w:vAlign w:val="top"/>
            <w:tcMar>
              <w:top w:w="40" w:type="dxa"/>
              <w:left w:w="65" w:type="dxa"/>
              <w:bottom w:w="35" w:type="dxa"/>
              <w:right w:w="65" w:type="dxa"/>
            </w:tcMar>
          </w:tcPr>
          <w:p>
            <w:pPr>
              <w:pStyle w:val="TableText"/>
            </w:pPr>
            <w:r>
              <w:t>Block</w:t>
            </w:r>
          </w:p>
        </w:tc>
        <w:tc>
          <w:tcPr>
            <w:tcW w:type="dxa" w:w="2016"/>
            <w:vAlign w:val="top"/>
            <w:tcMar>
              <w:top w:w="40" w:type="dxa"/>
              <w:left w:w="65" w:type="dxa"/>
              <w:bottom w:w="35" w:type="dxa"/>
              <w:right w:w="65" w:type="dxa"/>
            </w:tcMar>
          </w:tcPr>
          <w:p>
            <w:pPr>
              <w:pStyle w:val="TableText"/>
            </w:pPr>
            <w:r>
              <w:t>0.04</w:t>
            </w:r>
          </w:p>
        </w:tc>
        <w:tc>
          <w:tcPr>
            <w:tcW w:type="dxa" w:w="4392"/>
            <w:vAlign w:val="top"/>
            <w:tcMar>
              <w:top w:w="40" w:type="dxa"/>
              <w:left w:w="65" w:type="dxa"/>
              <w:bottom w:w="35" w:type="dxa"/>
              <w:right w:w="65" w:type="dxa"/>
            </w:tcMar>
          </w:tcPr>
          <w:p>
            <w:pPr>
              <w:pStyle w:val="TableText"/>
            </w:pPr>
            <w:r>
              <w:t>Identical or compatible block-type evidence</w:t>
            </w:r>
          </w:p>
        </w:tc>
      </w:tr>
      <w:tr>
        <w:trPr>
          <w:cantSplit/>
        </w:trPr>
        <w:tc>
          <w:tcPr>
            <w:tcW w:type="dxa" w:w="2952"/>
            <w:vAlign w:val="top"/>
            <w:tcMar>
              <w:top w:w="40" w:type="dxa"/>
              <w:left w:w="65" w:type="dxa"/>
              <w:bottom w:w="35" w:type="dxa"/>
              <w:right w:w="65" w:type="dxa"/>
            </w:tcMar>
          </w:tcPr>
          <w:p>
            <w:pPr>
              <w:pStyle w:val="TableText"/>
            </w:pPr>
            <w:r>
              <w:t>Protected information</w:t>
            </w:r>
          </w:p>
        </w:tc>
        <w:tc>
          <w:tcPr>
            <w:tcW w:type="dxa" w:w="2016"/>
            <w:vAlign w:val="top"/>
            <w:tcMar>
              <w:top w:w="40" w:type="dxa"/>
              <w:left w:w="65" w:type="dxa"/>
              <w:bottom w:w="35" w:type="dxa"/>
              <w:right w:w="65" w:type="dxa"/>
            </w:tcMar>
          </w:tcPr>
          <w:p>
            <w:pPr>
              <w:pStyle w:val="TableText"/>
            </w:pPr>
            <w:r>
              <w:t>0.04</w:t>
            </w:r>
          </w:p>
        </w:tc>
        <w:tc>
          <w:tcPr>
            <w:tcW w:type="dxa" w:w="4392"/>
            <w:vAlign w:val="top"/>
            <w:tcMar>
              <w:top w:w="40" w:type="dxa"/>
              <w:left w:w="65" w:type="dxa"/>
              <w:bottom w:w="35" w:type="dxa"/>
              <w:right w:w="65" w:type="dxa"/>
            </w:tcMar>
          </w:tcPr>
          <w:p>
            <w:pPr>
              <w:pStyle w:val="TableText"/>
            </w:pPr>
            <w:r>
              <w:t>Mean actor/​modal/​negation/​number/​identifier/​condition/​reference consistency</w:t>
            </w:r>
          </w:p>
        </w:tc>
      </w:tr>
    </w:tbl>
    <w:p>
      <w:pPr>
        <w:spacing w:after="0"/>
      </w:pPr>
    </w:p>
    <w:p>
      <w:pPr/>
      <w:r>
        <w:t>The combined score is the weighted mean over available components. The semantic weights sum to one; lexical mode renormalizes over the remaining terms. Token multiset overlap is twice the shared token count divided by the total token count. Character and heading similarity use RapidFuzz ratios. Set consistency uses intersection over union, with two empty sets treated as agreement. This last convention can make sparse evidence look consistent, so a high protected score is not proof that all relevant protocol semantics were extracted.</w:t>
      </w:r>
    </w:p>
    <w:p>
      <w:pPr/>
      <w:r>
        <w:t>The token and signature rules preserve useful protocol cues, including hexadecimal constants and selected actor/condition terms, but they are surface heuristics. They do not perform full role resolution, logical equivalence checking, or protocol field parsing. All components remain available for error analysis rather than being hidden behind a single score.</w:t>
      </w:r>
    </w:p>
    <w:p>
      <w:pPr>
        <w:pStyle w:val="Heading3"/>
      </w:pPr>
      <w:r>
        <w:t>Embedding model</w:t>
      </w:r>
    </w:p>
    <w:p>
      <w:pPr/>
      <w:r>
        <w:t>The semantic backend uses the generic all-MiniLM-L6-v2 sentence-​transformer model, whose published model card describes 384-dimensional sentence and short-paragraph embeddings [RA-5]. The use of comparable sentence vectors follows the sentence-embedding approach described by Reimers and Gurevych [RA-4]. The pilot selected a compact, locally executable model rather than training a TLS-specific encoder.</w:t>
      </w:r>
    </w:p>
    <w:p>
      <w:pPr/>
      <w:r>
        <w:t>The exact model revision is 1110a243fdf4706b​3f48f1d95db1a4f5​529b4d41.​ The model artifact records all snapshot file hashes, tokenizer metadata, package versions, CPU execution, batch size 32, overlap 32, and the effective token limit. The final run loaded a local snapshot without hosted inference calls. A modern encoder's historical training corpus may contain later standards material; input-date guards do not remove that distinct contamination risk.</w:t>
      </w:r>
    </w:p>
    <w:p>
      <w:pPr>
        <w:pStyle w:val="Heading3"/>
      </w:pPr>
      <w:r>
        <w:t>Long-clause windowing</w:t>
      </w:r>
    </w:p>
    <w:p>
      <w:pPr/>
      <w:r>
        <w:t>The model's effective sequence limit is the minimum finite limit declared by the sentence-​transformer wrapper, tokenizer, and underlying transformer capacity. The final model limit is 256 encoded tokens. Two required special tokens leave 254 content-token positions. Each clause is tokenized once into original IDs and partitioned into overlapping windows of at most 254 IDs, with 32-token overlap and a nominal stride of 222.</w:t>
      </w:r>
    </w:p>
    <w:p>
      <w:pPr/>
      <w:r>
        <w:t>Prepared token-ID features are forwarded directly through the encoder module stack. The implementation does not decode a window and assume retokenization preserves its length. Special-token construction is checked against the supported BERT template when the installed tokenizer lacks the legacy preparation API. Each prepared window and padded batch must fit the effective limit; failures are explicit, not silent truncation.</w:t>
      </w:r>
    </w:p>
    <w:p>
      <w:pPr/>
      <w:r>
        <w:t>For the original TLS-08 regression clause, 935 source IDs are covered by five half-open intervals: [0,254), [222,476), [444,698), [666,920), and [888,935). Encoded lengths are 256, 256, 256, 256, and 49. Source bounds, content-token hashes, clause ownership and encoded lengths are saved. The next start strictly advances, and processing terminates when the end reaches the source length. Empty or whitespace-only clauses are errors; empty batches are supported.</w:t>
      </w:r>
    </w:p>
    <w:p>
      <w:pPr/>
      <w:r>
        <w:t>Each window vector is normalized; vectors belonging to a clause are summed and normalized again. This retains complete token coverage but is still approximate pooling. It does not restore interactions across distant windows, and overlap can weight repeated context more strongly. The final audit checks the preservation claim, not semantic equivalence of pooled embeddings to an unlimited-context model.</w:t>
      </w:r>
    </w:p>
    <w:p>
      <w:pPr>
        <w:pStyle w:val="Heading3"/>
      </w:pPr>
      <w:r>
        <w:t>Global assignment</w:t>
      </w:r>
    </w:p>
    <w:p>
      <w:pPr/>
      <w:r>
        <w:t>After anchors are locked, eligible candidates are decomposed into connected components. Unrelated sources cannot independently claim the same target. Components with only one-to-one edges use rectangular bipartite assignment with dummy unmatched choices. SciPy's implementation is a modified Jonker–Volgenant solver [RA-6]; “Hungarian/​bipartite” describes the approved assignment family, not a claim that a custom Hungarian algorithm was implemented.</w:t>
      </w:r>
    </w:p>
    <w:p>
      <w:pPr/>
      <w:r>
        <w:t>Competing split/merge hypotheses require binary decisions with one-use constraints for every endpoint. Those components use SciPy's mixed-integer linear programming interface to HiGHS [RA-7]. The gain of an edge with source set S and target set T is:</w:t>
      </w:r>
    </w:p>
    <w:p>
      <w:pPr>
        <w:pStyle w:val="Code"/>
      </w:pPr>
      <w:r>
        <w:t>gain = (|S| + |T|) / 2 * (combined_score - match_floor)</w:t>
        <w:br/>
        <w:t xml:space="preserve">       - group_penalty * (|S| + |T| - 2)</w:t>
      </w:r>
    </w:p>
    <w:p>
      <w:pPr/>
      <w:r>
        <w:t>Gains are rounded to six decimal places and receive a small ordered secondary preference. The solver maximizes eligible gain with endpoint non-overlap constraints; this is global consistency within the generated candidate graph, not an exhaustive search over every possible semantic correspondence. A non-optimal solver result raises an error rather than silently falling back. Fixed ordering and versions support repeatability on the tested environment, but unique outcomes across all solver versions and platforms are not proven.</w:t>
      </w:r>
    </w:p>
    <w:p>
      <w:pPr>
        <w:pStyle w:val="Figure"/>
        <w:jc w:val="center"/>
      </w:pPr>
      <w:r>
        <w:drawing>
          <wp:inline xmlns:a="http://schemas.openxmlformats.org/drawingml/2006/main" xmlns:pic="http://schemas.openxmlformats.org/drawingml/2006/picture">
            <wp:extent cx="5943600" cy="1981200"/>
            <wp:docPr id="4" name="Picture 4" descr="Multiple source clauses propose overlapping target candidates; global selection chooses a non-overlapping subset while retaining competing alternatives for review." title="candidates selection"/>
            <wp:cNvGraphicFramePr>
              <a:graphicFrameLocks noChangeAspect="1"/>
            </wp:cNvGraphicFramePr>
            <a:graphic>
              <a:graphicData uri="http://schemas.openxmlformats.org/drawingml/2006/picture">
                <pic:pic>
                  <pic:nvPicPr>
                    <pic:cNvPr id="0" name="candidates_selection.png"/>
                    <pic:cNvPicPr/>
                  </pic:nvPicPr>
                  <pic:blipFill>
                    <a:blip r:embed="rId12"/>
                    <a:stretch>
                      <a:fillRect/>
                    </a:stretch>
                  </pic:blipFill>
                  <pic:spPr>
                    <a:xfrm>
                      <a:off x="0" y="0"/>
                      <a:ext cx="5943600" cy="1981200"/>
                    </a:xfrm>
                    <a:prstGeom prst="rect"/>
                  </pic:spPr>
                </pic:pic>
              </a:graphicData>
            </a:graphic>
          </wp:inline>
        </w:drawing>
      </w:r>
    </w:p>
    <w:p>
      <w:pPr>
        <w:pStyle w:val="Caption"/>
        <w:keepNext w:val="0"/>
      </w:pPr>
      <w:r>
        <w:t>Candidate proposals versus globally selected correspondence. Dashed alternatives are not additional accepted links.</w:t>
      </w:r>
    </w:p>
    <w:p>
      <w:pPr>
        <w:pStyle w:val="Heading3"/>
      </w:pPr>
      <w:r>
        <w:t>Insertions and deletions</w:t>
      </w:r>
    </w:p>
    <w:p>
      <w:pPr/>
      <w:r>
        <w:t>Clauses left without selected correspondence receive explicit dispositions. If a strong competing candidate remains, the residual is UNCERTAIN rather than forced into an insertion or deletion. Otherwise, a source-only occurrence is DELETED and a target-only occurrence is INSERTED. Each occurrence receives one disposition per applicable pair, including unmatched cases.</w:t>
      </w:r>
    </w:p>
    <w:p>
      <w:pPr/>
      <w:r>
        <w:t>These labels remain hypotheses. A missed retrieval candidate can resemble a deletion or insertion, so both residual categories are routed to review. Full endpoint accounting demonstrates structural completeness, not that every apparent insertion or deletion is correct.</w:t>
      </w:r>
    </w:p>
    <w:p>
      <w:pPr>
        <w:pStyle w:val="Heading3"/>
      </w:pPr>
      <w:r>
        <w:t>Split and merge detection</w:t>
      </w:r>
    </w:p>
    <w:p>
      <w:pPr/>
      <w:r>
        <w:t>The implementation tests one clause against adjacent groups on the opposite side, in both directions. Groups are restricted to one section and compatible prose block types, with a default maximum size of three. Bidirectional lexical coverage must reach 0.75; each member must have at least four content tokens, meet 0.55 coverage against the single clause, and contribute tokens not supplied by the other members.</w:t>
      </w:r>
    </w:p>
    <w:p>
      <w:pPr/>
      <w:r>
        <w:t>These checks reduce accidental grouping of repeated protocol terminology. Candidate text is concatenated for lexical comparison; group semantic vectors are normalized sums of existing member embeddings, not newly encoded concatenated text. A complexity penalty favors simpler correspondence unless the group provides sufficient additional gain. Many-to-many rewriting is not modeled directly and may remain uncertain.</w:t>
      </w:r>
    </w:p>
    <w:p>
      <w:pPr>
        <w:pStyle w:val="Heading3"/>
      </w:pPr>
      <w:r>
        <w:t>Moved-clause detection</w:t>
      </w:r>
    </w:p>
    <w:p>
      <w:pPr/>
      <w:r>
        <w:t>Movement uses section-title correspondence elsewhere in the target or inversion relative to at least two reliable anchors. A changed section number alone is insufficient. A one-to-one relationship with movement evidence becomes MOVED, while a split or merge retains its primary relation and stores movement metadata separately. Textual change is also recorded independently.</w:t>
      </w:r>
    </w:p>
    <w:p>
      <w:pPr/>
      <w:r>
        <w:t>This is a heuristic measure of structural relocation. Large reorganizations can create many move predictions, and heading changes or broad anchor inversions can be misleading. All moved cases enter the review queue; their count is not evidence of correctness or ambiguity.</w:t>
      </w:r>
    </w:p>
    <w:p>
      <w:pPr>
        <w:pStyle w:val="Heading3"/>
      </w:pPr>
      <w:r>
        <w:t>Uncertain relationships</w:t>
      </w:r>
    </w:p>
    <w:p>
      <w:pPr/>
      <w:r>
        <w:t>For selected nonlocked edges, the candidate margin compares the selected score with the strongest competing edge sharing any endpoint. A margin below 0.025 changes the relation to UNCERTAIN. The margin is local competing evidence, not a posterior probability or the loss from removing the edge from the full optimization problem.</w:t>
      </w:r>
    </w:p>
    <w:p>
      <w:pPr/>
      <w:r>
        <w:t>Up to three alternatives are retained in a relationship record, while the full candidate graph remains available separately. An uncertain record with multiple endpoints does not assert every Cartesian-product link. Uncertain ancestry is not silently converted into a lineage continuation, and ambiguity labels are never generated from uncertainty in the alignment algorithm.</w:t>
      </w:r>
    </w:p>
    <w:p>
      <w:pPr>
        <w:pStyle w:val="Heading3"/>
      </w:pPr>
      <w:r>
        <w:t>Confidence and manual-review routing</w:t>
      </w:r>
    </w:p>
    <w:p>
      <w:pPr/>
      <w:r>
        <w:t>HIGH requires a non-uncertain selected edge with score at least 0.88 and either a lock or margin at least 0.12. Other selected non-uncertain edges receive MEDIUM; uncertain and unmatched records receive LOW. These are explicit uncalibrated rule bands, with calibrated probability left null.</w:t>
      </w:r>
    </w:p>
    <w:p>
      <w:pPr/>
      <w:r>
        <w:t>Review is required for complex, moved and uncertain relations, class transitions, unresolved upstream clause classifications, changes to actors/​modals/​negation/​numbers, and residual insertion/deletion cases. Non-high cases without another reason receive an unvalidated-​confidence reason. A deterministic hash-based five-percent audit samples high-confidence records. Thus HIGH and review-required are compatible: review can be required for semantic importance or provenance concerns even when correspondence looks strong.</w:t>
      </w:r>
    </w:p>
    <w:p>
      <w:pPr/>
      <w:r>
        <w:t>The 150-record pilot sample is selected across relation/confidence strata with seed 17. It provides review coverage, not a representative prevalence estimate. The full queue and the sample preserve endpoint clauses, alternatives and empty human-review fields. Automatic correction application is not implemented; reviewers must create a separate annotation copy.</w:t>
      </w:r>
    </w:p>
    <w:p>
      <w:pPr>
        <w:pStyle w:val="Heading3"/>
      </w:pPr>
      <w:r>
        <w:t>Clause lineage construction</w:t>
      </w:r>
    </w:p>
    <w:p>
      <w:pPr/>
      <w:r>
        <w:t>Lineage is built forward in validated document order. Accepted one-to-one unchanged, modified and moved continuations retain a lineage identity. Splits and merges create descendant identities with explicit parent information. A later merge does not rename earlier nodes, and uncertain correspondence starts an uncertain history rather than fabricating parents.</w:t>
      </w:r>
    </w:p>
    <w:p>
      <w:pPr/>
      <w:r>
        <w:t>Nodes retain occurrence IDs, revisions, availability, incoming alignment references and source hashes. Pairwise records receive the relevant lineage IDs. Reviewers can therefore inspect a local relationship and trace its earlier context without losing the original occurrence identifiers. Tests verify that appending later documents does not retroactively change an earlier lineage prefix.</w:t>
      </w:r>
    </w:p>
    <w:p>
      <w:pPr>
        <w:pStyle w:val="Figure"/>
        <w:jc w:val="center"/>
      </w:pPr>
      <w:r>
        <w:drawing>
          <wp:inline xmlns:a="http://schemas.openxmlformats.org/drawingml/2006/main" xmlns:pic="http://schemas.openxmlformats.org/drawingml/2006/picture">
            <wp:extent cx="5943600" cy="1684020"/>
            <wp:docPr id="5" name="Picture 5" descr="An illustrative clause continues from A to B, splits into C and D, and later merges into E; branches retain their parent identities." title="clause lineage"/>
            <wp:cNvGraphicFramePr>
              <a:graphicFrameLocks noChangeAspect="1"/>
            </wp:cNvGraphicFramePr>
            <a:graphic>
              <a:graphicData uri="http://schemas.openxmlformats.org/drawingml/2006/picture">
                <pic:pic>
                  <pic:nvPicPr>
                    <pic:cNvPr id="0" name="clause_lineage.png"/>
                    <pic:cNvPicPr/>
                  </pic:nvPicPr>
                  <pic:blipFill>
                    <a:blip r:embed="rId13"/>
                    <a:stretch>
                      <a:fillRect/>
                    </a:stretch>
                  </pic:blipFill>
                  <pic:spPr>
                    <a:xfrm>
                      <a:off x="0" y="0"/>
                      <a:ext cx="5943600" cy="1684020"/>
                    </a:xfrm>
                    <a:prstGeom prst="rect"/>
                  </pic:spPr>
                </pic:pic>
              </a:graphicData>
            </a:graphic>
          </wp:inline>
        </w:drawing>
      </w:r>
    </w:p>
    <w:p>
      <w:pPr>
        <w:pStyle w:val="Caption"/>
        <w:keepNext w:val="0"/>
      </w:pPr>
      <w:r>
        <w:t>Illustrative lineage through continuation, split and merge. Letters are synthetic examples, not measured TLS clause IDs.</w:t>
      </w:r>
    </w:p>
    <w:p>
      <w:pPr>
        <w:pStyle w:val="Heading3"/>
      </w:pPr>
      <w:r>
        <w:t>Revision-aware feature generation</w:t>
      </w:r>
    </w:p>
    <w:p>
      <w:pPr/>
      <w:r>
        <w:t>For a target draft, feature extraction first obtains an admissible prefix of documents and alignment records. Basic features include prior observed edit events, uncertainty and history-​completeness flags, revisions observed, elapsed document age, previous lexical/semantic distance, and surface change flags. Shared ancestral events are counted once across merges. The count includes observed changes up to the target revision and excludes insertions and unresolved changes as asserted edit events.</w:t>
      </w:r>
    </w:p>
    <w:p>
      <w:pPr/>
      <w:r>
        <w:t>Uncertain ancestry produces null edit counts rather than false certainty. Previous distances are unavailable when no reliable prior correspondence exists. Features retain dependency document IDs and source hashes for audit. More elaborate maturity or stability measures are not claimed implemented simply because they appear in the broader project proposal.</w:t>
      </w:r>
    </w:p>
    <w:p>
      <w:pPr>
        <w:pStyle w:val="Heading3"/>
      </w:pPr>
      <w:r>
        <w:t>Temporal-leakage prevention</w:t>
      </w:r>
    </w:p>
    <w:p>
      <w:pPr/>
      <w:r>
        <w:t>Prediction-time evidence must have role MODEL_FEATURE, known availability no later than the target's publication date, and admissible dependencies. LABEL_SUPPORT and ANNOTATION_METADATA are separate roles and are rejected by the feature guard. Undated or future evidence fails clearly. Draft features exclude RFC8446 and outgoing future alignment edges, even though those artifacts are useful for retrospective annotation.</w:t>
      </w:r>
    </w:p>
    <w:p>
      <w:pPr/>
      <w:r>
        <w:t>Validated same-family numerical predecessors may be admitted on the same submission date. This resolves TLS-00 before TLS-01 without inventing timestamps. Same-day external evidence remains inadmissible when intra-day ordering is unknown. Local reference resolution selects an admissible historical catalog version rather than automatically fetching the latest document; missing or symbolic references remain unresolved.</w:t>
      </w:r>
    </w:p>
    <w:p>
      <w:pPr/>
      <w:r>
        <w:t>Reviewed offline alignments cannot replace automatic prediction history without an evidence policy: the current prefix view rejects non-NOT_REVIEWED records. No actual days remaining to RFC, final revision count, future stability, later discussion, revision reason, or publication outcome is emitted as a prediction feature. Passing these explicit guards does not establish purity of pretrained model data.</w:t>
      </w:r>
    </w:p>
    <w:p>
      <w:pPr>
        <w:pStyle w:val="Figure"/>
        <w:jc w:val="center"/>
      </w:pPr>
      <w:r>
        <w:drawing>
          <wp:inline xmlns:a="http://schemas.openxmlformats.org/drawingml/2006/main" xmlns:pic="http://schemas.openxmlformats.org/drawingml/2006/picture">
            <wp:extent cx="5943600" cy="2228850"/>
            <wp:docPr id="6" name="Picture 6" descr="Target and prior drafts enter a guarded prediction-feature branch; later drafts, RFCs, errata and later discussions enter a separate retrospective label-support branch." title="temporal separation"/>
            <wp:cNvGraphicFramePr>
              <a:graphicFrameLocks noChangeAspect="1"/>
            </wp:cNvGraphicFramePr>
            <a:graphic>
              <a:graphicData uri="http://schemas.openxmlformats.org/drawingml/2006/picture">
                <pic:pic>
                  <pic:nvPicPr>
                    <pic:cNvPr id="0" name="temporal_separation.png"/>
                    <pic:cNvPicPr/>
                  </pic:nvPicPr>
                  <pic:blipFill>
                    <a:blip r:embed="rId14"/>
                    <a:stretch>
                      <a:fillRect/>
                    </a:stretch>
                  </pic:blipFill>
                  <pic:spPr>
                    <a:xfrm>
                      <a:off x="0" y="0"/>
                      <a:ext cx="5943600" cy="2228850"/>
                    </a:xfrm>
                    <a:prstGeom prst="rect"/>
                  </pic:spPr>
                </pic:pic>
              </a:graphicData>
            </a:graphic>
          </wp:inline>
        </w:drawing>
      </w:r>
    </w:p>
    <w:p>
      <w:pPr>
        <w:pStyle w:val="Caption"/>
        <w:keepNext w:val="0"/>
      </w:pPr>
      <w:r>
        <w:t>Separation of prediction evidence from retrospective label support. Date and role checks apply recursively to feature dependencies.</w:t>
      </w:r>
    </w:p>
    <w:p>
      <w:pPr>
        <w:pStyle w:val="Heading2"/>
      </w:pPr>
      <w:r>
        <w:t>Implementation</w:t>
      </w:r>
    </w:p>
    <w:p>
      <w:pPr>
        <w:pStyle w:val="Heading3"/>
      </w:pPr>
      <w:r>
        <w:t>Package architecture and public interfaces</w:t>
      </w:r>
    </w:p>
    <w:p>
      <w:pPr/>
      <w:r>
        <w:t>The package separates contracts and configuration from input preparation, representation, retrieval, selection, relationship decisions, and downstream outputs. The runner validates and snapshots inputs first, preflights every draft prefix, initializes the selected representation backend, and then processes consecutive pairs. Candidate generation returns graph edges; selection returns non-overlapping choices and solver diagnostics; relationship construction adds uncertainty, confidence, alternatives and provenance. Lineage and review artifacts are assembled before guarded features and the final manifest.</w:t>
      </w:r>
    </w:p>
    <w:p>
      <w:pPr/>
      <w:r>
        <w:t>Public interfaces support both the CLI and direct Python use: timeline construction and input preparation; normalization; an Embedder with an encode operation; candidate_graph; select; records; build_lineage; prediction_view and guard; features; evaluate; and validate_run. These interfaces reuse the existing parser and segmenter. The only change to their existing model declaration was to acknowledge the already-emitted formal_syntax block type. Appendix B gives the complete callable reference.</w:t>
      </w:r>
    </w:p>
    <w:p>
      <w:pPr>
        <w:pStyle w:val="Heading3"/>
      </w:pPr>
      <w:r>
        <w:t>Configuration and command-line integration</w:t>
      </w:r>
    </w:p>
    <w:p>
      <w:pPr/>
      <w:r>
        <w:t>The CLI accepts a new output directory, an optional configuration file, backend selection, a pinned model revision, explicit download permission, missing-input preparation, preparation-only operation, a consecutive smoke pair, and optional reviewed gold. Defaults are validated through the typed configuration class. Unknown fields, nonfinite values, inconsistent thresholds and invalid group/window bounds are errors.</w:t>
      </w:r>
    </w:p>
    <w:p>
      <w:pPr/>
      <w:r>
        <w:t>The final run used semantic mode with a pinned local model and explicit missing-input preparation. Lexical mode never initializes the model. All configuration values are stored in the request and manifest, and relationships record a canonical configuration hash. Appendix C supplies commands; Appendix D lists every default and the final override. The documentation does not imply that merely installing model libraries implements an ambiguity detector.</w:t>
      </w:r>
    </w:p>
    <w:p>
      <w:pPr>
        <w:pStyle w:val="Heading3"/>
      </w:pPr>
      <w:r>
        <w:t>Serialization, schema and provenance</w:t>
      </w:r>
    </w:p>
    <w:p>
      <w:pPr/>
      <w:r>
        <w:t>JSON and JSONL use a versioned, canonical representation with sorted keys, UTF-8 text, compact separators and nonfinite-number rejection. Document, Clause, Alignment and Evidence contracts validate their defined boundaries. Raw alignment records reject unexpected ambiguity-label or revision-reason fields. Candidate, lineage, feature and review bundles are versioned outputs but do not all share the same Pydantic validation contract; this distinction matters for downstream consumers.</w:t>
      </w:r>
    </w:p>
    <w:p>
      <w:pPr/>
      <w:r>
        <w:t>An alignment stores endpoint lists, document/revision identities, dates, relation, text and movement indicators, component scores, confidence, review state/reasons, alternatives, lineage IDs, change flags, provenance, algorithm version and creation time. Stable relationship identifiers are derived from endpoints and relation rather than execution timestamps. Runtime timestamps and local provenance paths mean complete files are not promised byte-identical across executions. Appendix E describes the full contracts and derived formats.</w:t>
      </w:r>
    </w:p>
    <w:p>
      <w:pPr>
        <w:pStyle w:val="Heading3"/>
      </w:pPr>
      <w:r>
        <w:t>Logging, diagnostics and manifests</w:t>
      </w:r>
    </w:p>
    <w:p>
      <w:pPr/>
      <w:r>
        <w:t>Each pair logs endpoint documents, clause counts, duration and relationship counts. Solver diagnostics identify locked anchors and component types. A failed stage writes a detailed record with stage, current document/pair, completed-pair information, configuration and traceback when the exception is handled by the runner. A stopped process can require an externally written stop record; preserved records distinguish that case.</w:t>
      </w:r>
    </w:p>
    <w:p>
      <w:pPr/>
      <w:r>
        <w:t>The completed manifest records schema/algorithm versions, configuration, metadata hashes, source/​input/​snapshot hashes, package versions, code hashes captured at run start and checksums of the generated artifacts. It is written after successful outputs and source-integrity checks. The standalone audit verifies those artifacts independently of the execution log. An immutable run is not declared successful merely because some pair files exist.</w:t>
      </w:r>
    </w:p>
    <w:p>
      <w:pPr>
        <w:pStyle w:val="Heading3"/>
      </w:pPr>
      <w:r>
        <w:t>Review and correction workflow</w:t>
      </w:r>
    </w:p>
    <w:p>
      <w:pPr/>
      <w:r>
        <w:t>Review bundles include original endpoint records, alternative correspondence and review reasons. The review status and proposed human fields are not automatic labels. Reviewers should annotate separate copies, retain record and occurrence IDs, and record reviewer identity, time, corrected endpoints, relation and rationale. The current implementation can accept explicitly reviewed complete pair scopes for metrics but does not apply corrections back into automatic lineage or regenerate benchmark data.</w:t>
      </w:r>
    </w:p>
    <w:p>
      <w:pPr/>
      <w:r>
        <w:t>Alignment Ground Truth must therefore be treated as a new versioned annotation product. Later revision-reason and ambiguity annotations should join to verified occurrence relationships, retain their evidence roles, and document disagreement and adjudication. The immutable automatic output remains the baseline against which corrections and operational workload can be assessed.</w:t>
      </w:r>
    </w:p>
    <w:p>
      <w:pPr>
        <w:pStyle w:val="Heading2"/>
      </w:pPr>
      <w:r>
        <w:t>Problems Encountered and Corrections</w:t>
      </w:r>
    </w:p>
    <w:p>
      <w:pPr/>
      <w:r>
        <w:t>The chronology below follows the recoverable implementation sequence. The preserved failure records and successful artifacts support the stated outcomes. Exact native crash stacks and every intermediate shell invocation are not retained; those absences are identified rather than reconstructed as facts. Appendix J gives an issue-by-issue symptom, impact, correction, test and artifact-​disposition matrix.</w:t>
      </w:r>
    </w:p>
    <w:p>
      <w:pPr>
        <w:pStyle w:val="Heading3"/>
      </w:pPr>
      <w:r>
        <w:t>Windows numerical-library loading</w:t>
      </w:r>
    </w:p>
    <w:p>
      <w:pPr/>
      <w:r>
        <w:t>Direct Python execution in the Windows environment could select incompatible native-library paths, and loading the model stack before PyArrow exposed a native import crash. Such a failure could terminate the process outside the runner's Python exception handler. Conda activation/run supplies the environment paths, and the semantic backend initializes PyArrow before torch and sentence-​transformers on Windows. No installed package was patched.</w:t>
      </w:r>
    </w:p>
    <w:p>
      <w:pPr/>
      <w:r>
        <w:t>There is no isolated unit test that recreates the low-level native crash. Verification consists of the real pinned-model regression and successful semantic smoke/full runs in the environment. This is an environment-​specific mitigation, not a universal proof about every Windows installation. Previous incomplete artifacts were retained; no result from a crashed initialization was promoted to a successful run.</w:t>
      </w:r>
    </w:p>
    <w:p>
      <w:pPr>
        <w:pStyle w:val="Heading3"/>
      </w:pPr>
      <w:r>
        <w:t>Initial token-window overflow and API compatibility</w:t>
      </w:r>
    </w:p>
    <w:p>
      <w:pPr/>
      <w:r>
        <w:t>The first full attempt completed seven pairs before revision 08 exposed a long-clause failure. A decoded 254-ID window retokenized to more content IDs than the available budget allowed. Adding special tokens exceeded the model's effective limit. Silent truncation would have damaged correspondence evidence and window provenance, so the run stopped and retained its failure record.</w:t>
      </w:r>
    </w:p>
    <w:p>
      <w:pPr/>
      <w:r>
        <w:t>The real 935-token clause became a deterministic fixture. An intermediate window-regression smoke run was preserved, but final inference uses original token-ID windows directly. The installed tokenizer API also lacked the legacy preparation method; the correction supports it when present and otherwise validates and constructs the pinned single-sequence BERT template. Unsupported templates fail explicitly. Tests cover the actual expansion, all boundary cases, direct-ID inference and complete coverage. Earlier embedding policies retain separate cache identities and are not reused by the final direct-ID policy.</w:t>
      </w:r>
    </w:p>
    <w:p>
      <w:pPr>
        <w:pStyle w:val="Heading3"/>
      </w:pPr>
      <w:r>
        <w:t>Same-day draft chronology</w:t>
      </w:r>
    </w:p>
    <w:p>
      <w:pPr/>
      <w:r>
        <w:t>A later full attempt was stopped after 15 pairs when the temporal audit found that a conservative same-day external-evidence rule also rejected TLS-00 as history for TLS-01. Both have the same submission date, but numerical revision order is known. Leaving the rule unchanged would block valid feature generation; relaxing it for all same-day evidence would admit unknown external ordering.</w:t>
      </w:r>
    </w:p>
    <w:p>
      <w:pPr/>
      <w:r>
        <w:t>The correction admits only validated earlier numerical revisions of the same family on that date, retains the rejection of same-day external evidence, and preflights all target prefixes before embedding. A regression uses the actual TLS-00/01 date and rejects a later same-day revision and same-day external evidence. The stopped run remains incomplete, and subsequent runs use a new directory.</w:t>
      </w:r>
    </w:p>
    <w:p>
      <w:pPr>
        <w:pStyle w:val="Heading3"/>
      </w:pPr>
      <w:r>
        <w:t>Python hash-order candidate ties</w:t>
      </w:r>
    </w:p>
    <w:p>
      <w:pPr/>
      <w:r>
        <w:t>Another attempt was stopped after 16 pairs when equivalent cached inputs yielded a small insertion/​uncertainty difference. Equal lexical-overlap candidates inherited Counter insertion order from hashed token-set traversal. Changing the process hash seed could therefore change the retrieved graph before optimization.</w:t>
      </w:r>
    </w:p>
    <w:p>
      <w:pPr/>
      <w:r>
        <w:t>Candidate ties now use explicit positional ordering, and candidate edges and solver inputs are ordered deterministically. A regression compares candidate/scoring digests in three subprocesses with different Python hash seeds. The final suite and run passed. The earlier stopped run and completed caches were preserved; the prior graph is not represented as the final reproducible output. This test verifies the discovered retrieval issue, not an exhaustive cross-platform equivalence claim for every solver decision.</w:t>
      </w:r>
    </w:p>
    <w:p>
      <w:pPr>
        <w:pStyle w:val="Heading3"/>
      </w:pPr>
      <w:r>
        <w:t>Standalone audit padding</w:t>
      </w:r>
    </w:p>
    <w:p>
      <w:pPr/>
      <w:r>
        <w:t>The final alignment run completed successfully, but its first independent token audit reported truncation for the first TLS-00 clause. The saved tokenizer configuration contained fixed padding to 128 tokens. The audit disabled truncation but initially retained padding, whereas inference produced 18 actual source IDs for that clause. Their hash already matched the saved window exactly.</w:t>
      </w:r>
    </w:p>
    <w:p>
      <w:pPr/>
      <w:r>
        <w:t>The audit now disables both serialized padding and truncation. A synthetic serialized-​tokenizer regression reproduces padding expansion and tests short, empty and 935-token inputs. The focused suite, full suite and corrected full audit passed. No alignment artifact was regenerated: the original manifest retains its run-start validator hash, while an external successful validation record stores the corrected validator hash. A separate external failure record preserves the false alarm.</w:t>
      </w:r>
    </w:p>
    <w:p>
      <w:pPr>
        <w:pStyle w:val="Heading2"/>
      </w:pPr>
      <w:r>
        <w:t>Testing and Validation</w:t>
      </w:r>
    </w:p>
    <w:p>
      <w:pPr>
        <w:pStyle w:val="Heading3"/>
      </w:pPr>
      <w:r>
        <w:t>Verification strategy</w:t>
      </w:r>
    </w:p>
    <w:p>
      <w:pPr/>
      <w:r>
        <w:t>Synthetic fixtures isolate normalization, component scores, retrieval, assignment, unmatched cases, split/merge/move rules, boilerplate ambiguity, contracts and malformed inputs. Integration fixtures exercise successive revisions, exclusive output directories, consolidated/​per-​pair consistency, failure records and lineage-prefix stability. Temporal tests cover role/date rejection, recursive dependencies, references and same-day policies. Parametrization explains why the number of executed cases exceeds the number of test functions.</w:t>
      </w:r>
    </w:p>
    <w:p>
      <w:pPr/>
      <w:r>
        <w:t>The real-model regression uses the pinned local MiniLM and actual TLS-08 fixture, including punctuation-heavy protocol text. It never downloads weights during a test and is designed to skip elsewhere if the snapshot is absent; it did not skip in the verified environment. Cross-process tests vary the Python hash seed. Assignment/group tests verify non-overlap and intended synthetic choices. None of these fixtures is human-reviewed TLS gold.</w:t>
      </w:r>
    </w:p>
    <w:p>
      <w:pPr>
        <w:pStyle w:val="Heading3"/>
      </w:pPr>
      <w:r>
        <w:t>Final recorded test results</w:t>
      </w:r>
    </w:p>
    <w:p>
      <w:pPr>
        <w:pStyle w:val="Caption"/>
        <w:keepNext/>
      </w:pPr>
      <w:r>
        <w:t>Final verified software checks. These establish software behavior, not alignment precision or ambiguity accuracy.</w:t>
      </w:r>
    </w:p>
    <w:tbl>
      <w:tblPr>
        <w:tblStyle w:val="TableGrid"/>
        <w:tblW w:type="auto" w:w="0"/>
        <w:jc w:val="center"/>
        <w:tblLayout w:type="fixed"/>
        <w:tblLook w:firstColumn="1" w:firstRow="1" w:lastColumn="0" w:lastRow="0" w:noHBand="0" w:noVBand="1" w:val="04A0"/>
      </w:tblPr>
      <w:tblGrid>
        <w:gridCol w:w="3024"/>
        <w:gridCol w:w="6336"/>
      </w:tblGrid>
      <w:tr>
        <w:trPr>
          <w:tblHeader w:val="true"/>
          <w:cantSplit/>
        </w:trPr>
        <w:tc>
          <w:tcPr>
            <w:tcW w:type="dxa" w:w="3024"/>
            <w:vAlign w:val="top"/>
            <w:tcMar>
              <w:top w:w="40" w:type="dxa"/>
              <w:left w:w="65" w:type="dxa"/>
              <w:bottom w:w="35" w:type="dxa"/>
              <w:right w:w="65" w:type="dxa"/>
            </w:tcMar>
          </w:tcPr>
          <w:p>
            <w:pPr>
              <w:pStyle w:val="TableHeader"/>
            </w:pPr>
            <w:r>
              <w:t>Check</w:t>
            </w:r>
          </w:p>
        </w:tc>
        <w:tc>
          <w:tcPr>
            <w:tcW w:type="dxa" w:w="6336"/>
            <w:vAlign w:val="top"/>
            <w:tcMar>
              <w:top w:w="40" w:type="dxa"/>
              <w:left w:w="65" w:type="dxa"/>
              <w:bottom w:w="35" w:type="dxa"/>
              <w:right w:w="65" w:type="dxa"/>
            </w:tcMar>
          </w:tcPr>
          <w:p>
            <w:pPr>
              <w:pStyle w:val="TableHeader"/>
            </w:pPr>
            <w:r>
              <w:t>Recorded result</w:t>
            </w:r>
          </w:p>
        </w:tc>
      </w:tr>
      <w:tr>
        <w:trPr>
          <w:cantSplit/>
        </w:trPr>
        <w:tc>
          <w:tcPr>
            <w:tcW w:type="dxa" w:w="3024"/>
            <w:vAlign w:val="top"/>
            <w:tcMar>
              <w:top w:w="40" w:type="dxa"/>
              <w:left w:w="65" w:type="dxa"/>
              <w:bottom w:w="35" w:type="dxa"/>
              <w:right w:w="65" w:type="dxa"/>
            </w:tcMar>
          </w:tcPr>
          <w:p>
            <w:pPr>
              <w:pStyle w:val="TableText"/>
            </w:pPr>
            <w:r>
              <w:t>Complete test suite</w:t>
            </w:r>
          </w:p>
        </w:tc>
        <w:tc>
          <w:tcPr>
            <w:tcW w:type="dxa" w:w="6336"/>
            <w:vAlign w:val="top"/>
            <w:tcMar>
              <w:top w:w="40" w:type="dxa"/>
              <w:left w:w="65" w:type="dxa"/>
              <w:bottom w:w="35" w:type="dxa"/>
              <w:right w:w="65" w:type="dxa"/>
            </w:tcMar>
          </w:tcPr>
          <w:p>
            <w:pPr>
              <w:pStyle w:val="TableText"/>
            </w:pPr>
            <w:r>
              <w:t>121 passed; 2 warnings; 11.76 seconds; no failures or skips</w:t>
            </w:r>
          </w:p>
        </w:tc>
      </w:tr>
      <w:tr>
        <w:trPr>
          <w:cantSplit/>
        </w:trPr>
        <w:tc>
          <w:tcPr>
            <w:tcW w:type="dxa" w:w="3024"/>
            <w:vAlign w:val="top"/>
            <w:tcMar>
              <w:top w:w="40" w:type="dxa"/>
              <w:left w:w="65" w:type="dxa"/>
              <w:bottom w:w="35" w:type="dxa"/>
              <w:right w:w="65" w:type="dxa"/>
            </w:tcMar>
          </w:tcPr>
          <w:p>
            <w:pPr>
              <w:pStyle w:val="TableText"/>
            </w:pPr>
            <w:r>
              <w:t>Focused embedding/window suite</w:t>
            </w:r>
          </w:p>
        </w:tc>
        <w:tc>
          <w:tcPr>
            <w:tcW w:type="dxa" w:w="6336"/>
            <w:vAlign w:val="top"/>
            <w:tcMar>
              <w:top w:w="40" w:type="dxa"/>
              <w:left w:w="65" w:type="dxa"/>
              <w:bottom w:w="35" w:type="dxa"/>
              <w:right w:w="65" w:type="dxa"/>
            </w:tcMar>
          </w:tcPr>
          <w:p>
            <w:pPr>
              <w:pStyle w:val="TableText"/>
            </w:pPr>
            <w:r>
              <w:t>29 passed; 2 warnings; 6.11 seconds; no failures or skips</w:t>
            </w:r>
          </w:p>
        </w:tc>
      </w:tr>
      <w:tr>
        <w:trPr>
          <w:cantSplit/>
        </w:trPr>
        <w:tc>
          <w:tcPr>
            <w:tcW w:type="dxa" w:w="3024"/>
            <w:vAlign w:val="top"/>
            <w:tcMar>
              <w:top w:w="40" w:type="dxa"/>
              <w:left w:w="65" w:type="dxa"/>
              <w:bottom w:w="35" w:type="dxa"/>
              <w:right w:w="65" w:type="dxa"/>
            </w:tcMar>
          </w:tcPr>
          <w:p>
            <w:pPr>
              <w:pStyle w:val="TableText"/>
            </w:pPr>
            <w:r>
              <w:t>Ruff checks</w:t>
            </w:r>
          </w:p>
        </w:tc>
        <w:tc>
          <w:tcPr>
            <w:tcW w:type="dxa" w:w="6336"/>
            <w:vAlign w:val="top"/>
            <w:tcMar>
              <w:top w:w="40" w:type="dxa"/>
              <w:left w:w="65" w:type="dxa"/>
              <w:bottom w:w="35" w:type="dxa"/>
              <w:right w:w="65" w:type="dxa"/>
            </w:tcMar>
          </w:tcPr>
          <w:p>
            <w:pPr>
              <w:pStyle w:val="TableText"/>
            </w:pPr>
            <w:r>
              <w:t>Passed</w:t>
            </w:r>
          </w:p>
        </w:tc>
      </w:tr>
      <w:tr>
        <w:trPr>
          <w:cantSplit/>
        </w:trPr>
        <w:tc>
          <w:tcPr>
            <w:tcW w:type="dxa" w:w="3024"/>
            <w:vAlign w:val="top"/>
            <w:tcMar>
              <w:top w:w="40" w:type="dxa"/>
              <w:left w:w="65" w:type="dxa"/>
              <w:bottom w:w="35" w:type="dxa"/>
              <w:right w:w="65" w:type="dxa"/>
            </w:tcMar>
          </w:tcPr>
          <w:p>
            <w:pPr>
              <w:pStyle w:val="TableText"/>
            </w:pPr>
            <w:r>
              <w:t>Git whitespace checks</w:t>
            </w:r>
          </w:p>
        </w:tc>
        <w:tc>
          <w:tcPr>
            <w:tcW w:type="dxa" w:w="6336"/>
            <w:vAlign w:val="top"/>
            <w:tcMar>
              <w:top w:w="40" w:type="dxa"/>
              <w:left w:w="65" w:type="dxa"/>
              <w:bottom w:w="35" w:type="dxa"/>
              <w:right w:w="65" w:type="dxa"/>
            </w:tcMar>
          </w:tcPr>
          <w:p>
            <w:pPr>
              <w:pStyle w:val="TableText"/>
            </w:pPr>
            <w:r>
              <w:t>Passed; only line-ending conversion notices</w:t>
            </w:r>
          </w:p>
        </w:tc>
      </w:tr>
      <w:tr>
        <w:trPr>
          <w:cantSplit/>
        </w:trPr>
        <w:tc>
          <w:tcPr>
            <w:tcW w:type="dxa" w:w="3024"/>
            <w:vAlign w:val="top"/>
            <w:tcMar>
              <w:top w:w="40" w:type="dxa"/>
              <w:left w:w="65" w:type="dxa"/>
              <w:bottom w:w="35" w:type="dxa"/>
              <w:right w:w="65" w:type="dxa"/>
            </w:tcMar>
          </w:tcPr>
          <w:p>
            <w:pPr>
              <w:pStyle w:val="TableText"/>
            </w:pPr>
            <w:r>
              <w:t>Independent completed-run audit</w:t>
            </w:r>
          </w:p>
        </w:tc>
        <w:tc>
          <w:tcPr>
            <w:tcW w:type="dxa" w:w="6336"/>
            <w:vAlign w:val="top"/>
            <w:tcMar>
              <w:top w:w="40" w:type="dxa"/>
              <w:left w:w="65" w:type="dxa"/>
              <w:bottom w:w="35" w:type="dxa"/>
              <w:right w:w="65" w:type="dxa"/>
            </w:tcMar>
          </w:tcPr>
          <w:p>
            <w:pPr>
              <w:pStyle w:val="TableText"/>
            </w:pPr>
            <w:r>
              <w:t>PASS for hashes, endpoints, lineage, features and all windows</w:t>
            </w:r>
          </w:p>
        </w:tc>
      </w:tr>
      <w:tr>
        <w:trPr>
          <w:cantSplit/>
        </w:trPr>
        <w:tc>
          <w:tcPr>
            <w:tcW w:type="dxa" w:w="3024"/>
            <w:vAlign w:val="top"/>
            <w:tcMar>
              <w:top w:w="40" w:type="dxa"/>
              <w:left w:w="65" w:type="dxa"/>
              <w:bottom w:w="35" w:type="dxa"/>
              <w:right w:w="65" w:type="dxa"/>
            </w:tcMar>
          </w:tcPr>
          <w:p>
            <w:pPr>
              <w:pStyle w:val="TableText"/>
            </w:pPr>
            <w:r>
              <w:t>Protected original inputs</w:t>
            </w:r>
          </w:p>
        </w:tc>
        <w:tc>
          <w:tcPr>
            <w:tcW w:type="dxa" w:w="6336"/>
            <w:vAlign w:val="top"/>
            <w:tcMar>
              <w:top w:w="40" w:type="dxa"/>
              <w:left w:w="65" w:type="dxa"/>
              <w:bottom w:w="35" w:type="dxa"/>
              <w:right w:w="65" w:type="dxa"/>
            </w:tcMar>
          </w:tcPr>
          <w:p>
            <w:pPr>
              <w:pStyle w:val="TableText"/>
            </w:pPr>
            <w:r>
              <w:t>394 files unchanged; no additions or removals in protected directories</w:t>
            </w:r>
          </w:p>
        </w:tc>
      </w:tr>
    </w:tbl>
    <w:p>
      <w:pPr>
        <w:spacing w:after="0"/>
      </w:pPr>
    </w:p>
    <w:p>
      <w:pPr/>
      <w:r>
        <w:t>The two warnings concern third-party SwigPyPacked and SwigPyObject types lacking a module attribute. They are deprecation warnings, not skipped tests or solver errors. The report preserves recorded historical results rather than rerunning the computational pipeline while writing this chapter. Appendix K lists the complete reconstructable command/result history and its evidence limits.</w:t>
      </w:r>
    </w:p>
    <w:p>
      <w:pPr>
        <w:pStyle w:val="Heading3"/>
      </w:pPr>
      <w:r>
        <w:t>Independent artifact validation</w:t>
      </w:r>
    </w:p>
    <w:p>
      <w:pPr/>
      <w:r>
        <w:t>The completed-run audit checks the complete manifest and its artifact hashes, expected TLS timeline, prepared-document set, unique relationship IDs, and one disposition per source/target occurrence in each pair. It checks per-pair versus consolidated alignments, candidate counts, nonempty lineage references, review queue membership, the unique unlabeled sample, lineage occurrence coverage, draft-only feature files and prefix dependencies.</w:t>
      </w:r>
    </w:p>
    <w:p>
      <w:pPr/>
      <w:r>
        <w:t>For the semantic outputs it verifies model artifacts and retokenizes every original normalized clause with padding and truncation disabled. Saved token bounds, content hashes, special-token budgets and complete coverage must agree. Protected input hashes are compared with the baseline. These tests are deliberately independent of the aggregate report counters, but they remain structural and computational checks rather than semantic adjudication.</w:t>
      </w:r>
    </w:p>
    <w:p>
      <w:pPr>
        <w:pStyle w:val="Heading2"/>
      </w:pPr>
      <w:r>
        <w:t>Final TLS Run</w:t>
      </w:r>
    </w:p>
    <w:p>
      <w:pPr/>
      <w:r>
        <w:t>The successful immutable run is identified as pilot-semantic-v5. It contains all 30 documents, 29 consecutive pairs and 52,137 clause-version occurrences. The full repository-relative location and artifact access points are provided in Appendix L. The recorded run produced 52,953 relationship records, 877,103 candidate hypotheses, 52,137 lineage nodes and 50,138 draft feature rows across 29 files. RFC8446 contributes alignment and lineage evidence but no draft prediction feature file.</w:t>
      </w:r>
    </w:p>
    <w:p>
      <w:pPr/>
      <w:r>
        <w:t>The reported pipeline runtime is 693.60 seconds. Seventeen document embeddings were loaded from verified caches; thirteen were newly encoded. The sum of recorded pair times is 655.63 seconds. Pair timers cover target embedding, retrieval, selection and relationship construction before pair serialization. The total report timer ends before final manifest hashing. This is a mixed-cache operational measurement, not a cold-start benchmark; Appendix H retains every pair's exact recorded duration and counts.</w:t>
      </w:r>
    </w:p>
    <w:p>
      <w:pPr/>
      <w:r>
        <w:t>All solver components reported optimal results: 10,576 bipartite components and 619 complex components, with 30,345 locked anchors. There were no solver failures, fallbacks, skipped pairs or skipped clauses. Input warning lists and feature diagnostics are empty. TLS-22 and RFC8446 were prepared only inside the run, and all 394 protected original files remained unchanged.</w:t>
      </w:r>
    </w:p>
    <w:p>
      <w:pPr/>
      <w:r>
        <w:t>The run contains 1,501,382 original source tokens and 52,361 validated windows. There are 171 long-clause instances, including 72 in cached documents and 99 newly encoded instances. The longest clause contains 1,004 tokens. Every encoded window fits 256 tokens including special tokens, and every source token is covered. The count of long instances describes all observed clause versions, not only fresh encoder work.</w:t>
      </w:r>
    </w:p>
    <w:p>
      <w:pPr>
        <w:pStyle w:val="Heading2"/>
      </w:pPr>
      <w:r>
        <w:t>Alignment Results</w:t>
      </w:r>
    </w:p>
    <w:p>
      <w:pPr>
        <w:pStyle w:val="Caption"/>
        <w:keepNext/>
      </w:pPr>
      <w:r>
        <w:t>Provisional relationship distribution across 29 consecutive pairs. Percentages use 52,953 records as the denominator.</w:t>
      </w:r>
    </w:p>
    <w:tbl>
      <w:tblPr>
        <w:tblStyle w:val="TableGrid"/>
        <w:tblW w:type="auto" w:w="0"/>
        <w:jc w:val="center"/>
        <w:tblLayout w:type="fixed"/>
        <w:tblLook w:firstColumn="1" w:firstRow="1" w:lastColumn="0" w:lastRow="0" w:noHBand="0" w:noVBand="1" w:val="04A0"/>
      </w:tblPr>
      <w:tblGrid>
        <w:gridCol w:w="4752"/>
        <w:gridCol w:w="2304"/>
        <w:gridCol w:w="2304"/>
      </w:tblGrid>
      <w:tr>
        <w:trPr>
          <w:tblHeader w:val="true"/>
          <w:cantSplit/>
        </w:trPr>
        <w:tc>
          <w:tcPr>
            <w:tcW w:type="dxa" w:w="4752"/>
            <w:vAlign w:val="top"/>
            <w:tcMar>
              <w:top w:w="40" w:type="dxa"/>
              <w:left w:w="65" w:type="dxa"/>
              <w:bottom w:w="35" w:type="dxa"/>
              <w:right w:w="65" w:type="dxa"/>
            </w:tcMar>
          </w:tcPr>
          <w:p>
            <w:pPr>
              <w:pStyle w:val="TableHeader"/>
            </w:pPr>
            <w:r>
              <w:t>Relationship</w:t>
            </w:r>
          </w:p>
        </w:tc>
        <w:tc>
          <w:tcPr>
            <w:tcW w:type="dxa" w:w="2304"/>
            <w:vAlign w:val="top"/>
            <w:tcMar>
              <w:top w:w="40" w:type="dxa"/>
              <w:left w:w="65" w:type="dxa"/>
              <w:bottom w:w="35" w:type="dxa"/>
              <w:right w:w="65" w:type="dxa"/>
            </w:tcMar>
          </w:tcPr>
          <w:p>
            <w:pPr>
              <w:pStyle w:val="TableHeader"/>
            </w:pPr>
            <w:r>
              <w:t>Count</w:t>
            </w:r>
          </w:p>
        </w:tc>
        <w:tc>
          <w:tcPr>
            <w:tcW w:type="dxa" w:w="2304"/>
            <w:vAlign w:val="top"/>
            <w:tcMar>
              <w:top w:w="40" w:type="dxa"/>
              <w:left w:w="65" w:type="dxa"/>
              <w:bottom w:w="35" w:type="dxa"/>
              <w:right w:w="65" w:type="dxa"/>
            </w:tcMar>
          </w:tcPr>
          <w:p>
            <w:pPr>
              <w:pStyle w:val="TableHeader"/>
            </w:pPr>
            <w:r>
              <w:t>Percentage</w:t>
            </w:r>
          </w:p>
        </w:tc>
      </w:tr>
      <w:tr>
        <w:trPr>
          <w:cantSplit/>
        </w:trPr>
        <w:tc>
          <w:tcPr>
            <w:tcW w:type="dxa" w:w="4752"/>
            <w:vAlign w:val="top"/>
            <w:tcMar>
              <w:top w:w="40" w:type="dxa"/>
              <w:left w:w="65" w:type="dxa"/>
              <w:bottom w:w="35" w:type="dxa"/>
              <w:right w:w="65" w:type="dxa"/>
            </w:tcMar>
          </w:tcPr>
          <w:p>
            <w:pPr>
              <w:pStyle w:val="TableText"/>
            </w:pPr>
            <w:r>
              <w:t>UNCHANGED</w:t>
            </w:r>
          </w:p>
        </w:tc>
        <w:tc>
          <w:tcPr>
            <w:tcW w:type="dxa" w:w="2304"/>
            <w:vAlign w:val="top"/>
            <w:tcMar>
              <w:top w:w="40" w:type="dxa"/>
              <w:left w:w="65" w:type="dxa"/>
              <w:bottom w:w="35" w:type="dxa"/>
              <w:right w:w="65" w:type="dxa"/>
            </w:tcMar>
          </w:tcPr>
          <w:p>
            <w:pPr>
              <w:pStyle w:val="TableText"/>
            </w:pPr>
            <w:r>
              <w:t>36,592</w:t>
            </w:r>
          </w:p>
        </w:tc>
        <w:tc>
          <w:tcPr>
            <w:tcW w:type="dxa" w:w="2304"/>
            <w:vAlign w:val="top"/>
            <w:tcMar>
              <w:top w:w="40" w:type="dxa"/>
              <w:left w:w="65" w:type="dxa"/>
              <w:bottom w:w="35" w:type="dxa"/>
              <w:right w:w="65" w:type="dxa"/>
            </w:tcMar>
          </w:tcPr>
          <w:p>
            <w:pPr>
              <w:pStyle w:val="TableText"/>
            </w:pPr>
            <w:r>
              <w:t>69.10%</w:t>
            </w:r>
          </w:p>
        </w:tc>
      </w:tr>
      <w:tr>
        <w:trPr>
          <w:cantSplit/>
        </w:trPr>
        <w:tc>
          <w:tcPr>
            <w:tcW w:type="dxa" w:w="4752"/>
            <w:vAlign w:val="top"/>
            <w:tcMar>
              <w:top w:w="40" w:type="dxa"/>
              <w:left w:w="65" w:type="dxa"/>
              <w:bottom w:w="35" w:type="dxa"/>
              <w:right w:w="65" w:type="dxa"/>
            </w:tcMar>
          </w:tcPr>
          <w:p>
            <w:pPr>
              <w:pStyle w:val="TableText"/>
            </w:pPr>
            <w:r>
              <w:t>MODIFIED</w:t>
            </w:r>
          </w:p>
        </w:tc>
        <w:tc>
          <w:tcPr>
            <w:tcW w:type="dxa" w:w="2304"/>
            <w:vAlign w:val="top"/>
            <w:tcMar>
              <w:top w:w="40" w:type="dxa"/>
              <w:left w:w="65" w:type="dxa"/>
              <w:bottom w:w="35" w:type="dxa"/>
              <w:right w:w="65" w:type="dxa"/>
            </w:tcMar>
          </w:tcPr>
          <w:p>
            <w:pPr>
              <w:pStyle w:val="TableText"/>
            </w:pPr>
            <w:r>
              <w:t>4,452</w:t>
            </w:r>
          </w:p>
        </w:tc>
        <w:tc>
          <w:tcPr>
            <w:tcW w:type="dxa" w:w="2304"/>
            <w:vAlign w:val="top"/>
            <w:tcMar>
              <w:top w:w="40" w:type="dxa"/>
              <w:left w:w="65" w:type="dxa"/>
              <w:bottom w:w="35" w:type="dxa"/>
              <w:right w:w="65" w:type="dxa"/>
            </w:tcMar>
          </w:tcPr>
          <w:p>
            <w:pPr>
              <w:pStyle w:val="TableText"/>
            </w:pPr>
            <w:r>
              <w:t>8.41%</w:t>
            </w:r>
          </w:p>
        </w:tc>
      </w:tr>
      <w:tr>
        <w:trPr>
          <w:cantSplit/>
        </w:trPr>
        <w:tc>
          <w:tcPr>
            <w:tcW w:type="dxa" w:w="4752"/>
            <w:vAlign w:val="top"/>
            <w:tcMar>
              <w:top w:w="40" w:type="dxa"/>
              <w:left w:w="65" w:type="dxa"/>
              <w:bottom w:w="35" w:type="dxa"/>
              <w:right w:w="65" w:type="dxa"/>
            </w:tcMar>
          </w:tcPr>
          <w:p>
            <w:pPr>
              <w:pStyle w:val="TableText"/>
            </w:pPr>
            <w:r>
              <w:t>INSERTED</w:t>
            </w:r>
          </w:p>
        </w:tc>
        <w:tc>
          <w:tcPr>
            <w:tcW w:type="dxa" w:w="2304"/>
            <w:vAlign w:val="top"/>
            <w:tcMar>
              <w:top w:w="40" w:type="dxa"/>
              <w:left w:w="65" w:type="dxa"/>
              <w:bottom w:w="35" w:type="dxa"/>
              <w:right w:w="65" w:type="dxa"/>
            </w:tcMar>
          </w:tcPr>
          <w:p>
            <w:pPr>
              <w:pStyle w:val="TableText"/>
            </w:pPr>
            <w:r>
              <w:t>2,356</w:t>
            </w:r>
          </w:p>
        </w:tc>
        <w:tc>
          <w:tcPr>
            <w:tcW w:type="dxa" w:w="2304"/>
            <w:vAlign w:val="top"/>
            <w:tcMar>
              <w:top w:w="40" w:type="dxa"/>
              <w:left w:w="65" w:type="dxa"/>
              <w:bottom w:w="35" w:type="dxa"/>
              <w:right w:w="65" w:type="dxa"/>
            </w:tcMar>
          </w:tcPr>
          <w:p>
            <w:pPr>
              <w:pStyle w:val="TableText"/>
            </w:pPr>
            <w:r>
              <w:t>4.45%</w:t>
            </w:r>
          </w:p>
        </w:tc>
      </w:tr>
      <w:tr>
        <w:trPr>
          <w:cantSplit/>
        </w:trPr>
        <w:tc>
          <w:tcPr>
            <w:tcW w:type="dxa" w:w="4752"/>
            <w:vAlign w:val="top"/>
            <w:tcMar>
              <w:top w:w="40" w:type="dxa"/>
              <w:left w:w="65" w:type="dxa"/>
              <w:bottom w:w="35" w:type="dxa"/>
              <w:right w:w="65" w:type="dxa"/>
            </w:tcMar>
          </w:tcPr>
          <w:p>
            <w:pPr>
              <w:pStyle w:val="TableText"/>
            </w:pPr>
            <w:r>
              <w:t>DELETED</w:t>
            </w:r>
          </w:p>
        </w:tc>
        <w:tc>
          <w:tcPr>
            <w:tcW w:type="dxa" w:w="2304"/>
            <w:vAlign w:val="top"/>
            <w:tcMar>
              <w:top w:w="40" w:type="dxa"/>
              <w:left w:w="65" w:type="dxa"/>
              <w:bottom w:w="35" w:type="dxa"/>
              <w:right w:w="65" w:type="dxa"/>
            </w:tcMar>
          </w:tcPr>
          <w:p>
            <w:pPr>
              <w:pStyle w:val="TableText"/>
            </w:pPr>
            <w:r>
              <w:t>2,025</w:t>
            </w:r>
          </w:p>
        </w:tc>
        <w:tc>
          <w:tcPr>
            <w:tcW w:type="dxa" w:w="2304"/>
            <w:vAlign w:val="top"/>
            <w:tcMar>
              <w:top w:w="40" w:type="dxa"/>
              <w:left w:w="65" w:type="dxa"/>
              <w:bottom w:w="35" w:type="dxa"/>
              <w:right w:w="65" w:type="dxa"/>
            </w:tcMar>
          </w:tcPr>
          <w:p>
            <w:pPr>
              <w:pStyle w:val="TableText"/>
            </w:pPr>
            <w:r>
              <w:t>3.82%</w:t>
            </w:r>
          </w:p>
        </w:tc>
      </w:tr>
      <w:tr>
        <w:trPr>
          <w:cantSplit/>
        </w:trPr>
        <w:tc>
          <w:tcPr>
            <w:tcW w:type="dxa" w:w="4752"/>
            <w:vAlign w:val="top"/>
            <w:tcMar>
              <w:top w:w="40" w:type="dxa"/>
              <w:left w:w="65" w:type="dxa"/>
              <w:bottom w:w="35" w:type="dxa"/>
              <w:right w:w="65" w:type="dxa"/>
            </w:tcMar>
          </w:tcPr>
          <w:p>
            <w:pPr>
              <w:pStyle w:val="TableText"/>
            </w:pPr>
            <w:r>
              <w:t>SPLIT</w:t>
            </w:r>
          </w:p>
        </w:tc>
        <w:tc>
          <w:tcPr>
            <w:tcW w:type="dxa" w:w="2304"/>
            <w:vAlign w:val="top"/>
            <w:tcMar>
              <w:top w:w="40" w:type="dxa"/>
              <w:left w:w="65" w:type="dxa"/>
              <w:bottom w:w="35" w:type="dxa"/>
              <w:right w:w="65" w:type="dxa"/>
            </w:tcMar>
          </w:tcPr>
          <w:p>
            <w:pPr>
              <w:pStyle w:val="TableText"/>
            </w:pPr>
            <w:r>
              <w:t>261</w:t>
            </w:r>
          </w:p>
        </w:tc>
        <w:tc>
          <w:tcPr>
            <w:tcW w:type="dxa" w:w="2304"/>
            <w:vAlign w:val="top"/>
            <w:tcMar>
              <w:top w:w="40" w:type="dxa"/>
              <w:left w:w="65" w:type="dxa"/>
              <w:bottom w:w="35" w:type="dxa"/>
              <w:right w:w="65" w:type="dxa"/>
            </w:tcMar>
          </w:tcPr>
          <w:p>
            <w:pPr>
              <w:pStyle w:val="TableText"/>
            </w:pPr>
            <w:r>
              <w:t>0.49%</w:t>
            </w:r>
          </w:p>
        </w:tc>
      </w:tr>
      <w:tr>
        <w:trPr>
          <w:cantSplit/>
        </w:trPr>
        <w:tc>
          <w:tcPr>
            <w:tcW w:type="dxa" w:w="4752"/>
            <w:vAlign w:val="top"/>
            <w:tcMar>
              <w:top w:w="40" w:type="dxa"/>
              <w:left w:w="65" w:type="dxa"/>
              <w:bottom w:w="35" w:type="dxa"/>
              <w:right w:w="65" w:type="dxa"/>
            </w:tcMar>
          </w:tcPr>
          <w:p>
            <w:pPr>
              <w:pStyle w:val="TableText"/>
            </w:pPr>
            <w:r>
              <w:t>MERGED</w:t>
            </w:r>
          </w:p>
        </w:tc>
        <w:tc>
          <w:tcPr>
            <w:tcW w:type="dxa" w:w="2304"/>
            <w:vAlign w:val="top"/>
            <w:tcMar>
              <w:top w:w="40" w:type="dxa"/>
              <w:left w:w="65" w:type="dxa"/>
              <w:bottom w:w="35" w:type="dxa"/>
              <w:right w:w="65" w:type="dxa"/>
            </w:tcMar>
          </w:tcPr>
          <w:p>
            <w:pPr>
              <w:pStyle w:val="TableText"/>
            </w:pPr>
            <w:r>
              <w:t>260</w:t>
            </w:r>
          </w:p>
        </w:tc>
        <w:tc>
          <w:tcPr>
            <w:tcW w:type="dxa" w:w="2304"/>
            <w:vAlign w:val="top"/>
            <w:tcMar>
              <w:top w:w="40" w:type="dxa"/>
              <w:left w:w="65" w:type="dxa"/>
              <w:bottom w:w="35" w:type="dxa"/>
              <w:right w:w="65" w:type="dxa"/>
            </w:tcMar>
          </w:tcPr>
          <w:p>
            <w:pPr>
              <w:pStyle w:val="TableText"/>
            </w:pPr>
            <w:r>
              <w:t>0.49%</w:t>
            </w:r>
          </w:p>
        </w:tc>
      </w:tr>
      <w:tr>
        <w:trPr>
          <w:cantSplit/>
        </w:trPr>
        <w:tc>
          <w:tcPr>
            <w:tcW w:type="dxa" w:w="4752"/>
            <w:vAlign w:val="top"/>
            <w:tcMar>
              <w:top w:w="40" w:type="dxa"/>
              <w:left w:w="65" w:type="dxa"/>
              <w:bottom w:w="35" w:type="dxa"/>
              <w:right w:w="65" w:type="dxa"/>
            </w:tcMar>
          </w:tcPr>
          <w:p>
            <w:pPr>
              <w:pStyle w:val="TableText"/>
            </w:pPr>
            <w:r>
              <w:t>MOVED</w:t>
            </w:r>
          </w:p>
        </w:tc>
        <w:tc>
          <w:tcPr>
            <w:tcW w:type="dxa" w:w="2304"/>
            <w:vAlign w:val="top"/>
            <w:tcMar>
              <w:top w:w="40" w:type="dxa"/>
              <w:left w:w="65" w:type="dxa"/>
              <w:bottom w:w="35" w:type="dxa"/>
              <w:right w:w="65" w:type="dxa"/>
            </w:tcMar>
          </w:tcPr>
          <w:p>
            <w:pPr>
              <w:pStyle w:val="TableText"/>
            </w:pPr>
            <w:r>
              <w:t>1,808</w:t>
            </w:r>
          </w:p>
        </w:tc>
        <w:tc>
          <w:tcPr>
            <w:tcW w:type="dxa" w:w="2304"/>
            <w:vAlign w:val="top"/>
            <w:tcMar>
              <w:top w:w="40" w:type="dxa"/>
              <w:left w:w="65" w:type="dxa"/>
              <w:bottom w:w="35" w:type="dxa"/>
              <w:right w:w="65" w:type="dxa"/>
            </w:tcMar>
          </w:tcPr>
          <w:p>
            <w:pPr>
              <w:pStyle w:val="TableText"/>
            </w:pPr>
            <w:r>
              <w:t>3.41%</w:t>
            </w:r>
          </w:p>
        </w:tc>
      </w:tr>
      <w:tr>
        <w:trPr>
          <w:cantSplit/>
        </w:trPr>
        <w:tc>
          <w:tcPr>
            <w:tcW w:type="dxa" w:w="4752"/>
            <w:vAlign w:val="top"/>
            <w:tcMar>
              <w:top w:w="40" w:type="dxa"/>
              <w:left w:w="65" w:type="dxa"/>
              <w:bottom w:w="35" w:type="dxa"/>
              <w:right w:w="65" w:type="dxa"/>
            </w:tcMar>
          </w:tcPr>
          <w:p>
            <w:pPr>
              <w:pStyle w:val="TableText"/>
            </w:pPr>
            <w:r>
              <w:t>UNCERTAIN</w:t>
            </w:r>
          </w:p>
        </w:tc>
        <w:tc>
          <w:tcPr>
            <w:tcW w:type="dxa" w:w="2304"/>
            <w:vAlign w:val="top"/>
            <w:tcMar>
              <w:top w:w="40" w:type="dxa"/>
              <w:left w:w="65" w:type="dxa"/>
              <w:bottom w:w="35" w:type="dxa"/>
              <w:right w:w="65" w:type="dxa"/>
            </w:tcMar>
          </w:tcPr>
          <w:p>
            <w:pPr>
              <w:pStyle w:val="TableText"/>
            </w:pPr>
            <w:r>
              <w:t>5,199</w:t>
            </w:r>
          </w:p>
        </w:tc>
        <w:tc>
          <w:tcPr>
            <w:tcW w:type="dxa" w:w="2304"/>
            <w:vAlign w:val="top"/>
            <w:tcMar>
              <w:top w:w="40" w:type="dxa"/>
              <w:left w:w="65" w:type="dxa"/>
              <w:bottom w:w="35" w:type="dxa"/>
              <w:right w:w="65" w:type="dxa"/>
            </w:tcMar>
          </w:tcPr>
          <w:p>
            <w:pPr>
              <w:pStyle w:val="TableText"/>
            </w:pPr>
            <w:r>
              <w:t>9.82%</w:t>
            </w:r>
          </w:p>
        </w:tc>
      </w:tr>
      <w:tr>
        <w:trPr>
          <w:cantSplit/>
        </w:trPr>
        <w:tc>
          <w:tcPr>
            <w:tcW w:type="dxa" w:w="4752"/>
            <w:vAlign w:val="top"/>
            <w:tcMar>
              <w:top w:w="40" w:type="dxa"/>
              <w:left w:w="65" w:type="dxa"/>
              <w:bottom w:w="35" w:type="dxa"/>
              <w:right w:w="65" w:type="dxa"/>
            </w:tcMar>
          </w:tcPr>
          <w:p>
            <w:pPr>
              <w:pStyle w:val="TableText"/>
            </w:pPr>
            <w:r>
              <w:t>Total</w:t>
            </w:r>
          </w:p>
        </w:tc>
        <w:tc>
          <w:tcPr>
            <w:tcW w:type="dxa" w:w="2304"/>
            <w:vAlign w:val="top"/>
            <w:tcMar>
              <w:top w:w="40" w:type="dxa"/>
              <w:left w:w="65" w:type="dxa"/>
              <w:bottom w:w="35" w:type="dxa"/>
              <w:right w:w="65" w:type="dxa"/>
            </w:tcMar>
          </w:tcPr>
          <w:p>
            <w:pPr>
              <w:pStyle w:val="TableText"/>
            </w:pPr>
            <w:r>
              <w:t>52,953</w:t>
            </w:r>
          </w:p>
        </w:tc>
        <w:tc>
          <w:tcPr>
            <w:tcW w:type="dxa" w:w="2304"/>
            <w:vAlign w:val="top"/>
            <w:tcMar>
              <w:top w:w="40" w:type="dxa"/>
              <w:left w:w="65" w:type="dxa"/>
              <w:bottom w:w="35" w:type="dxa"/>
              <w:right w:w="65" w:type="dxa"/>
            </w:tcMar>
          </w:tcPr>
          <w:p>
            <w:pPr>
              <w:pStyle w:val="TableText"/>
            </w:pPr>
            <w:r>
              <w:t>100.00%</w:t>
            </w:r>
          </w:p>
        </w:tc>
      </w:tr>
    </w:tbl>
    <w:p>
      <w:pPr>
        <w:spacing w:after="0"/>
      </w:pPr>
    </w:p>
    <w:p>
      <w:pPr/>
      <w:r>
        <w:t>These counts sum to 52,953. They describe correspondence records across versions, not the number of distinct semantic requirements and not ambiguity prevalence. Insertions and deletions create endpoint-only records, while split and merge records contain multiple occurrences. The relationship count therefore need not equal the number of document clause occurrences.</w:t>
      </w:r>
    </w:p>
    <w:p>
      <w:pPr>
        <w:pStyle w:val="Caption"/>
        <w:keepNext/>
      </w:pPr>
      <w:r>
        <w:t>Uncalibrated confidence-band distribution over the same 52,953 relationships.</w:t>
      </w:r>
    </w:p>
    <w:tbl>
      <w:tblPr>
        <w:tblStyle w:val="TableGrid"/>
        <w:tblW w:type="auto" w:w="0"/>
        <w:jc w:val="center"/>
        <w:tblLayout w:type="fixed"/>
        <w:tblLook w:firstColumn="1" w:firstRow="1" w:lastColumn="0" w:lastRow="0" w:noHBand="0" w:noVBand="1" w:val="04A0"/>
      </w:tblPr>
      <w:tblGrid>
        <w:gridCol w:w="4752"/>
        <w:gridCol w:w="2304"/>
        <w:gridCol w:w="2304"/>
      </w:tblGrid>
      <w:tr>
        <w:trPr>
          <w:tblHeader w:val="true"/>
          <w:cantSplit/>
        </w:trPr>
        <w:tc>
          <w:tcPr>
            <w:tcW w:type="dxa" w:w="4752"/>
            <w:vAlign w:val="top"/>
            <w:tcMar>
              <w:top w:w="40" w:type="dxa"/>
              <w:left w:w="65" w:type="dxa"/>
              <w:bottom w:w="35" w:type="dxa"/>
              <w:right w:w="65" w:type="dxa"/>
            </w:tcMar>
          </w:tcPr>
          <w:p>
            <w:pPr>
              <w:pStyle w:val="TableHeader"/>
            </w:pPr>
            <w:r>
              <w:t>Confidence</w:t>
            </w:r>
          </w:p>
        </w:tc>
        <w:tc>
          <w:tcPr>
            <w:tcW w:type="dxa" w:w="2304"/>
            <w:vAlign w:val="top"/>
            <w:tcMar>
              <w:top w:w="40" w:type="dxa"/>
              <w:left w:w="65" w:type="dxa"/>
              <w:bottom w:w="35" w:type="dxa"/>
              <w:right w:w="65" w:type="dxa"/>
            </w:tcMar>
          </w:tcPr>
          <w:p>
            <w:pPr>
              <w:pStyle w:val="TableHeader"/>
            </w:pPr>
            <w:r>
              <w:t>Count</w:t>
            </w:r>
          </w:p>
        </w:tc>
        <w:tc>
          <w:tcPr>
            <w:tcW w:type="dxa" w:w="2304"/>
            <w:vAlign w:val="top"/>
            <w:tcMar>
              <w:top w:w="40" w:type="dxa"/>
              <w:left w:w="65" w:type="dxa"/>
              <w:bottom w:w="35" w:type="dxa"/>
              <w:right w:w="65" w:type="dxa"/>
            </w:tcMar>
          </w:tcPr>
          <w:p>
            <w:pPr>
              <w:pStyle w:val="TableHeader"/>
            </w:pPr>
            <w:r>
              <w:t>Percentage</w:t>
            </w:r>
          </w:p>
        </w:tc>
      </w:tr>
      <w:tr>
        <w:trPr>
          <w:cantSplit/>
        </w:trPr>
        <w:tc>
          <w:tcPr>
            <w:tcW w:type="dxa" w:w="4752"/>
            <w:vAlign w:val="top"/>
            <w:tcMar>
              <w:top w:w="40" w:type="dxa"/>
              <w:left w:w="65" w:type="dxa"/>
              <w:bottom w:w="35" w:type="dxa"/>
              <w:right w:w="65" w:type="dxa"/>
            </w:tcMar>
          </w:tcPr>
          <w:p>
            <w:pPr>
              <w:pStyle w:val="TableText"/>
            </w:pPr>
            <w:r>
              <w:t>HIGH</w:t>
            </w:r>
          </w:p>
        </w:tc>
        <w:tc>
          <w:tcPr>
            <w:tcW w:type="dxa" w:w="2304"/>
            <w:vAlign w:val="top"/>
            <w:tcMar>
              <w:top w:w="40" w:type="dxa"/>
              <w:left w:w="65" w:type="dxa"/>
              <w:bottom w:w="35" w:type="dxa"/>
              <w:right w:w="65" w:type="dxa"/>
            </w:tcMar>
          </w:tcPr>
          <w:p>
            <w:pPr>
              <w:pStyle w:val="TableText"/>
            </w:pPr>
            <w:r>
              <w:t>41,377</w:t>
            </w:r>
          </w:p>
        </w:tc>
        <w:tc>
          <w:tcPr>
            <w:tcW w:type="dxa" w:w="2304"/>
            <w:vAlign w:val="top"/>
            <w:tcMar>
              <w:top w:w="40" w:type="dxa"/>
              <w:left w:w="65" w:type="dxa"/>
              <w:bottom w:w="35" w:type="dxa"/>
              <w:right w:w="65" w:type="dxa"/>
            </w:tcMar>
          </w:tcPr>
          <w:p>
            <w:pPr>
              <w:pStyle w:val="TableText"/>
            </w:pPr>
            <w:r>
              <w:t>78.14%</w:t>
            </w:r>
          </w:p>
        </w:tc>
      </w:tr>
      <w:tr>
        <w:trPr>
          <w:cantSplit/>
        </w:trPr>
        <w:tc>
          <w:tcPr>
            <w:tcW w:type="dxa" w:w="4752"/>
            <w:vAlign w:val="top"/>
            <w:tcMar>
              <w:top w:w="40" w:type="dxa"/>
              <w:left w:w="65" w:type="dxa"/>
              <w:bottom w:w="35" w:type="dxa"/>
              <w:right w:w="65" w:type="dxa"/>
            </w:tcMar>
          </w:tcPr>
          <w:p>
            <w:pPr>
              <w:pStyle w:val="TableText"/>
            </w:pPr>
            <w:r>
              <w:t>MEDIUM</w:t>
            </w:r>
          </w:p>
        </w:tc>
        <w:tc>
          <w:tcPr>
            <w:tcW w:type="dxa" w:w="2304"/>
            <w:vAlign w:val="top"/>
            <w:tcMar>
              <w:top w:w="40" w:type="dxa"/>
              <w:left w:w="65" w:type="dxa"/>
              <w:bottom w:w="35" w:type="dxa"/>
              <w:right w:w="65" w:type="dxa"/>
            </w:tcMar>
          </w:tcPr>
          <w:p>
            <w:pPr>
              <w:pStyle w:val="TableText"/>
            </w:pPr>
            <w:r>
              <w:t>1,996</w:t>
            </w:r>
          </w:p>
        </w:tc>
        <w:tc>
          <w:tcPr>
            <w:tcW w:type="dxa" w:w="2304"/>
            <w:vAlign w:val="top"/>
            <w:tcMar>
              <w:top w:w="40" w:type="dxa"/>
              <w:left w:w="65" w:type="dxa"/>
              <w:bottom w:w="35" w:type="dxa"/>
              <w:right w:w="65" w:type="dxa"/>
            </w:tcMar>
          </w:tcPr>
          <w:p>
            <w:pPr>
              <w:pStyle w:val="TableText"/>
            </w:pPr>
            <w:r>
              <w:t>3.77%</w:t>
            </w:r>
          </w:p>
        </w:tc>
      </w:tr>
      <w:tr>
        <w:trPr>
          <w:cantSplit/>
        </w:trPr>
        <w:tc>
          <w:tcPr>
            <w:tcW w:type="dxa" w:w="4752"/>
            <w:vAlign w:val="top"/>
            <w:tcMar>
              <w:top w:w="40" w:type="dxa"/>
              <w:left w:w="65" w:type="dxa"/>
              <w:bottom w:w="35" w:type="dxa"/>
              <w:right w:w="65" w:type="dxa"/>
            </w:tcMar>
          </w:tcPr>
          <w:p>
            <w:pPr>
              <w:pStyle w:val="TableText"/>
            </w:pPr>
            <w:r>
              <w:t>LOW</w:t>
            </w:r>
          </w:p>
        </w:tc>
        <w:tc>
          <w:tcPr>
            <w:tcW w:type="dxa" w:w="2304"/>
            <w:vAlign w:val="top"/>
            <w:tcMar>
              <w:top w:w="40" w:type="dxa"/>
              <w:left w:w="65" w:type="dxa"/>
              <w:bottom w:w="35" w:type="dxa"/>
              <w:right w:w="65" w:type="dxa"/>
            </w:tcMar>
          </w:tcPr>
          <w:p>
            <w:pPr>
              <w:pStyle w:val="TableText"/>
            </w:pPr>
            <w:r>
              <w:t>9,580</w:t>
            </w:r>
          </w:p>
        </w:tc>
        <w:tc>
          <w:tcPr>
            <w:tcW w:type="dxa" w:w="2304"/>
            <w:vAlign w:val="top"/>
            <w:tcMar>
              <w:top w:w="40" w:type="dxa"/>
              <w:left w:w="65" w:type="dxa"/>
              <w:bottom w:w="35" w:type="dxa"/>
              <w:right w:w="65" w:type="dxa"/>
            </w:tcMar>
          </w:tcPr>
          <w:p>
            <w:pPr>
              <w:pStyle w:val="TableText"/>
            </w:pPr>
            <w:r>
              <w:t>18.09%</w:t>
            </w:r>
          </w:p>
        </w:tc>
      </w:tr>
      <w:tr>
        <w:trPr>
          <w:cantSplit/>
        </w:trPr>
        <w:tc>
          <w:tcPr>
            <w:tcW w:type="dxa" w:w="4752"/>
            <w:vAlign w:val="top"/>
            <w:tcMar>
              <w:top w:w="40" w:type="dxa"/>
              <w:left w:w="65" w:type="dxa"/>
              <w:bottom w:w="35" w:type="dxa"/>
              <w:right w:w="65" w:type="dxa"/>
            </w:tcMar>
          </w:tcPr>
          <w:p>
            <w:pPr>
              <w:pStyle w:val="TableText"/>
            </w:pPr>
            <w:r>
              <w:t>Total</w:t>
            </w:r>
          </w:p>
        </w:tc>
        <w:tc>
          <w:tcPr>
            <w:tcW w:type="dxa" w:w="2304"/>
            <w:vAlign w:val="top"/>
            <w:tcMar>
              <w:top w:w="40" w:type="dxa"/>
              <w:left w:w="65" w:type="dxa"/>
              <w:bottom w:w="35" w:type="dxa"/>
              <w:right w:w="65" w:type="dxa"/>
            </w:tcMar>
          </w:tcPr>
          <w:p>
            <w:pPr>
              <w:pStyle w:val="TableText"/>
            </w:pPr>
            <w:r>
              <w:t>52,953</w:t>
            </w:r>
          </w:p>
        </w:tc>
        <w:tc>
          <w:tcPr>
            <w:tcW w:type="dxa" w:w="2304"/>
            <w:vAlign w:val="top"/>
            <w:tcMar>
              <w:top w:w="40" w:type="dxa"/>
              <w:left w:w="65" w:type="dxa"/>
              <w:bottom w:w="35" w:type="dxa"/>
              <w:right w:w="65" w:type="dxa"/>
            </w:tcMar>
          </w:tcPr>
          <w:p>
            <w:pPr>
              <w:pStyle w:val="TableText"/>
            </w:pPr>
            <w:r>
              <w:t>100.00%</w:t>
            </w:r>
          </w:p>
        </w:tc>
      </w:tr>
    </w:tbl>
    <w:p>
      <w:pPr>
        <w:spacing w:after="0"/>
      </w:pPr>
    </w:p>
    <w:p>
      <w:pPr/>
      <w:r>
        <w:t>Confidence counts also sum to 52,953. HIGH is an explicit rule band, not an estimated probability of correctness. A review reason may coexist with HIGH when a relation is complex, moved, crosses classes or changes protected information. Consequently, the 26,884 review-required records—50.77% of all relationships—must not be interpreted as errors or ambiguous clauses.</w:t>
      </w:r>
    </w:p>
    <w:p>
      <w:pPr/>
      <w:r>
        <w:t>The 150-record sample is unlabeled and stratified by relationship/​confidence combination. It contains 58 HIGH, 57 MEDIUM and 35 LOW records. It is designed to expose different failure modes and review needs, not estimate a population proportion without weighting. The full review queue remains available beyond the sample. The 5,199 UNCERTAIN records represent unresolved correspondence decisions requiring particular attention.</w:t>
      </w:r>
    </w:p>
    <w:p>
      <w:pPr/>
      <w:r>
        <w:t>Every endpoint occurrence receives a disposition in its applicable pair. The accepted correspondence relationship rate is 81.91%, excluding INSERTED, DELETED and UNCERTAIN records; this is an operational coverage definition, not precision. Link precision, recall, F1 and candidate recall remain null. The current evaluator requires reviewer identity and complete reviewed document-pair scopes; a partial sample cannot establish full recall by marking itself complete.</w:t>
      </w:r>
    </w:p>
    <w:p>
      <w:pPr>
        <w:pStyle w:val="Heading2"/>
      </w:pPr>
      <w:r>
        <w:t>Reproducibility and Integrity</w:t>
      </w:r>
    </w:p>
    <w:p>
      <w:pPr/>
      <w:r>
        <w:t>Reproduction depends on input identity, algorithm/​configuration identity, model artifacts, candidate ordering, numerical environment and output provenance. Canonical hashes identify configuration and cache content. Model revision and artifact hashes pin the actual resources. Explicit candidate ordering removes the discovered process-hash dependency, while sorted solver components, quantized gains and small secondary preferences reduce numerical tie instability. These controls support the tested environment; they are not a proof of identical optimization choices under all future numerical-library versions.</w:t>
      </w:r>
    </w:p>
    <w:p>
      <w:pPr/>
      <w:r>
        <w:t>Run directories are exclusively created and retained after failure. Original sources, preferred clause files and snapshot hashes have distinct roles. The manifest contains 185 generated-artifact checksums; it does not recursively hash itself. Token windows record source bounds and token hashes, permitting an independent no-truncation check. A separate protected-file baseline verifies the 394 original files. Cache validation does not overwrite completed run outputs.</w:t>
      </w:r>
    </w:p>
    <w:p>
      <w:pPr/>
      <w:r>
        <w:t>The final validator correction occurred after the successful run. Its implementation hash therefore differs from the run-start validator hash in the immutable manifest. The external validation sidecar records the corrected hash instead of rewriting the original provenance. This is an explicit audit-version distinction, not a hidden change to the alignment algorithm. Appendix M provides reproducibility checks and Appendix L identifies the machine-readable evidence.</w:t>
      </w:r>
    </w:p>
    <w:p>
      <w:pPr/>
      <w:r>
        <w:t>Generated corpus and alignment artifacts are ignored by Git. The code commit includes the module, tests, documentation and regression fixture, but a repository checkout alone does not contain the full successful run, preferred clause inputs or local model weights. The Ground Truth team needs the separately supplied immutable artifacts and hashes. This chapter supplies their inventory rather than claiming that a Git push published those datasets.</w:t>
      </w:r>
    </w:p>
    <w:p>
      <w:pPr>
        <w:pStyle w:val="Heading2"/>
      </w:pPr>
      <w:r>
        <w:t>Limitations</w:t>
      </w:r>
    </w:p>
    <w:p>
      <w:pPr/>
      <w:r>
        <w:t>The pilot contains one TLS document family. It cannot support document-family generalization, cross-family temporal claims or protocol-family holdout results. A complete timeline is useful engineering evidence but is not a representative cross-protocol sample. No manually verified Alignment Ground Truth has yet been supplied, so measured precision, recall, F1, relation accuracy and candidate recall remain pending.</w:t>
      </w:r>
    </w:p>
    <w:p>
      <w:pPr/>
      <w:r>
        <w:t>Confidence thresholds and scoring weights are development defaults. The 50.77% review rate is a substantial operational workload, not a calibrated estimate of the number of errors. Short generic wording, repeated boilerplate, section restructuring, many-to-many rewrites and missed retrieval candidates remain likely error-analysis categories. Split/merge coverage checks reduce generic grouping but do not establish semantic equivalence.</w:t>
      </w:r>
    </w:p>
    <w:p>
      <w:pPr/>
      <w:r>
        <w:t>TLS-22 and RFC8446 have deterministic classification provenance, whereas the preferred neighboring snapshots include LLM refinement. These differences can affect review transitions and segmentation comparability. Upstream labels are not human ambiguity judgments. Field, actor and condition signals are sparse surface evidence; reference catalogs and symbolic bibliography expansion remain incomplete.</w:t>
      </w:r>
    </w:p>
    <w:p>
      <w:pPr/>
      <w:r>
        <w:t>MiniLM is a generic sentence encoder. Its short-text training, approximate window/group pooling and potential exposure to later standards in pretraining limit historical interpretation. Date guards prevent explicit future source evidence from entering emitted features, but do not prove that pretrained weights were available or uncontaminated at historical prediction dates. Day/month precision and missing intra-day ordering impose additional restrictions. Automated reviewer-correction application and confidence calibration also remain future work.</w:t>
      </w:r>
    </w:p>
    <w:p>
      <w:pPr>
        <w:pStyle w:val="Heading2"/>
      </w:pPr>
      <w:r>
        <w:t>Handover to Ground Truth</w:t>
      </w:r>
    </w:p>
    <w:p>
      <w:pPr/>
      <w:r>
        <w:t>The receiving team obtains versioned clause snapshots, pairwise relationships and alternatives, persistent lineages, text/​movement/​change indicators, uncalibrated confidence, review reasons, temporal/source provenance, guarded revision features and a 150-record review sample. These products connect clause occurrences and expose uncertainty; they do not decide why a clause changed or whether it was ambiguous.</w:t>
      </w:r>
    </w:p>
    <w:p>
      <w:pPr>
        <w:pStyle w:val="Figure"/>
        <w:jc w:val="center"/>
      </w:pPr>
      <w:r>
        <w:drawing>
          <wp:inline xmlns:a="http://schemas.openxmlformats.org/drawingml/2006/main" xmlns:pic="http://schemas.openxmlformats.org/drawingml/2006/picture">
            <wp:extent cx="5943600" cy="2303145"/>
            <wp:docPr id="7" name="Picture 7" descr="Automatic alignment artifacts first undergo human correspondence verification, producing Alignment Ground Truth; separate revision-reason and ambiguity annotation then produces Ambiguity Ground Truth with role-separated evidence." title="ground truth handover"/>
            <wp:cNvGraphicFramePr>
              <a:graphicFrameLocks noChangeAspect="1"/>
            </wp:cNvGraphicFramePr>
            <a:graphic>
              <a:graphicData uri="http://schemas.openxmlformats.org/drawingml/2006/picture">
                <pic:pic>
                  <pic:nvPicPr>
                    <pic:cNvPr id="0" name="ground_truth_handover.png"/>
                    <pic:cNvPicPr/>
                  </pic:nvPicPr>
                  <pic:blipFill>
                    <a:blip r:embed="rId15"/>
                    <a:stretch>
                      <a:fillRect/>
                    </a:stretch>
                  </pic:blipFill>
                  <pic:spPr>
                    <a:xfrm>
                      <a:off x="0" y="0"/>
                      <a:ext cx="5943600" cy="2303145"/>
                    </a:xfrm>
                    <a:prstGeom prst="rect"/>
                  </pic:spPr>
                </pic:pic>
              </a:graphicData>
            </a:graphic>
          </wp:inline>
        </w:drawing>
      </w:r>
    </w:p>
    <w:p>
      <w:pPr>
        <w:pStyle w:val="Caption"/>
        <w:keepNext w:val="0"/>
      </w:pPr>
      <w:r>
        <w:t>Ground Truth handover. Alignment Ground Truth and Ambiguity Ground Truth are separate annotation products.</w:t>
      </w:r>
    </w:p>
    <w:p>
      <w:pPr/>
      <w:r>
        <w:t>The required receiving workflow is:</w:t>
      </w:r>
    </w:p>
    <w:p>
      <w:pPr>
        <w:pStyle w:val="ListNumber"/>
      </w:pPr>
      <w:r>
        <w:t>Verify or correct endpoint membership and alignment relationships using source context and alternatives.</w:t>
      </w:r>
    </w:p>
    <w:p>
      <w:pPr>
        <w:pStyle w:val="ListNumber"/>
      </w:pPr>
      <w:r>
        <w:t>Create human-reviewed Alignment Ground Truth, retaining reviewer identity, date, rationale, disagreements and adjudication.</w:t>
      </w:r>
    </w:p>
    <w:p>
      <w:pPr>
        <w:pStyle w:val="ListNumber"/>
      </w:pPr>
      <w:r>
        <w:t>Annotate revision reasons independently of correspondence.</w:t>
      </w:r>
    </w:p>
    <w:p>
      <w:pPr>
        <w:pStyle w:val="ListNumber"/>
      </w:pPr>
      <w:r>
        <w:t>Determine whether an observed revision is an ambiguity clarification or another type of change.</w:t>
      </w:r>
    </w:p>
    <w:p>
      <w:pPr>
        <w:pStyle w:val="ListNumber"/>
      </w:pPr>
      <w:r>
        <w:t>Assign AMBIGUOUS, CLEAR or UNCERTAIN labels to the relevant assessed clause, with supporting evidence.</w:t>
      </w:r>
    </w:p>
    <w:p>
      <w:pPr>
        <w:pStyle w:val="ListNumber"/>
      </w:pPr>
      <w:r>
        <w:t>Preserve label-support evidence and annotation metadata separately from prediction-time evidence.</w:t>
      </w:r>
    </w:p>
    <w:p>
      <w:pPr>
        <w:pStyle w:val="ListNumber"/>
      </w:pPr>
      <w:r>
        <w:t>Measure alignment quality before relying on automatic alignment as benchmark infrastructure; obtain complete reviewed scopes for recall.</w:t>
      </w:r>
    </w:p>
    <w:p>
      <w:pPr/>
      <w:r>
        <w:t>Alignment verification is the first part of the Ground Truth workflow. A changed clause is not automatically ambiguous, and absence of an erratum is not proof of clarity. Later drafts, RFCs and discussions may support retrospective labels, but cannot enter earlier prediction-time features. The handover checklist in Appendix N defines the exact artifact and annotation checks required before those outputs are promoted to benchmark evidence.</w:t>
      </w:r>
    </w:p>
    <w:p>
      <w:pPr>
        <w:pStyle w:val="Heading2"/>
      </w:pPr>
      <w:r>
        <w:t>Conclusion</w:t>
      </w:r>
    </w:p>
    <w:p>
      <w:pPr/>
      <w:r>
        <w:t>The TLS-only revision-alignment MVP is technically complete and independently validated within the checks described in this chapter. It provides the versioned clause relationships, lineage, provenance and review artifacts required by the Ground Truth stage. Human alignment evaluation, confidence calibration, ambiguity labeling and cross-family validation remain pending. The reported relationship distributions characterize provisional correspondence and workload; they do not establish alignment accuracy or ambiguity prevalence.</w:t>
      </w:r>
    </w:p>
    <w:p>
      <w:pPr>
        <w:pStyle w:val="Heading3"/>
      </w:pPr>
      <w:r>
        <w:t>Ground Truth handover status</w:t>
      </w:r>
    </w:p>
    <w:p>
      <w:pPr/>
      <w:r>
        <w:t>The automatic TLS alignment package is ready for transfer with its manifest, input snapshots, complete relationship/​candidate outputs, lineage, guarded features and review artifacts. The receiving team should begin by verifying the unlabeled sample and establishing a separately versioned Alignment Ground Truth dataset. No automatic relationship, confidence band or change indicator should be promoted to an ambiguity label without the subsequent evidence-based annotation steps.</w:t>
      </w:r>
    </w:p>
    <w:p>
      <w:pPr>
        <w:pStyle w:val="Heading2"/>
      </w:pPr>
      <w:r>
        <w:t>Sources Used in This Chapter</w:t>
      </w:r>
    </w:p>
    <w:p>
      <w:pPr/>
      <w:r>
        <w:t>Chapter-local reference keys are temporary merge identifiers. Bibliographic details follow the bracketed-reference convention used in the project proposal and literature review; the final editor can deduplicate and renumber them without changing the project-wide bibliography here. Research and official technical sources are listed below. Repository implementation evidence is catalogued separately in the appendices and is not presented as an academic publication.</w:t>
      </w:r>
    </w:p>
    <w:p>
      <w:pPr>
        <w:pStyle w:val="Reference"/>
      </w:pPr>
      <w:r>
        <w:t>[RA-1] S. Bradner, “Key words for use in RFCs to Indicate Requirement Levels,” RFC 2119, March 1997. DOI: 10.17487/RFC2119. https:/​/​www.​rfc-​editor.​org/​rfc/​rfc2119.​html</w:t>
      </w:r>
    </w:p>
    <w:p>
      <w:pPr>
        <w:pStyle w:val="Reference"/>
      </w:pPr>
      <w:r>
        <w:t>[RA-2] B. Leiba, “Ambiguity of Uppercase vs Lowercase in RFC 2119 Key Words,” RFC 8174, May 2017. DOI: 10.17487/RFC8174. https:/​/​www.​rfc-​editor.​org/​rfc/​rfc8174.​html</w:t>
      </w:r>
    </w:p>
    <w:p>
      <w:pPr>
        <w:pStyle w:val="Reference"/>
      </w:pPr>
      <w:r>
        <w:t>[RA-3] E. Rescorla, “The Transport Layer Security (TLS) Protocol Version 1.3,” RFC 8446, August 2018. DOI: 10.17487/RFC8446. https:/​/​www.​rfc-​editor.​org/​info/​rfc8446/​</w:t>
      </w:r>
    </w:p>
    <w:p>
      <w:pPr>
        <w:pStyle w:val="Reference"/>
      </w:pPr>
      <w:r>
        <w:t>[RA-4] N. Reimers and I. Gurevych, “Sentence-BERT: Sentence Embeddings using Siamese BERT-Networks,” Proceedings of EMNLP-IJCNLP, 2019, pp. 3982–3992. DOI: 10.​18653/​v1/​D19-​1410.​ https:/​/​aclanthology.​org/​D19-​1410/​</w:t>
      </w:r>
    </w:p>
    <w:p>
      <w:pPr>
        <w:pStyle w:val="Reference"/>
      </w:pPr>
      <w:r>
        <w:t>[RA-5] Sentence Transformers, “all-MiniLM-L6-v2,” model card, Hugging Face. Consulted 9 September 2026. https:/​/​huggingface.​co/​sentence-​transformers/​all-​MiniLM-​L6-​v2.​ The execution revision and artifact hashes are taken from the retained model record, not inferred from the current model-card page.</w:t>
      </w:r>
    </w:p>
    <w:p>
      <w:pPr>
        <w:pStyle w:val="Reference"/>
      </w:pPr>
      <w:r>
        <w:t>[RA-6] SciPy community, “scipy.​optimize.​linear_​sum_​assignment,” SciPy 1.17.0 reference documentation. Consulted 9 September 2026. https:/​/​docs.​scipy.​org/​doc/​scipy-​1.​17.​0/​reference/​generated/​scipy.​optimize.​linear_​sum_​assignment.​html.​ The run used patch release 1.17.1.</w:t>
      </w:r>
    </w:p>
    <w:p>
      <w:pPr>
        <w:pStyle w:val="Reference"/>
      </w:pPr>
      <w:r>
        <w:t>[RA-7] SciPy community, “scipy.​optimize.​milp,” SciPy 1.17.0 reference documentation. Consulted 9 September 2026. https:/​/​docs.​scipy.​org/​doc/​scipy-​1.​17.​0/​reference/​generated/​scipy.​optimize.​milp.​html.​ The run used patch release 1.17.1.</w:t>
      </w:r>
    </w:p>
    <w:p>
      <w:pPr>
        <w:pStyle w:val="Heading2"/>
      </w:pPr>
      <w:r>
        <w:t>Appendix A: Complete file inventory</w:t>
      </w:r>
    </w:p>
    <w:p>
      <w:pPr/>
      <w:r>
        <w:t>Paths in technical appendices are repository-​relative.​ The implementation inventory records the stage contribution in commit 2d2bc56b71c818a4​6c0b521591d1b069​4710cdb9; it does not imply that generated corpus data is present in Git. Report deliverables are separate from that implementation commit.</w:t>
      </w:r>
    </w:p>
    <w:p>
      <w:pPr>
        <w:pStyle w:val="Caption"/>
        <w:keepNext/>
      </w:pPr>
      <w:r>
        <w:t>Complete 36-file implementation contribution; the earlier implementation report remains unchanged.</w:t>
      </w:r>
    </w:p>
    <w:tbl>
      <w:tblPr>
        <w:tblStyle w:val="TableGrid"/>
        <w:tblW w:type="auto" w:w="0"/>
        <w:jc w:val="center"/>
        <w:tblLayout w:type="fixed"/>
        <w:tblLook w:firstColumn="1" w:firstRow="1" w:lastColumn="0" w:lastRow="0" w:noHBand="0" w:noVBand="1" w:val="04A0"/>
      </w:tblPr>
      <w:tblGrid>
        <w:gridCol w:w="3960"/>
        <w:gridCol w:w="1008"/>
        <w:gridCol w:w="4392"/>
      </w:tblGrid>
      <w:tr>
        <w:trPr>
          <w:tblHeader w:val="true"/>
          <w:cantSplit/>
        </w:trPr>
        <w:tc>
          <w:tcPr>
            <w:tcW w:type="dxa" w:w="3960"/>
            <w:vAlign w:val="top"/>
            <w:tcMar>
              <w:top w:w="40" w:type="dxa"/>
              <w:left w:w="65" w:type="dxa"/>
              <w:bottom w:w="35" w:type="dxa"/>
              <w:right w:w="65" w:type="dxa"/>
            </w:tcMar>
          </w:tcPr>
          <w:p>
            <w:pPr>
              <w:pStyle w:val="TableHeader"/>
            </w:pPr>
            <w:r>
              <w:t>File</w:t>
            </w:r>
          </w:p>
        </w:tc>
        <w:tc>
          <w:tcPr>
            <w:tcW w:type="dxa" w:w="1008"/>
            <w:vAlign w:val="top"/>
            <w:tcMar>
              <w:top w:w="40" w:type="dxa"/>
              <w:left w:w="65" w:type="dxa"/>
              <w:bottom w:w="35" w:type="dxa"/>
              <w:right w:w="65" w:type="dxa"/>
            </w:tcMar>
          </w:tcPr>
          <w:p>
            <w:pPr>
              <w:pStyle w:val="TableHeader"/>
            </w:pPr>
            <w:r>
              <w:t>Status</w:t>
            </w:r>
          </w:p>
        </w:tc>
        <w:tc>
          <w:tcPr>
            <w:tcW w:type="dxa" w:w="4392"/>
            <w:vAlign w:val="top"/>
            <w:tcMar>
              <w:top w:w="40" w:type="dxa"/>
              <w:left w:w="65" w:type="dxa"/>
              <w:bottom w:w="35" w:type="dxa"/>
              <w:right w:w="65" w:type="dxa"/>
            </w:tcMar>
          </w:tcPr>
          <w:p>
            <w:pPr>
              <w:pStyle w:val="TableHeader"/>
            </w:pPr>
            <w:r>
              <w:t>Responsibility</w:t>
            </w:r>
          </w:p>
        </w:tc>
      </w:tr>
      <w:tr>
        <w:trPr>
          <w:cantSplit/>
        </w:trPr>
        <w:tc>
          <w:tcPr>
            <w:tcW w:type="dxa" w:w="3960"/>
            <w:vAlign w:val="top"/>
            <w:tcMar>
              <w:top w:w="40" w:type="dxa"/>
              <w:left w:w="65" w:type="dxa"/>
              <w:bottom w:w="35" w:type="dxa"/>
              <w:right w:w="65" w:type="dxa"/>
            </w:tcMar>
          </w:tcPr>
          <w:p>
            <w:pPr>
              <w:pStyle w:val="TableText"/>
            </w:pPr>
            <w:r>
              <w:rPr>
                <w:rStyle w:val="CodeCharacter"/>
              </w:rPr>
              <w:t>DECISIONS.md</w:t>
            </w:r>
          </w:p>
        </w:tc>
        <w:tc>
          <w:tcPr>
            <w:tcW w:type="dxa" w:w="1008"/>
            <w:vAlign w:val="top"/>
            <w:tcMar>
              <w:top w:w="40" w:type="dxa"/>
              <w:left w:w="65" w:type="dxa"/>
              <w:bottom w:w="35" w:type="dxa"/>
              <w:right w:w="65" w:type="dxa"/>
            </w:tcMar>
          </w:tcPr>
          <w:p>
            <w:pPr>
              <w:pStyle w:val="TableText"/>
            </w:pPr>
            <w:r>
              <w:t>Modified</w:t>
            </w:r>
          </w:p>
        </w:tc>
        <w:tc>
          <w:tcPr>
            <w:tcW w:type="dxa" w:w="4392"/>
            <w:vAlign w:val="top"/>
            <w:tcMar>
              <w:top w:w="40" w:type="dxa"/>
              <w:left w:w="65" w:type="dxa"/>
              <w:bottom w:w="35" w:type="dxa"/>
              <w:right w:w="65" w:type="dxa"/>
            </w:tcMar>
          </w:tcPr>
          <w:p>
            <w:pPr>
              <w:pStyle w:val="TableText"/>
            </w:pPr>
            <w:r>
              <w:t>Approved scope and implementation decisions.</w:t>
            </w:r>
          </w:p>
        </w:tc>
      </w:tr>
      <w:tr>
        <w:trPr>
          <w:cantSplit/>
        </w:trPr>
        <w:tc>
          <w:tcPr>
            <w:tcW w:type="dxa" w:w="3960"/>
            <w:vAlign w:val="top"/>
            <w:tcMar>
              <w:top w:w="40" w:type="dxa"/>
              <w:left w:w="65" w:type="dxa"/>
              <w:bottom w:w="35" w:type="dxa"/>
              <w:right w:w="65" w:type="dxa"/>
            </w:tcMar>
          </w:tcPr>
          <w:p>
            <w:pPr>
              <w:pStyle w:val="TableText"/>
            </w:pPr>
            <w:r>
              <w:rPr>
                <w:rStyle w:val="CodeCharacter"/>
              </w:rPr>
              <w:t>alignment/README.md</w:t>
            </w:r>
          </w:p>
        </w:tc>
        <w:tc>
          <w:tcPr>
            <w:tcW w:type="dxa" w:w="1008"/>
            <w:vAlign w:val="top"/>
            <w:tcMar>
              <w:top w:w="40" w:type="dxa"/>
              <w:left w:w="65" w:type="dxa"/>
              <w:bottom w:w="35" w:type="dxa"/>
              <w:right w:w="65" w:type="dxa"/>
            </w:tcMar>
          </w:tcPr>
          <w:p>
            <w:pPr>
              <w:pStyle w:val="TableText"/>
            </w:pPr>
            <w:r>
              <w:t>Modified</w:t>
            </w:r>
          </w:p>
        </w:tc>
        <w:tc>
          <w:tcPr>
            <w:tcW w:type="dxa" w:w="4392"/>
            <w:vAlign w:val="top"/>
            <w:tcMar>
              <w:top w:w="40" w:type="dxa"/>
              <w:left w:w="65" w:type="dxa"/>
              <w:bottom w:w="35" w:type="dxa"/>
              <w:right w:w="65" w:type="dxa"/>
            </w:tcMar>
          </w:tcPr>
          <w:p>
            <w:pPr>
              <w:pStyle w:val="TableText"/>
            </w:pPr>
            <w:r>
              <w:t>Stage integration and contemporaneous-​feature guidance.</w:t>
            </w:r>
          </w:p>
        </w:tc>
      </w:tr>
      <w:tr>
        <w:trPr>
          <w:cantSplit/>
        </w:trPr>
        <w:tc>
          <w:tcPr>
            <w:tcW w:type="dxa" w:w="3960"/>
            <w:vAlign w:val="top"/>
            <w:tcMar>
              <w:top w:w="40" w:type="dxa"/>
              <w:left w:w="65" w:type="dxa"/>
              <w:bottom w:w="35" w:type="dxa"/>
              <w:right w:w="65" w:type="dxa"/>
            </w:tcMar>
          </w:tcPr>
          <w:p>
            <w:pPr>
              <w:pStyle w:val="TableText"/>
            </w:pPr>
            <w:r>
              <w:rPr>
                <w:rStyle w:val="CodeCharacter"/>
              </w:rPr>
              <w:t>alignment/​segmentation/​models.​py</w:t>
            </w:r>
          </w:p>
        </w:tc>
        <w:tc>
          <w:tcPr>
            <w:tcW w:type="dxa" w:w="1008"/>
            <w:vAlign w:val="top"/>
            <w:tcMar>
              <w:top w:w="40" w:type="dxa"/>
              <w:left w:w="65" w:type="dxa"/>
              <w:bottom w:w="35" w:type="dxa"/>
              <w:right w:w="65" w:type="dxa"/>
            </w:tcMar>
          </w:tcPr>
          <w:p>
            <w:pPr>
              <w:pStyle w:val="TableText"/>
            </w:pPr>
            <w:r>
              <w:t>Modified</w:t>
            </w:r>
          </w:p>
        </w:tc>
        <w:tc>
          <w:tcPr>
            <w:tcW w:type="dxa" w:w="4392"/>
            <w:vAlign w:val="top"/>
            <w:tcMar>
              <w:top w:w="40" w:type="dxa"/>
              <w:left w:w="65" w:type="dxa"/>
              <w:bottom w:w="35" w:type="dxa"/>
              <w:right w:w="65" w:type="dxa"/>
            </w:tcMar>
          </w:tcPr>
          <w:p>
            <w:pPr>
              <w:pStyle w:val="TableText"/>
            </w:pPr>
            <w:r>
              <w:t>Declare existing formal_syntax block type; no segmentation algorithm rewrite.</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alignment/​version_​alignment/​IMPLEMENTATION_​REPORT.​md</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Preserved implementation and historical verification evidence.</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alignment/​version_​alignment/​LEAKAGE.​md</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Prediction/label evidence policy and temporal limitations.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alignment/​version_​alignment/​README.​md</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Usage, method, configuration and limitations.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alignment/​version_​alignment/​SCHEMA.​md</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Format/​cardinality/​review-​contract documentation.</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alignment/​version_​alignment/​_​_​init_​_​.​py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Family, schema and algorithm constants.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alignment/​version_​alignment/​_​_​main_​_​.​py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Module command entry point.</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alignment/​version_​alignment/​candidates.​py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Bidirectional local/global retrieval, exact anchors and bounded group hypotheses.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alignment/​version_​alignment/​cli.​py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Run lifecycle, logging, per-​pair/​consolidated output and failure manifests.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alignment/​version_​alignment/​config.​py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Validated configuration and YAML overrides.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alignment/​version_​alignment/​defaults.​yaml</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Exported default configuration reference.</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alignment/​version_​alignment/​embeddings.​py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Pinned offline model, direct-ID windows, special-token adaptation, batches and cache integrity.</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alignment/​version_​alignment/​features.​py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Observed edit history, distances, change flags and dependency provenance.</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alignment/​version_​alignment/​inputs.​py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TLS discovery, numerical/date timeline, snapshot adaptation and deterministic missing-input preparation.</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alignment/​version_​alignment/​io.​py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Canonical serialization, SHA-256 and exclusive writes.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alignment/​version_​alignment/​lineage.​py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Forward-only lineage identities and ancestry.</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alignment/​version_​alignment/​matching.​py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Bipartite and MILP selection with endpoint exclusivity.</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alignment/​version_​alignment/​models.​py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Typed boundary contracts and identity/​span/​cardinality validation.</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alignment/​version_​alignment/​normalize.​py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NFC, conservative whitespace/bullet handling and multiline preservation.</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alignment/​version_​alignment/​review.​py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Relations, uncertainty, confidence bands, review reasons and sample selection.</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alignment/​version_​alignment/​schema.​json</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JSON Schema generated from typed document/​alignment/​evidence contracts.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alignment/​version_​alignment/​scoring.​py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Lexical/​structural/​protected scores and change signatures.</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alignment/​version_​alignment/​temporal.​py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Role/date guard, admissible prefixes and historical reference resolution.</w:t>
            </w:r>
          </w:p>
        </w:tc>
      </w:tr>
      <w:tr>
        <w:trPr>
          <w:cantSplit/>
        </w:trPr>
        <w:tc>
          <w:tcPr>
            <w:tcW w:type="dxa" w:w="3960"/>
            <w:vAlign w:val="top"/>
            <w:tcMar>
              <w:top w:w="40" w:type="dxa"/>
              <w:left w:w="65" w:type="dxa"/>
              <w:bottom w:w="35" w:type="dxa"/>
              <w:right w:w="65" w:type="dxa"/>
            </w:tcMar>
          </w:tcPr>
          <w:p>
            <w:pPr>
              <w:pStyle w:val="TableText"/>
            </w:pPr>
            <w:r>
              <w:rPr>
                <w:rStyle w:val="CodeCharacter"/>
              </w:rPr>
              <w:t>alignment/​version_​alignment/​validate_​run.​py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Independent read-only artifact, coverage and temporal/token audit.</w:t>
            </w:r>
          </w:p>
        </w:tc>
      </w:tr>
      <w:tr>
        <w:trPr>
          <w:cantSplit/>
        </w:trPr>
        <w:tc>
          <w:tcPr>
            <w:tcW w:type="dxa" w:w="3960"/>
            <w:vAlign w:val="top"/>
            <w:tcMar>
              <w:top w:w="40" w:type="dxa"/>
              <w:left w:w="65" w:type="dxa"/>
              <w:bottom w:w="35" w:type="dxa"/>
              <w:right w:w="65" w:type="dxa"/>
            </w:tcMar>
          </w:tcPr>
          <w:p>
            <w:pPr>
              <w:pStyle w:val="TableText"/>
            </w:pPr>
            <w:r>
              <w:rPr>
                <w:rStyle w:val="CodeCharacter"/>
              </w:rPr>
              <w:t>eval/README.md</w:t>
            </w:r>
          </w:p>
        </w:tc>
        <w:tc>
          <w:tcPr>
            <w:tcW w:type="dxa" w:w="1008"/>
            <w:vAlign w:val="top"/>
            <w:tcMar>
              <w:top w:w="40" w:type="dxa"/>
              <w:left w:w="65" w:type="dxa"/>
              <w:bottom w:w="35" w:type="dxa"/>
              <w:right w:w="65" w:type="dxa"/>
            </w:tcMar>
          </w:tcPr>
          <w:p>
            <w:pPr>
              <w:pStyle w:val="TableText"/>
            </w:pPr>
            <w:r>
              <w:t>Modified</w:t>
            </w:r>
          </w:p>
        </w:tc>
        <w:tc>
          <w:tcPr>
            <w:tcW w:type="dxa" w:w="4392"/>
            <w:vAlign w:val="top"/>
            <w:tcMar>
              <w:top w:w="40" w:type="dxa"/>
              <w:left w:w="65" w:type="dxa"/>
              <w:bottom w:w="35" w:type="dxa"/>
              <w:right w:w="65" w:type="dxa"/>
            </w:tcMar>
          </w:tcPr>
          <w:p>
            <w:pPr>
              <w:pStyle w:val="TableText"/>
            </w:pPr>
            <w:r>
              <w:t>Current alignment evaluation versus future benchmark protocols.</w:t>
            </w:r>
          </w:p>
        </w:tc>
      </w:tr>
      <w:tr>
        <w:trPr>
          <w:cantSplit/>
        </w:trPr>
        <w:tc>
          <w:tcPr>
            <w:tcW w:type="dxa" w:w="3960"/>
            <w:vAlign w:val="top"/>
            <w:tcMar>
              <w:top w:w="40" w:type="dxa"/>
              <w:left w:w="65" w:type="dxa"/>
              <w:bottom w:w="35" w:type="dxa"/>
              <w:right w:w="65" w:type="dxa"/>
            </w:tcMar>
          </w:tcPr>
          <w:p>
            <w:pPr>
              <w:pStyle w:val="TableText"/>
            </w:pPr>
            <w:r>
              <w:rPr>
                <w:rStyle w:val="CodeCharacter"/>
              </w:rPr>
              <w:t>eval/​alignment_​metrics.​py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Operational summaries and optional complete reviewed-scope link/candidate metrics.</w:t>
            </w:r>
          </w:p>
        </w:tc>
      </w:tr>
      <w:tr>
        <w:trPr>
          <w:cantSplit/>
        </w:trPr>
        <w:tc>
          <w:tcPr>
            <w:tcW w:type="dxa" w:w="3960"/>
            <w:vAlign w:val="top"/>
            <w:tcMar>
              <w:top w:w="40" w:type="dxa"/>
              <w:left w:w="65" w:type="dxa"/>
              <w:bottom w:w="35" w:type="dxa"/>
              <w:right w:w="65" w:type="dxa"/>
            </w:tcMar>
          </w:tcPr>
          <w:p>
            <w:pPr>
              <w:pStyle w:val="TableText"/>
            </w:pPr>
            <w:r>
              <w:rPr>
                <w:rStyle w:val="CodeCharacter"/>
              </w:rPr>
              <w:t>experiments/​pilot/​docs/​alignment_​annotation_​guide_​v1.​md</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Independent alignment annotation and correction guidance.</w:t>
            </w:r>
          </w:p>
        </w:tc>
      </w:tr>
      <w:tr>
        <w:trPr>
          <w:cantSplit/>
        </w:trPr>
        <w:tc>
          <w:tcPr>
            <w:tcW w:type="dxa" w:w="3960"/>
            <w:vAlign w:val="top"/>
            <w:tcMar>
              <w:top w:w="40" w:type="dxa"/>
              <w:left w:w="65" w:type="dxa"/>
              <w:bottom w:w="35" w:type="dxa"/>
              <w:right w:w="65" w:type="dxa"/>
            </w:tcMar>
          </w:tcPr>
          <w:p>
            <w:pPr>
              <w:pStyle w:val="TableText"/>
            </w:pPr>
            <w:r>
              <w:rPr>
                <w:rStyle w:val="CodeCharacter"/>
              </w:rPr>
              <w:t>tests/​fixtures/​alignment/​tls08_​overlength.​json</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Original TLS-08 text, token IDs, hashes and decode-expansion regression evidence.</w:t>
            </w:r>
          </w:p>
        </w:tc>
      </w:tr>
      <w:tr>
        <w:trPr>
          <w:cantSplit/>
        </w:trPr>
        <w:tc>
          <w:tcPr>
            <w:tcW w:type="dxa" w:w="3960"/>
            <w:vAlign w:val="top"/>
            <w:tcMar>
              <w:top w:w="40" w:type="dxa"/>
              <w:left w:w="65" w:type="dxa"/>
              <w:bottom w:w="35" w:type="dxa"/>
              <w:right w:w="65" w:type="dxa"/>
            </w:tcMar>
          </w:tcPr>
          <w:p>
            <w:pPr>
              <w:pStyle w:val="TableText"/>
            </w:pPr>
            <w:r>
              <w:rPr>
                <w:rStyle w:val="CodeCharacter"/>
              </w:rPr>
              <w:t>tests/​test_​alignment_​contracts.​py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Deterministic contracts verification; see Appendix K.</w:t>
            </w:r>
          </w:p>
        </w:tc>
      </w:tr>
      <w:tr>
        <w:trPr>
          <w:cantSplit/>
        </w:trPr>
        <w:tc>
          <w:tcPr>
            <w:tcW w:type="dxa" w:w="3960"/>
            <w:vAlign w:val="top"/>
            <w:tcMar>
              <w:top w:w="40" w:type="dxa"/>
              <w:left w:w="65" w:type="dxa"/>
              <w:bottom w:w="35" w:type="dxa"/>
              <w:right w:w="65" w:type="dxa"/>
            </w:tcMar>
          </w:tcPr>
          <w:p>
            <w:pPr>
              <w:pStyle w:val="TableText"/>
            </w:pPr>
            <w:r>
              <w:rPr>
                <w:rStyle w:val="CodeCharacter"/>
              </w:rPr>
              <w:t>tests/​test_​alignment_​embeddings.​py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Deterministic embeddings verification; see Appendix K.</w:t>
            </w:r>
          </w:p>
        </w:tc>
      </w:tr>
      <w:tr>
        <w:trPr>
          <w:cantSplit/>
        </w:trPr>
        <w:tc>
          <w:tcPr>
            <w:tcW w:type="dxa" w:w="3960"/>
            <w:vAlign w:val="top"/>
            <w:tcMar>
              <w:top w:w="40" w:type="dxa"/>
              <w:left w:w="65" w:type="dxa"/>
              <w:bottom w:w="35" w:type="dxa"/>
              <w:right w:w="65" w:type="dxa"/>
            </w:tcMar>
          </w:tcPr>
          <w:p>
            <w:pPr>
              <w:pStyle w:val="TableText"/>
            </w:pPr>
            <w:r>
              <w:rPr>
                <w:rStyle w:val="CodeCharacter"/>
              </w:rPr>
              <w:t>tests/​test_​alignment_​inputs.​py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Deterministic inputs verification; see Appendix K.</w:t>
            </w:r>
          </w:p>
        </w:tc>
      </w:tr>
      <w:tr>
        <w:trPr>
          <w:cantSplit/>
        </w:trPr>
        <w:tc>
          <w:tcPr>
            <w:tcW w:type="dxa" w:w="3960"/>
            <w:vAlign w:val="top"/>
            <w:tcMar>
              <w:top w:w="40" w:type="dxa"/>
              <w:left w:w="65" w:type="dxa"/>
              <w:bottom w:w="35" w:type="dxa"/>
              <w:right w:w="65" w:type="dxa"/>
            </w:tcMar>
          </w:tcPr>
          <w:p>
            <w:pPr>
              <w:pStyle w:val="TableText"/>
            </w:pPr>
            <w:r>
              <w:rPr>
                <w:rStyle w:val="CodeCharacter"/>
              </w:rPr>
              <w:t>tests/​test_​alignment_​integration.​py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Deterministic integration verification; see Appendix K.</w:t>
            </w:r>
          </w:p>
        </w:tc>
      </w:tr>
      <w:tr>
        <w:trPr>
          <w:cantSplit/>
        </w:trPr>
        <w:tc>
          <w:tcPr>
            <w:tcW w:type="dxa" w:w="3960"/>
            <w:vAlign w:val="top"/>
            <w:tcMar>
              <w:top w:w="40" w:type="dxa"/>
              <w:left w:w="65" w:type="dxa"/>
              <w:bottom w:w="35" w:type="dxa"/>
              <w:right w:w="65" w:type="dxa"/>
            </w:tcMar>
          </w:tcPr>
          <w:p>
            <w:pPr>
              <w:pStyle w:val="TableText"/>
            </w:pPr>
            <w:r>
              <w:rPr>
                <w:rStyle w:val="CodeCharacter"/>
              </w:rPr>
              <w:t>tests/​test_​alignment_​matching.​py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Deterministic matching verification; see Appendix K.</w:t>
            </w:r>
          </w:p>
        </w:tc>
      </w:tr>
      <w:tr>
        <w:trPr>
          <w:cantSplit/>
        </w:trPr>
        <w:tc>
          <w:tcPr>
            <w:tcW w:type="dxa" w:w="3960"/>
            <w:vAlign w:val="top"/>
            <w:tcMar>
              <w:top w:w="40" w:type="dxa"/>
              <w:left w:w="65" w:type="dxa"/>
              <w:bottom w:w="35" w:type="dxa"/>
              <w:right w:w="65" w:type="dxa"/>
            </w:tcMar>
          </w:tcPr>
          <w:p>
            <w:pPr>
              <w:pStyle w:val="TableText"/>
            </w:pPr>
            <w:r>
              <w:rPr>
                <w:rStyle w:val="CodeCharacter"/>
              </w:rPr>
              <w:t>tests/​test_​alignment_​temporal.​py</w:t>
            </w:r>
          </w:p>
        </w:tc>
        <w:tc>
          <w:tcPr>
            <w:tcW w:type="dxa" w:w="1008"/>
            <w:vAlign w:val="top"/>
            <w:tcMar>
              <w:top w:w="40" w:type="dxa"/>
              <w:left w:w="65" w:type="dxa"/>
              <w:bottom w:w="35" w:type="dxa"/>
              <w:right w:w="65" w:type="dxa"/>
            </w:tcMar>
          </w:tcPr>
          <w:p>
            <w:pPr>
              <w:pStyle w:val="TableText"/>
            </w:pPr>
            <w:r>
              <w:t>Added</w:t>
            </w:r>
          </w:p>
        </w:tc>
        <w:tc>
          <w:tcPr>
            <w:tcW w:type="dxa" w:w="4392"/>
            <w:vAlign w:val="top"/>
            <w:tcMar>
              <w:top w:w="40" w:type="dxa"/>
              <w:left w:w="65" w:type="dxa"/>
              <w:bottom w:w="35" w:type="dxa"/>
              <w:right w:w="65" w:type="dxa"/>
            </w:tcMar>
          </w:tcPr>
          <w:p>
            <w:pPr>
              <w:pStyle w:val="TableText"/>
            </w:pPr>
            <w:r>
              <w:t>Deterministic temporal verification; see Appendix K.</w:t>
            </w:r>
          </w:p>
        </w:tc>
      </w:tr>
    </w:tbl>
    <w:p>
      <w:pPr>
        <w:spacing w:after="0"/>
      </w:pPr>
    </w:p>
    <w:p>
      <w:pPr/>
      <w:r>
        <w:t xml:space="preserve">Reused interfaces are provided by </w:t>
      </w:r>
      <w:r>
        <w:rPr>
          <w:rStyle w:val="CodeCharacter"/>
        </w:rPr>
        <w:t>alignment/​segmentation/​_​_​init_​_​.​py</w:t>
      </w:r>
      <w:r>
        <w:t xml:space="preserve"> and </w:t>
      </w:r>
      <w:r>
        <w:rPr>
          <w:rStyle w:val="CodeCharacter"/>
        </w:rPr>
        <w:t>alignment/​clause_​segmentation/​_​_​init_​_​.​py</w:t>
      </w:r>
      <w:r>
        <w:t xml:space="preserve">; metadata inputs are </w:t>
      </w:r>
      <w:r>
        <w:rPr>
          <w:rStyle w:val="CodeCharacter"/>
        </w:rPr>
        <w:t>corpus/​metadata/​drafts.​json</w:t>
      </w:r>
      <w:r>
        <w:t xml:space="preserve"> and </w:t>
      </w:r>
      <w:r>
        <w:rPr>
          <w:rStyle w:val="CodeCharacter"/>
        </w:rPr>
        <w:t>corpus/​metadata/​rfcs.​json</w:t>
      </w:r>
      <w:r>
        <w:t xml:space="preserve">. The project context was read from </w:t>
      </w:r>
      <w:r>
        <w:rPr>
          <w:rStyle w:val="CodeCharacter"/>
        </w:rPr>
        <w:t>Proposal/Group 14_​Initial_​Project_​Proposal.​pdf</w:t>
      </w:r>
      <w:r>
        <w:t xml:space="preserve"> and </w:t>
      </w:r>
      <w:r>
        <w:rPr>
          <w:rStyle w:val="CodeCharacter"/>
        </w:rPr>
        <w:t>Proposal/​Literature_​Review updated.pdf</w:t>
      </w:r>
      <w:r>
        <w:t>. These are internal project materials, not entries substituted for research references.</w:t>
      </w:r>
    </w:p>
    <w:p>
      <w:pPr/>
      <w:r>
        <w:t xml:space="preserve">New report deliverables are </w:t>
      </w:r>
      <w:r>
        <w:rPr>
          <w:rStyle w:val="CodeCharacter"/>
        </w:rPr>
        <w:t>alignment/​version_​alignment/​reports/​TLS_​Revision_​Alignment_​Stage_​Report.​md</w:t>
      </w:r>
      <w:r>
        <w:t xml:space="preserve"> and </w:t>
      </w:r>
      <w:r>
        <w:rPr>
          <w:rStyle w:val="CodeCharacter"/>
        </w:rPr>
        <w:t>alignment/​version_​alignment/​reports/​TLS_​Revision_​Alignment_​Stage_​Report.​docx</w:t>
      </w:r>
      <w:r>
        <w:t xml:space="preserve">, with seven supporting images under </w:t>
      </w:r>
      <w:r>
        <w:rPr>
          <w:rStyle w:val="CodeCharacter"/>
        </w:rPr>
        <w:t>alignment/​version_​alignment/​reports/​assets/​</w:t>
      </w:r>
      <w:r>
        <w:t xml:space="preserve">. They do not overwrite </w:t>
      </w:r>
      <w:r>
        <w:rPr>
          <w:rStyle w:val="CodeCharacter"/>
        </w:rPr>
        <w:t>alignment/​version_​alignment/​IMPLEMENTATION_​REPORT.​md</w:t>
      </w:r>
      <w:r>
        <w:t>.</w:t>
      </w:r>
    </w:p>
    <w:p>
      <w:pPr>
        <w:pStyle w:val="Heading2"/>
      </w:pPr>
      <w:r>
        <w:t>Appendix B: Module and function reference</w:t>
      </w:r>
    </w:p>
    <w:p>
      <w:pPr/>
      <w:r>
        <w:t xml:space="preserve">All module paths below are relative to </w:t>
      </w:r>
      <w:r>
        <w:rPr>
          <w:rStyle w:val="CodeCharacter"/>
        </w:rPr>
        <w:t>alignment/​version_​alignment/​</w:t>
      </w:r>
      <w:r>
        <w:t>. This reference lists module-level functions/classes and class methods, including validation and private helpers. Nested runner closures are implementation details, not additional public APIs. Contracts and examples in Appendix E determine the field-level interfaces.</w:t>
      </w:r>
    </w:p>
    <w:p>
      <w:pPr>
        <w:pStyle w:val="Caption"/>
        <w:keepNext/>
      </w:pPr>
      <w:r>
        <w:t>Complete callable/class reference extracted from the inspected Python source.</w:t>
      </w:r>
    </w:p>
    <w:tbl>
      <w:tblPr>
        <w:tblStyle w:val="TableGrid"/>
        <w:tblW w:type="auto" w:w="0"/>
        <w:jc w:val="center"/>
        <w:tblLayout w:type="fixed"/>
        <w:tblLook w:firstColumn="1" w:firstRow="1" w:lastColumn="0" w:lastRow="0" w:noHBand="0" w:noVBand="1" w:val="04A0"/>
      </w:tblPr>
      <w:tblGrid>
        <w:gridCol w:w="1872"/>
        <w:gridCol w:w="3024"/>
        <w:gridCol w:w="4464"/>
      </w:tblGrid>
      <w:tr>
        <w:trPr>
          <w:tblHeader w:val="true"/>
          <w:cantSplit/>
        </w:trPr>
        <w:tc>
          <w:tcPr>
            <w:tcW w:type="dxa" w:w="1872"/>
            <w:vAlign w:val="top"/>
            <w:tcMar>
              <w:top w:w="40" w:type="dxa"/>
              <w:left w:w="65" w:type="dxa"/>
              <w:bottom w:w="35" w:type="dxa"/>
              <w:right w:w="65" w:type="dxa"/>
            </w:tcMar>
          </w:tcPr>
          <w:p>
            <w:pPr>
              <w:pStyle w:val="TableHeader"/>
            </w:pPr>
            <w:r>
              <w:t>Module</w:t>
            </w:r>
          </w:p>
        </w:tc>
        <w:tc>
          <w:tcPr>
            <w:tcW w:type="dxa" w:w="3024"/>
            <w:vAlign w:val="top"/>
            <w:tcMar>
              <w:top w:w="40" w:type="dxa"/>
              <w:left w:w="65" w:type="dxa"/>
              <w:bottom w:w="35" w:type="dxa"/>
              <w:right w:w="65" w:type="dxa"/>
            </w:tcMar>
          </w:tcPr>
          <w:p>
            <w:pPr>
              <w:pStyle w:val="TableHeader"/>
            </w:pPr>
            <w:r>
              <w:t>Entry</w:t>
            </w:r>
          </w:p>
        </w:tc>
        <w:tc>
          <w:tcPr>
            <w:tcW w:type="dxa" w:w="4464"/>
            <w:vAlign w:val="top"/>
            <w:tcMar>
              <w:top w:w="40" w:type="dxa"/>
              <w:left w:w="65" w:type="dxa"/>
              <w:bottom w:w="35" w:type="dxa"/>
              <w:right w:w="65" w:type="dxa"/>
            </w:tcMar>
          </w:tcPr>
          <w:p>
            <w:pPr>
              <w:pStyle w:val="TableHeader"/>
            </w:pPr>
            <w:r>
              <w:t>Purpose</w:t>
            </w:r>
          </w:p>
        </w:tc>
      </w:tr>
      <w:tr>
        <w:trPr>
          <w:cantSplit/>
        </w:trPr>
        <w:tc>
          <w:tcPr>
            <w:tcW w:type="dxa" w:w="1872"/>
            <w:vAlign w:val="top"/>
            <w:tcMar>
              <w:top w:w="40" w:type="dxa"/>
              <w:left w:w="65" w:type="dxa"/>
              <w:bottom w:w="35" w:type="dxa"/>
              <w:right w:w="65" w:type="dxa"/>
            </w:tcMar>
          </w:tcPr>
          <w:p>
            <w:pPr>
              <w:pStyle w:val="TableText"/>
            </w:pPr>
            <w:r>
              <w:rPr>
                <w:rStyle w:val="CodeCharacter"/>
              </w:rPr>
              <w:t>candidates.py</w:t>
            </w:r>
          </w:p>
        </w:tc>
        <w:tc>
          <w:tcPr>
            <w:tcW w:type="dxa" w:w="3024"/>
            <w:vAlign w:val="top"/>
            <w:tcMar>
              <w:top w:w="40" w:type="dxa"/>
              <w:left w:w="65" w:type="dxa"/>
              <w:bottom w:w="35" w:type="dxa"/>
              <w:right w:w="65" w:type="dxa"/>
            </w:tcMar>
          </w:tcPr>
          <w:p>
            <w:pPr>
              <w:pStyle w:val="TableText"/>
            </w:pPr>
            <w:r>
              <w:rPr>
                <w:rStyle w:val="CodeCharacter"/>
              </w:rPr>
              <w:t>Candidate</w:t>
            </w:r>
          </w:p>
        </w:tc>
        <w:tc>
          <w:tcPr>
            <w:tcW w:type="dxa" w:w="4464"/>
            <w:vAlign w:val="top"/>
            <w:tcMar>
              <w:top w:w="40" w:type="dxa"/>
              <w:left w:w="65" w:type="dxa"/>
              <w:bottom w:w="35" w:type="dxa"/>
              <w:right w:w="65" w:type="dxa"/>
            </w:tcMar>
          </w:tcPr>
          <w:p>
            <w:pPr>
              <w:pStyle w:val="TableText"/>
            </w:pPr>
            <w:r>
              <w:t>Candidate endpoint tuples, component scores and exact/locked flags.</w:t>
            </w:r>
          </w:p>
        </w:tc>
      </w:tr>
      <w:tr>
        <w:trPr>
          <w:cantSplit/>
        </w:trPr>
        <w:tc>
          <w:tcPr>
            <w:tcW w:type="dxa" w:w="1872"/>
            <w:vAlign w:val="top"/>
            <w:tcMar>
              <w:top w:w="40" w:type="dxa"/>
              <w:left w:w="65" w:type="dxa"/>
              <w:bottom w:w="35" w:type="dxa"/>
              <w:right w:w="65" w:type="dxa"/>
            </w:tcMar>
          </w:tcPr>
          <w:p>
            <w:pPr>
              <w:pStyle w:val="TableText"/>
            </w:pPr>
            <w:r>
              <w:rPr>
                <w:rStyle w:val="CodeCharacter"/>
              </w:rPr>
              <w:t>candidates.py</w:t>
            </w:r>
          </w:p>
        </w:tc>
        <w:tc>
          <w:tcPr>
            <w:tcW w:type="dxa" w:w="3024"/>
            <w:vAlign w:val="top"/>
            <w:tcMar>
              <w:top w:w="40" w:type="dxa"/>
              <w:left w:w="65" w:type="dxa"/>
              <w:bottom w:w="35" w:type="dxa"/>
              <w:right w:w="65" w:type="dxa"/>
            </w:tcMar>
          </w:tcPr>
          <w:p>
            <w:pPr>
              <w:pStyle w:val="TableText"/>
            </w:pPr>
            <w:r>
              <w:rPr>
                <w:rStyle w:val="CodeCharacter"/>
              </w:rPr>
              <w:t>Candidate.combined</w:t>
            </w:r>
          </w:p>
        </w:tc>
        <w:tc>
          <w:tcPr>
            <w:tcW w:type="dxa" w:w="4464"/>
            <w:vAlign w:val="top"/>
            <w:tcMar>
              <w:top w:w="40" w:type="dxa"/>
              <w:left w:w="65" w:type="dxa"/>
              <w:bottom w:w="35" w:type="dxa"/>
              <w:right w:w="65" w:type="dxa"/>
            </w:tcMar>
          </w:tcPr>
          <w:p>
            <w:pPr>
              <w:pStyle w:val="TableText"/>
            </w:pPr>
            <w:r>
              <w:t>Expose the stored combined score as a float.</w:t>
            </w:r>
          </w:p>
        </w:tc>
      </w:tr>
      <w:tr>
        <w:trPr>
          <w:cantSplit/>
        </w:trPr>
        <w:tc>
          <w:tcPr>
            <w:tcW w:type="dxa" w:w="1872"/>
            <w:vAlign w:val="top"/>
            <w:tcMar>
              <w:top w:w="40" w:type="dxa"/>
              <w:left w:w="65" w:type="dxa"/>
              <w:bottom w:w="35" w:type="dxa"/>
              <w:right w:w="65" w:type="dxa"/>
            </w:tcMar>
          </w:tcPr>
          <w:p>
            <w:pPr>
              <w:pStyle w:val="TableText"/>
            </w:pPr>
            <w:r>
              <w:rPr>
                <w:rStyle w:val="CodeCharacter"/>
              </w:rPr>
              <w:t>candidates.py</w:t>
            </w:r>
          </w:p>
        </w:tc>
        <w:tc>
          <w:tcPr>
            <w:tcW w:type="dxa" w:w="3024"/>
            <w:vAlign w:val="top"/>
            <w:tcMar>
              <w:top w:w="40" w:type="dxa"/>
              <w:left w:w="65" w:type="dxa"/>
              <w:bottom w:w="35" w:type="dxa"/>
              <w:right w:w="65" w:type="dxa"/>
            </w:tcMar>
          </w:tcPr>
          <w:p>
            <w:pPr>
              <w:pStyle w:val="TableText"/>
            </w:pPr>
            <w:r>
              <w:rPr>
                <w:rStyle w:val="CodeCharacter"/>
              </w:rPr>
              <w:t>joined</w:t>
            </w:r>
          </w:p>
        </w:tc>
        <w:tc>
          <w:tcPr>
            <w:tcW w:type="dxa" w:w="4464"/>
            <w:vAlign w:val="top"/>
            <w:tcMar>
              <w:top w:w="40" w:type="dxa"/>
              <w:left w:w="65" w:type="dxa"/>
              <w:bottom w:w="35" w:type="dxa"/>
              <w:right w:w="65" w:type="dxa"/>
            </w:tcMar>
          </w:tcPr>
          <w:p>
            <w:pPr>
              <w:pStyle w:val="TableText"/>
            </w:pPr>
            <w:r>
              <w:t>Copy the first clause and concatenate group text and reference targets.</w:t>
            </w:r>
          </w:p>
        </w:tc>
      </w:tr>
      <w:tr>
        <w:trPr>
          <w:cantSplit/>
        </w:trPr>
        <w:tc>
          <w:tcPr>
            <w:tcW w:type="dxa" w:w="1872"/>
            <w:vAlign w:val="top"/>
            <w:tcMar>
              <w:top w:w="40" w:type="dxa"/>
              <w:left w:w="65" w:type="dxa"/>
              <w:bottom w:w="35" w:type="dxa"/>
              <w:right w:w="65" w:type="dxa"/>
            </w:tcMar>
          </w:tcPr>
          <w:p>
            <w:pPr>
              <w:pStyle w:val="TableText"/>
            </w:pPr>
            <w:r>
              <w:rPr>
                <w:rStyle w:val="CodeCharacter"/>
              </w:rPr>
              <w:t>candidates.py</w:t>
            </w:r>
          </w:p>
        </w:tc>
        <w:tc>
          <w:tcPr>
            <w:tcW w:type="dxa" w:w="3024"/>
            <w:vAlign w:val="top"/>
            <w:tcMar>
              <w:top w:w="40" w:type="dxa"/>
              <w:left w:w="65" w:type="dxa"/>
              <w:bottom w:w="35" w:type="dxa"/>
              <w:right w:w="65" w:type="dxa"/>
            </w:tcMar>
          </w:tcPr>
          <w:p>
            <w:pPr>
              <w:pStyle w:val="TableText"/>
            </w:pPr>
            <w:r>
              <w:rPr>
                <w:rStyle w:val="CodeCharacter"/>
              </w:rPr>
              <w:t>candidate_graph</w:t>
            </w:r>
          </w:p>
        </w:tc>
        <w:tc>
          <w:tcPr>
            <w:tcW w:type="dxa" w:w="4464"/>
            <w:vAlign w:val="top"/>
            <w:tcMar>
              <w:top w:w="40" w:type="dxa"/>
              <w:left w:w="65" w:type="dxa"/>
              <w:bottom w:w="35" w:type="dxa"/>
              <w:right w:w="65" w:type="dxa"/>
            </w:tcMar>
          </w:tcPr>
          <w:p>
            <w:pPr>
              <w:pStyle w:val="TableText"/>
            </w:pPr>
            <w:r>
              <w:t>Retrieve deterministic bidirectional edges and bounded adjacent group hypotheses.</w:t>
            </w:r>
          </w:p>
        </w:tc>
      </w:tr>
      <w:tr>
        <w:trPr>
          <w:cantSplit/>
        </w:trPr>
        <w:tc>
          <w:tcPr>
            <w:tcW w:type="dxa" w:w="1872"/>
            <w:vAlign w:val="top"/>
            <w:tcMar>
              <w:top w:w="40" w:type="dxa"/>
              <w:left w:w="65" w:type="dxa"/>
              <w:bottom w:w="35" w:type="dxa"/>
              <w:right w:w="65" w:type="dxa"/>
            </w:tcMar>
          </w:tcPr>
          <w:p>
            <w:pPr>
              <w:pStyle w:val="TableText"/>
            </w:pPr>
            <w:r>
              <w:rPr>
                <w:rStyle w:val="CodeCharacter"/>
              </w:rPr>
              <w:t>cli.py</w:t>
            </w:r>
          </w:p>
        </w:tc>
        <w:tc>
          <w:tcPr>
            <w:tcW w:type="dxa" w:w="3024"/>
            <w:vAlign w:val="top"/>
            <w:tcMar>
              <w:top w:w="40" w:type="dxa"/>
              <w:left w:w="65" w:type="dxa"/>
              <w:bottom w:w="35" w:type="dxa"/>
              <w:right w:w="65" w:type="dxa"/>
            </w:tcMar>
          </w:tcPr>
          <w:p>
            <w:pPr>
              <w:pStyle w:val="TableText"/>
            </w:pPr>
            <w:r>
              <w:rPr>
                <w:rStyle w:val="CodeCharacter"/>
              </w:rPr>
              <w:t>run</w:t>
            </w:r>
          </w:p>
        </w:tc>
        <w:tc>
          <w:tcPr>
            <w:tcW w:type="dxa" w:w="4464"/>
            <w:vAlign w:val="top"/>
            <w:tcMar>
              <w:top w:w="40" w:type="dxa"/>
              <w:left w:w="65" w:type="dxa"/>
              <w:bottom w:w="35" w:type="dxa"/>
              <w:right w:w="65" w:type="dxa"/>
            </w:tcMar>
          </w:tcPr>
          <w:p>
            <w:pPr>
              <w:pStyle w:val="TableText"/>
            </w:pPr>
            <w:r>
              <w:t>Execute validated run stages and persist outputs or an explicit failure record.</w:t>
            </w:r>
          </w:p>
        </w:tc>
      </w:tr>
      <w:tr>
        <w:trPr>
          <w:cantSplit/>
        </w:trPr>
        <w:tc>
          <w:tcPr>
            <w:tcW w:type="dxa" w:w="1872"/>
            <w:vAlign w:val="top"/>
            <w:tcMar>
              <w:top w:w="40" w:type="dxa"/>
              <w:left w:w="65" w:type="dxa"/>
              <w:bottom w:w="35" w:type="dxa"/>
              <w:right w:w="65" w:type="dxa"/>
            </w:tcMar>
          </w:tcPr>
          <w:p>
            <w:pPr>
              <w:pStyle w:val="TableText"/>
            </w:pPr>
            <w:r>
              <w:rPr>
                <w:rStyle w:val="CodeCharacter"/>
              </w:rPr>
              <w:t>cli.py</w:t>
            </w:r>
          </w:p>
        </w:tc>
        <w:tc>
          <w:tcPr>
            <w:tcW w:type="dxa" w:w="3024"/>
            <w:vAlign w:val="top"/>
            <w:tcMar>
              <w:top w:w="40" w:type="dxa"/>
              <w:left w:w="65" w:type="dxa"/>
              <w:bottom w:w="35" w:type="dxa"/>
              <w:right w:w="65" w:type="dxa"/>
            </w:tcMar>
          </w:tcPr>
          <w:p>
            <w:pPr>
              <w:pStyle w:val="TableText"/>
            </w:pPr>
            <w:r>
              <w:rPr>
                <w:rStyle w:val="CodeCharacter"/>
              </w:rPr>
              <w:t>main</w:t>
            </w:r>
          </w:p>
        </w:tc>
        <w:tc>
          <w:tcPr>
            <w:tcW w:type="dxa" w:w="4464"/>
            <w:vAlign w:val="top"/>
            <w:tcMar>
              <w:top w:w="40" w:type="dxa"/>
              <w:left w:w="65" w:type="dxa"/>
              <w:bottom w:w="35" w:type="dxa"/>
              <w:right w:w="65" w:type="dxa"/>
            </w:tcMar>
          </w:tcPr>
          <w:p>
            <w:pPr>
              <w:pStyle w:val="TableText"/>
            </w:pPr>
            <w:r>
              <w:t>Parse command-line arguments and dispatch the alignment run.</w:t>
            </w:r>
          </w:p>
        </w:tc>
      </w:tr>
      <w:tr>
        <w:trPr>
          <w:cantSplit/>
        </w:trPr>
        <w:tc>
          <w:tcPr>
            <w:tcW w:type="dxa" w:w="1872"/>
            <w:vAlign w:val="top"/>
            <w:tcMar>
              <w:top w:w="40" w:type="dxa"/>
              <w:left w:w="65" w:type="dxa"/>
              <w:bottom w:w="35" w:type="dxa"/>
              <w:right w:w="65" w:type="dxa"/>
            </w:tcMar>
          </w:tcPr>
          <w:p>
            <w:pPr>
              <w:pStyle w:val="TableText"/>
            </w:pPr>
            <w:r>
              <w:rPr>
                <w:rStyle w:val="CodeCharacter"/>
              </w:rPr>
              <w:t>config.py</w:t>
            </w:r>
          </w:p>
        </w:tc>
        <w:tc>
          <w:tcPr>
            <w:tcW w:type="dxa" w:w="3024"/>
            <w:vAlign w:val="top"/>
            <w:tcMar>
              <w:top w:w="40" w:type="dxa"/>
              <w:left w:w="65" w:type="dxa"/>
              <w:bottom w:w="35" w:type="dxa"/>
              <w:right w:w="65" w:type="dxa"/>
            </w:tcMar>
          </w:tcPr>
          <w:p>
            <w:pPr>
              <w:pStyle w:val="TableText"/>
            </w:pPr>
            <w:r>
              <w:rPr>
                <w:rStyle w:val="CodeCharacter"/>
              </w:rPr>
              <w:t>Config</w:t>
            </w:r>
          </w:p>
        </w:tc>
        <w:tc>
          <w:tcPr>
            <w:tcW w:type="dxa" w:w="4464"/>
            <w:vAlign w:val="top"/>
            <w:tcMar>
              <w:top w:w="40" w:type="dxa"/>
              <w:left w:w="65" w:type="dxa"/>
              <w:bottom w:w="35" w:type="dxa"/>
              <w:right w:w="65" w:type="dxa"/>
            </w:tcMar>
          </w:tcPr>
          <w:p>
            <w:pPr>
              <w:pStyle w:val="TableText"/>
            </w:pPr>
            <w:r>
              <w:t>Typed defaults and bounds for retrieval, selection, embedding and review.</w:t>
            </w:r>
          </w:p>
        </w:tc>
      </w:tr>
      <w:tr>
        <w:trPr>
          <w:cantSplit/>
        </w:trPr>
        <w:tc>
          <w:tcPr>
            <w:tcW w:type="dxa" w:w="1872"/>
            <w:vAlign w:val="top"/>
            <w:tcMar>
              <w:top w:w="40" w:type="dxa"/>
              <w:left w:w="65" w:type="dxa"/>
              <w:bottom w:w="35" w:type="dxa"/>
              <w:right w:w="65" w:type="dxa"/>
            </w:tcMar>
          </w:tcPr>
          <w:p>
            <w:pPr>
              <w:pStyle w:val="TableText"/>
            </w:pPr>
            <w:r>
              <w:rPr>
                <w:rStyle w:val="CodeCharacter"/>
              </w:rPr>
              <w:t>config.py</w:t>
            </w:r>
          </w:p>
        </w:tc>
        <w:tc>
          <w:tcPr>
            <w:tcW w:type="dxa" w:w="3024"/>
            <w:vAlign w:val="top"/>
            <w:tcMar>
              <w:top w:w="40" w:type="dxa"/>
              <w:left w:w="65" w:type="dxa"/>
              <w:bottom w:w="35" w:type="dxa"/>
              <w:right w:w="65" w:type="dxa"/>
            </w:tcMar>
          </w:tcPr>
          <w:p>
            <w:pPr>
              <w:pStyle w:val="TableText"/>
            </w:pPr>
            <w:r>
              <w:rPr>
                <w:rStyle w:val="CodeCharacter"/>
              </w:rPr>
              <w:t>Config.​ordered_​thresholds</w:t>
            </w:r>
          </w:p>
        </w:tc>
        <w:tc>
          <w:tcPr>
            <w:tcW w:type="dxa" w:w="4464"/>
            <w:vAlign w:val="top"/>
            <w:tcMar>
              <w:top w:w="40" w:type="dxa"/>
              <w:left w:w="65" w:type="dxa"/>
              <w:bottom w:w="35" w:type="dxa"/>
              <w:right w:w="65" w:type="dxa"/>
            </w:tcMar>
          </w:tcPr>
          <w:p>
            <w:pPr>
              <w:pStyle w:val="TableText"/>
            </w:pPr>
            <w:r>
              <w:t>Reject inconsistent threshold/margin ordering and unusable weights.</w:t>
            </w:r>
          </w:p>
        </w:tc>
      </w:tr>
      <w:tr>
        <w:trPr>
          <w:cantSplit/>
        </w:trPr>
        <w:tc>
          <w:tcPr>
            <w:tcW w:type="dxa" w:w="1872"/>
            <w:vAlign w:val="top"/>
            <w:tcMar>
              <w:top w:w="40" w:type="dxa"/>
              <w:left w:w="65" w:type="dxa"/>
              <w:bottom w:w="35" w:type="dxa"/>
              <w:right w:w="65" w:type="dxa"/>
            </w:tcMar>
          </w:tcPr>
          <w:p>
            <w:pPr>
              <w:pStyle w:val="TableText"/>
            </w:pPr>
            <w:r>
              <w:rPr>
                <w:rStyle w:val="CodeCharacter"/>
              </w:rPr>
              <w:t>config.py</w:t>
            </w:r>
          </w:p>
        </w:tc>
        <w:tc>
          <w:tcPr>
            <w:tcW w:type="dxa" w:w="3024"/>
            <w:vAlign w:val="top"/>
            <w:tcMar>
              <w:top w:w="40" w:type="dxa"/>
              <w:left w:w="65" w:type="dxa"/>
              <w:bottom w:w="35" w:type="dxa"/>
              <w:right w:w="65" w:type="dxa"/>
            </w:tcMar>
          </w:tcPr>
          <w:p>
            <w:pPr>
              <w:pStyle w:val="TableText"/>
            </w:pPr>
            <w:r>
              <w:rPr>
                <w:rStyle w:val="CodeCharacter"/>
              </w:rPr>
              <w:t>load_config</w:t>
            </w:r>
          </w:p>
        </w:tc>
        <w:tc>
          <w:tcPr>
            <w:tcW w:type="dxa" w:w="4464"/>
            <w:vAlign w:val="top"/>
            <w:tcMar>
              <w:top w:w="40" w:type="dxa"/>
              <w:left w:w="65" w:type="dxa"/>
              <w:bottom w:w="35" w:type="dxa"/>
              <w:right w:w="65" w:type="dxa"/>
            </w:tcMar>
          </w:tcPr>
          <w:p>
            <w:pPr>
              <w:pStyle w:val="TableText"/>
            </w:pPr>
            <w:r>
              <w:t>Merge optional YAML overrides into the validated configuration.</w:t>
            </w:r>
          </w:p>
        </w:tc>
      </w:tr>
      <w:tr>
        <w:trPr>
          <w:cantSplit/>
        </w:trPr>
        <w:tc>
          <w:tcPr>
            <w:tcW w:type="dxa" w:w="1872"/>
            <w:vAlign w:val="top"/>
            <w:tcMar>
              <w:top w:w="40" w:type="dxa"/>
              <w:left w:w="65" w:type="dxa"/>
              <w:bottom w:w="35" w:type="dxa"/>
              <w:right w:w="65" w:type="dxa"/>
            </w:tcMar>
          </w:tcPr>
          <w:p>
            <w:pPr>
              <w:pStyle w:val="TableText"/>
            </w:pPr>
            <w:r>
              <w:rPr>
                <w:rStyle w:val="CodeCharacter"/>
              </w:rPr>
              <w:t>embeddings.py</w:t>
            </w:r>
          </w:p>
        </w:tc>
        <w:tc>
          <w:tcPr>
            <w:tcW w:type="dxa" w:w="3024"/>
            <w:vAlign w:val="top"/>
            <w:tcMar>
              <w:top w:w="40" w:type="dxa"/>
              <w:left w:w="65" w:type="dxa"/>
              <w:bottom w:w="35" w:type="dxa"/>
              <w:right w:w="65" w:type="dxa"/>
            </w:tcMar>
          </w:tcPr>
          <w:p>
            <w:pPr>
              <w:pStyle w:val="TableText"/>
            </w:pPr>
            <w:r>
              <w:rPr>
                <w:rStyle w:val="CodeCharacter"/>
              </w:rPr>
              <w:t>token_windows</w:t>
            </w:r>
          </w:p>
        </w:tc>
        <w:tc>
          <w:tcPr>
            <w:tcW w:type="dxa" w:w="4464"/>
            <w:vAlign w:val="top"/>
            <w:tcMar>
              <w:top w:w="40" w:type="dxa"/>
              <w:left w:w="65" w:type="dxa"/>
              <w:bottom w:w="35" w:type="dxa"/>
              <w:right w:w="65" w:type="dxa"/>
            </w:tcMar>
          </w:tcPr>
          <w:p>
            <w:pPr>
              <w:pStyle w:val="TableText"/>
            </w:pPr>
            <w:r>
              <w:t>Slice original token IDs, with guaranteed progress and complete coverage.</w:t>
            </w:r>
          </w:p>
        </w:tc>
      </w:tr>
      <w:tr>
        <w:trPr>
          <w:cantSplit/>
        </w:trPr>
        <w:tc>
          <w:tcPr>
            <w:tcW w:type="dxa" w:w="1872"/>
            <w:vAlign w:val="top"/>
            <w:tcMar>
              <w:top w:w="40" w:type="dxa"/>
              <w:left w:w="65" w:type="dxa"/>
              <w:bottom w:w="35" w:type="dxa"/>
              <w:right w:w="65" w:type="dxa"/>
            </w:tcMar>
          </w:tcPr>
          <w:p>
            <w:pPr>
              <w:pStyle w:val="TableText"/>
            </w:pPr>
            <w:r>
              <w:rPr>
                <w:rStyle w:val="CodeCharacter"/>
              </w:rPr>
              <w:t>embeddings.py</w:t>
            </w:r>
          </w:p>
        </w:tc>
        <w:tc>
          <w:tcPr>
            <w:tcW w:type="dxa" w:w="3024"/>
            <w:vAlign w:val="top"/>
            <w:tcMar>
              <w:top w:w="40" w:type="dxa"/>
              <w:left w:w="65" w:type="dxa"/>
              <w:bottom w:w="35" w:type="dxa"/>
              <w:right w:w="65" w:type="dxa"/>
            </w:tcMar>
          </w:tcPr>
          <w:p>
            <w:pPr>
              <w:pStyle w:val="TableText"/>
            </w:pPr>
            <w:r>
              <w:rPr>
                <w:rStyle w:val="CodeCharacter"/>
              </w:rPr>
              <w:t>effective_​token_​limit</w:t>
            </w:r>
          </w:p>
        </w:tc>
        <w:tc>
          <w:tcPr>
            <w:tcW w:type="dxa" w:w="4464"/>
            <w:vAlign w:val="top"/>
            <w:tcMar>
              <w:top w:w="40" w:type="dxa"/>
              <w:left w:w="65" w:type="dxa"/>
              <w:bottom w:w="35" w:type="dxa"/>
              <w:right w:w="65" w:type="dxa"/>
            </w:tcMar>
          </w:tcPr>
          <w:p>
            <w:pPr>
              <w:pStyle w:val="TableText"/>
            </w:pPr>
            <w:r>
              <w:t>Determine the effective limit from model and tokenizer constraints.</w:t>
            </w:r>
          </w:p>
        </w:tc>
      </w:tr>
      <w:tr>
        <w:trPr>
          <w:cantSplit/>
        </w:trPr>
        <w:tc>
          <w:tcPr>
            <w:tcW w:type="dxa" w:w="1872"/>
            <w:vAlign w:val="top"/>
            <w:tcMar>
              <w:top w:w="40" w:type="dxa"/>
              <w:left w:w="65" w:type="dxa"/>
              <w:bottom w:w="35" w:type="dxa"/>
              <w:right w:w="65" w:type="dxa"/>
            </w:tcMar>
          </w:tcPr>
          <w:p>
            <w:pPr>
              <w:pStyle w:val="TableText"/>
            </w:pPr>
            <w:r>
              <w:rPr>
                <w:rStyle w:val="CodeCharacter"/>
              </w:rPr>
              <w:t>embeddings.py</w:t>
            </w:r>
          </w:p>
        </w:tc>
        <w:tc>
          <w:tcPr>
            <w:tcW w:type="dxa" w:w="3024"/>
            <w:vAlign w:val="top"/>
            <w:tcMar>
              <w:top w:w="40" w:type="dxa"/>
              <w:left w:w="65" w:type="dxa"/>
              <w:bottom w:w="35" w:type="dxa"/>
              <w:right w:w="65" w:type="dxa"/>
            </w:tcMar>
          </w:tcPr>
          <w:p>
            <w:pPr>
              <w:pStyle w:val="TableText"/>
            </w:pPr>
            <w:r>
              <w:rPr>
                <w:rStyle w:val="CodeCharacter"/>
              </w:rPr>
              <w:t>prepare_token_ids</w:t>
            </w:r>
          </w:p>
        </w:tc>
        <w:tc>
          <w:tcPr>
            <w:tcW w:type="dxa" w:w="4464"/>
            <w:vAlign w:val="top"/>
            <w:tcMar>
              <w:top w:w="40" w:type="dxa"/>
              <w:left w:w="65" w:type="dxa"/>
              <w:bottom w:w="35" w:type="dxa"/>
              <w:right w:w="65" w:type="dxa"/>
            </w:tcMar>
          </w:tcPr>
          <w:p>
            <w:pPr>
              <w:pStyle w:val="TableText"/>
            </w:pPr>
            <w:r>
              <w:t>Support legacy and current HF tokenizers without decoding source IDs.</w:t>
            </w:r>
          </w:p>
        </w:tc>
      </w:tr>
      <w:tr>
        <w:trPr>
          <w:cantSplit/>
        </w:trPr>
        <w:tc>
          <w:tcPr>
            <w:tcW w:type="dxa" w:w="1872"/>
            <w:vAlign w:val="top"/>
            <w:tcMar>
              <w:top w:w="40" w:type="dxa"/>
              <w:left w:w="65" w:type="dxa"/>
              <w:bottom w:w="35" w:type="dxa"/>
              <w:right w:w="65" w:type="dxa"/>
            </w:tcMar>
          </w:tcPr>
          <w:p>
            <w:pPr>
              <w:pStyle w:val="TableText"/>
            </w:pPr>
            <w:r>
              <w:rPr>
                <w:rStyle w:val="CodeCharacter"/>
              </w:rPr>
              <w:t>embeddings.py</w:t>
            </w:r>
          </w:p>
        </w:tc>
        <w:tc>
          <w:tcPr>
            <w:tcW w:type="dxa" w:w="3024"/>
            <w:vAlign w:val="top"/>
            <w:tcMar>
              <w:top w:w="40" w:type="dxa"/>
              <w:left w:w="65" w:type="dxa"/>
              <w:bottom w:w="35" w:type="dxa"/>
              <w:right w:w="65" w:type="dxa"/>
            </w:tcMar>
          </w:tcPr>
          <w:p>
            <w:pPr>
              <w:pStyle w:val="TableText"/>
            </w:pPr>
            <w:r>
              <w:rPr>
                <w:rStyle w:val="CodeCharacter"/>
              </w:rPr>
              <w:t>Embedder</w:t>
            </w:r>
          </w:p>
        </w:tc>
        <w:tc>
          <w:tcPr>
            <w:tcW w:type="dxa" w:w="4464"/>
            <w:vAlign w:val="top"/>
            <w:tcMar>
              <w:top w:w="40" w:type="dxa"/>
              <w:left w:w="65" w:type="dxa"/>
              <w:bottom w:w="35" w:type="dxa"/>
              <w:right w:w="65" w:type="dxa"/>
            </w:tcMar>
          </w:tcPr>
          <w:p>
            <w:pPr>
              <w:pStyle w:val="TableText"/>
            </w:pPr>
            <w:r>
              <w:t>Offline-capable lexical/semantic backend with deterministic cache provenance.</w:t>
            </w:r>
          </w:p>
        </w:tc>
      </w:tr>
      <w:tr>
        <w:trPr>
          <w:cantSplit/>
        </w:trPr>
        <w:tc>
          <w:tcPr>
            <w:tcW w:type="dxa" w:w="1872"/>
            <w:vAlign w:val="top"/>
            <w:tcMar>
              <w:top w:w="40" w:type="dxa"/>
              <w:left w:w="65" w:type="dxa"/>
              <w:bottom w:w="35" w:type="dxa"/>
              <w:right w:w="65" w:type="dxa"/>
            </w:tcMar>
          </w:tcPr>
          <w:p>
            <w:pPr>
              <w:pStyle w:val="TableText"/>
            </w:pPr>
            <w:r>
              <w:rPr>
                <w:rStyle w:val="CodeCharacter"/>
              </w:rPr>
              <w:t>embeddings.py</w:t>
            </w:r>
          </w:p>
        </w:tc>
        <w:tc>
          <w:tcPr>
            <w:tcW w:type="dxa" w:w="3024"/>
            <w:vAlign w:val="top"/>
            <w:tcMar>
              <w:top w:w="40" w:type="dxa"/>
              <w:left w:w="65" w:type="dxa"/>
              <w:bottom w:w="35" w:type="dxa"/>
              <w:right w:w="65" w:type="dxa"/>
            </w:tcMar>
          </w:tcPr>
          <w:p>
            <w:pPr>
              <w:pStyle w:val="TableText"/>
            </w:pPr>
            <w:r>
              <w:rPr>
                <w:rStyle w:val="CodeCharacter"/>
              </w:rPr>
              <w:t>Embedder.__init__</w:t>
            </w:r>
          </w:p>
        </w:tc>
        <w:tc>
          <w:tcPr>
            <w:tcW w:type="dxa" w:w="4464"/>
            <w:vAlign w:val="top"/>
            <w:tcMar>
              <w:top w:w="40" w:type="dxa"/>
              <w:left w:w="65" w:type="dxa"/>
              <w:bottom w:w="35" w:type="dxa"/>
              <w:right w:w="65" w:type="dxa"/>
            </w:tcMar>
          </w:tcPr>
          <w:p>
            <w:pPr>
              <w:pStyle w:val="TableText"/>
            </w:pPr>
            <w:r>
              <w:t>Resolve the pinned model, artifact identity and window policy.</w:t>
            </w:r>
          </w:p>
        </w:tc>
      </w:tr>
      <w:tr>
        <w:trPr>
          <w:cantSplit/>
        </w:trPr>
        <w:tc>
          <w:tcPr>
            <w:tcW w:type="dxa" w:w="1872"/>
            <w:vAlign w:val="top"/>
            <w:tcMar>
              <w:top w:w="40" w:type="dxa"/>
              <w:left w:w="65" w:type="dxa"/>
              <w:bottom w:w="35" w:type="dxa"/>
              <w:right w:w="65" w:type="dxa"/>
            </w:tcMar>
          </w:tcPr>
          <w:p>
            <w:pPr>
              <w:pStyle w:val="TableText"/>
            </w:pPr>
            <w:r>
              <w:rPr>
                <w:rStyle w:val="CodeCharacter"/>
              </w:rPr>
              <w:t>embeddings.py</w:t>
            </w:r>
          </w:p>
        </w:tc>
        <w:tc>
          <w:tcPr>
            <w:tcW w:type="dxa" w:w="3024"/>
            <w:vAlign w:val="top"/>
            <w:tcMar>
              <w:top w:w="40" w:type="dxa"/>
              <w:left w:w="65" w:type="dxa"/>
              <w:bottom w:w="35" w:type="dxa"/>
              <w:right w:w="65" w:type="dxa"/>
            </w:tcMar>
          </w:tcPr>
          <w:p>
            <w:pPr>
              <w:pStyle w:val="TableText"/>
            </w:pPr>
            <w:r>
              <w:rPr>
                <w:rStyle w:val="CodeCharacter"/>
              </w:rPr>
              <w:t>Embedder.encode</w:t>
            </w:r>
          </w:p>
        </w:tc>
        <w:tc>
          <w:tcPr>
            <w:tcW w:type="dxa" w:w="4464"/>
            <w:vAlign w:val="top"/>
            <w:tcMar>
              <w:top w:w="40" w:type="dxa"/>
              <w:left w:w="65" w:type="dxa"/>
              <w:bottom w:w="35" w:type="dxa"/>
              <w:right w:w="65" w:type="dxa"/>
            </w:tcMar>
          </w:tcPr>
          <w:p>
            <w:pPr>
              <w:pStyle w:val="TableText"/>
            </w:pPr>
            <w:r>
              <w:t>Return cached or batched clause vectors with checked window coverage.</w:t>
            </w:r>
          </w:p>
        </w:tc>
      </w:tr>
      <w:tr>
        <w:trPr>
          <w:cantSplit/>
        </w:trPr>
        <w:tc>
          <w:tcPr>
            <w:tcW w:type="dxa" w:w="1872"/>
            <w:vAlign w:val="top"/>
            <w:tcMar>
              <w:top w:w="40" w:type="dxa"/>
              <w:left w:w="65" w:type="dxa"/>
              <w:bottom w:w="35" w:type="dxa"/>
              <w:right w:w="65" w:type="dxa"/>
            </w:tcMar>
          </w:tcPr>
          <w:p>
            <w:pPr>
              <w:pStyle w:val="TableText"/>
            </w:pPr>
            <w:r>
              <w:rPr>
                <w:rStyle w:val="CodeCharacter"/>
              </w:rPr>
              <w:t>embeddings.py</w:t>
            </w:r>
          </w:p>
        </w:tc>
        <w:tc>
          <w:tcPr>
            <w:tcW w:type="dxa" w:w="3024"/>
            <w:vAlign w:val="top"/>
            <w:tcMar>
              <w:top w:w="40" w:type="dxa"/>
              <w:left w:w="65" w:type="dxa"/>
              <w:bottom w:w="35" w:type="dxa"/>
              <w:right w:w="65" w:type="dxa"/>
            </w:tcMar>
          </w:tcPr>
          <w:p>
            <w:pPr>
              <w:pStyle w:val="TableText"/>
            </w:pPr>
            <w:r>
              <w:rPr>
                <w:rStyle w:val="CodeCharacter"/>
              </w:rPr>
              <w:t>Embedder.​_​encode_​prepared</w:t>
            </w:r>
          </w:p>
        </w:tc>
        <w:tc>
          <w:tcPr>
            <w:tcW w:type="dxa" w:w="4464"/>
            <w:vAlign w:val="top"/>
            <w:tcMar>
              <w:top w:w="40" w:type="dxa"/>
              <w:left w:w="65" w:type="dxa"/>
              <w:bottom w:w="35" w:type="dxa"/>
              <w:right w:w="65" w:type="dxa"/>
            </w:tcMar>
          </w:tcPr>
          <w:p>
            <w:pPr>
              <w:pStyle w:val="TableText"/>
            </w:pPr>
            <w:r>
              <w:t>Forward already-tokenized features through the full ST module stack.</w:t>
            </w:r>
          </w:p>
        </w:tc>
      </w:tr>
      <w:tr>
        <w:trPr>
          <w:cantSplit/>
        </w:trPr>
        <w:tc>
          <w:tcPr>
            <w:tcW w:type="dxa" w:w="1872"/>
            <w:vAlign w:val="top"/>
            <w:tcMar>
              <w:top w:w="40" w:type="dxa"/>
              <w:left w:w="65" w:type="dxa"/>
              <w:bottom w:w="35" w:type="dxa"/>
              <w:right w:w="65" w:type="dxa"/>
            </w:tcMar>
          </w:tcPr>
          <w:p>
            <w:pPr>
              <w:pStyle w:val="TableText"/>
            </w:pPr>
            <w:r>
              <w:rPr>
                <w:rStyle w:val="CodeCharacter"/>
              </w:rPr>
              <w:t>features.py</w:t>
            </w:r>
          </w:p>
        </w:tc>
        <w:tc>
          <w:tcPr>
            <w:tcW w:type="dxa" w:w="3024"/>
            <w:vAlign w:val="top"/>
            <w:tcMar>
              <w:top w:w="40" w:type="dxa"/>
              <w:left w:w="65" w:type="dxa"/>
              <w:bottom w:w="35" w:type="dxa"/>
              <w:right w:w="65" w:type="dxa"/>
            </w:tcMar>
          </w:tcPr>
          <w:p>
            <w:pPr>
              <w:pStyle w:val="TableText"/>
            </w:pPr>
            <w:r>
              <w:rPr>
                <w:rStyle w:val="CodeCharacter"/>
              </w:rPr>
              <w:t>features</w:t>
            </w:r>
          </w:p>
        </w:tc>
        <w:tc>
          <w:tcPr>
            <w:tcW w:type="dxa" w:w="4464"/>
            <w:vAlign w:val="top"/>
            <w:tcMar>
              <w:top w:w="40" w:type="dxa"/>
              <w:left w:w="65" w:type="dxa"/>
              <w:bottom w:w="35" w:type="dxa"/>
              <w:right w:w="65" w:type="dxa"/>
            </w:tcMar>
          </w:tcPr>
          <w:p>
            <w:pPr>
              <w:pStyle w:val="TableText"/>
            </w:pPr>
            <w:r>
              <w:t>Compute target-prefix history features and their guarded dependencies.</w:t>
            </w:r>
          </w:p>
        </w:tc>
      </w:tr>
      <w:tr>
        <w:trPr>
          <w:cantSplit/>
        </w:trPr>
        <w:tc>
          <w:tcPr>
            <w:tcW w:type="dxa" w:w="1872"/>
            <w:vAlign w:val="top"/>
            <w:tcMar>
              <w:top w:w="40" w:type="dxa"/>
              <w:left w:w="65" w:type="dxa"/>
              <w:bottom w:w="35" w:type="dxa"/>
              <w:right w:w="65" w:type="dxa"/>
            </w:tcMar>
          </w:tcPr>
          <w:p>
            <w:pPr>
              <w:pStyle w:val="TableText"/>
            </w:pPr>
            <w:r>
              <w:rPr>
                <w:rStyle w:val="CodeCharacter"/>
              </w:rPr>
              <w:t>inputs.py</w:t>
            </w:r>
          </w:p>
        </w:tc>
        <w:tc>
          <w:tcPr>
            <w:tcW w:type="dxa" w:w="3024"/>
            <w:vAlign w:val="top"/>
            <w:tcMar>
              <w:top w:w="40" w:type="dxa"/>
              <w:left w:w="65" w:type="dxa"/>
              <w:bottom w:w="35" w:type="dxa"/>
              <w:right w:w="65" w:type="dxa"/>
            </w:tcMar>
          </w:tcPr>
          <w:p>
            <w:pPr>
              <w:pStyle w:val="TableText"/>
            </w:pPr>
            <w:r>
              <w:rPr>
                <w:rStyle w:val="CodeCharacter"/>
              </w:rPr>
              <w:t>timeline</w:t>
            </w:r>
          </w:p>
        </w:tc>
        <w:tc>
          <w:tcPr>
            <w:tcW w:type="dxa" w:w="4464"/>
            <w:vAlign w:val="top"/>
            <w:tcMar>
              <w:top w:w="40" w:type="dxa"/>
              <w:left w:w="65" w:type="dxa"/>
              <w:bottom w:w="35" w:type="dxa"/>
              <w:right w:w="65" w:type="dxa"/>
            </w:tcMar>
          </w:tcPr>
          <w:p>
            <w:pPr>
              <w:pStyle w:val="TableText"/>
            </w:pPr>
            <w:r>
              <w:t>Validate TLS identities, revision continuity and date order.</w:t>
            </w:r>
          </w:p>
        </w:tc>
      </w:tr>
      <w:tr>
        <w:trPr>
          <w:cantSplit/>
        </w:trPr>
        <w:tc>
          <w:tcPr>
            <w:tcW w:type="dxa" w:w="1872"/>
            <w:vAlign w:val="top"/>
            <w:tcMar>
              <w:top w:w="40" w:type="dxa"/>
              <w:left w:w="65" w:type="dxa"/>
              <w:bottom w:w="35" w:type="dxa"/>
              <w:right w:w="65" w:type="dxa"/>
            </w:tcMar>
          </w:tcPr>
          <w:p>
            <w:pPr>
              <w:pStyle w:val="TableText"/>
            </w:pPr>
            <w:r>
              <w:rPr>
                <w:rStyle w:val="CodeCharacter"/>
              </w:rPr>
              <w:t>inputs.py</w:t>
            </w:r>
          </w:p>
        </w:tc>
        <w:tc>
          <w:tcPr>
            <w:tcW w:type="dxa" w:w="3024"/>
            <w:vAlign w:val="top"/>
            <w:tcMar>
              <w:top w:w="40" w:type="dxa"/>
              <w:left w:w="65" w:type="dxa"/>
              <w:bottom w:w="35" w:type="dxa"/>
              <w:right w:w="65" w:type="dxa"/>
            </w:tcMar>
          </w:tcPr>
          <w:p>
            <w:pPr>
              <w:pStyle w:val="TableText"/>
            </w:pPr>
            <w:r>
              <w:rPr>
                <w:rStyle w:val="CodeCharacter"/>
              </w:rPr>
              <w:t>discover</w:t>
            </w:r>
          </w:p>
        </w:tc>
        <w:tc>
          <w:tcPr>
            <w:tcW w:type="dxa" w:w="4464"/>
            <w:vAlign w:val="top"/>
            <w:tcMar>
              <w:top w:w="40" w:type="dxa"/>
              <w:left w:w="65" w:type="dxa"/>
              <w:bottom w:w="35" w:type="dxa"/>
              <w:right w:w="65" w:type="dxa"/>
            </w:tcMar>
          </w:tcPr>
          <w:p>
            <w:pPr>
              <w:pStyle w:val="TableText"/>
            </w:pPr>
            <w:r>
              <w:t>Use only updated TLS outputs; never silently substitute older classifications.</w:t>
            </w:r>
          </w:p>
        </w:tc>
      </w:tr>
      <w:tr>
        <w:trPr>
          <w:cantSplit/>
        </w:trPr>
        <w:tc>
          <w:tcPr>
            <w:tcW w:type="dxa" w:w="1872"/>
            <w:vAlign w:val="top"/>
            <w:tcMar>
              <w:top w:w="40" w:type="dxa"/>
              <w:left w:w="65" w:type="dxa"/>
              <w:bottom w:w="35" w:type="dxa"/>
              <w:right w:w="65" w:type="dxa"/>
            </w:tcMar>
          </w:tcPr>
          <w:p>
            <w:pPr>
              <w:pStyle w:val="TableText"/>
            </w:pPr>
            <w:r>
              <w:rPr>
                <w:rStyle w:val="CodeCharacter"/>
              </w:rPr>
              <w:t>inputs.py</w:t>
            </w:r>
          </w:p>
        </w:tc>
        <w:tc>
          <w:tcPr>
            <w:tcW w:type="dxa" w:w="3024"/>
            <w:vAlign w:val="top"/>
            <w:tcMar>
              <w:top w:w="40" w:type="dxa"/>
              <w:left w:w="65" w:type="dxa"/>
              <w:bottom w:w="35" w:type="dxa"/>
              <w:right w:w="65" w:type="dxa"/>
            </w:tcMar>
          </w:tcPr>
          <w:p>
            <w:pPr>
              <w:pStyle w:val="TableText"/>
            </w:pPr>
            <w:r>
              <w:rPr>
                <w:rStyle w:val="CodeCharacter"/>
              </w:rPr>
              <w:t>prepare_inputs</w:t>
            </w:r>
          </w:p>
        </w:tc>
        <w:tc>
          <w:tcPr>
            <w:tcW w:type="dxa" w:w="4464"/>
            <w:vAlign w:val="top"/>
            <w:tcMar>
              <w:top w:w="40" w:type="dxa"/>
              <w:left w:w="65" w:type="dxa"/>
              <w:bottom w:w="35" w:type="dxa"/>
              <w:right w:w="65" w:type="dxa"/>
            </w:tcMar>
          </w:tcPr>
          <w:p>
            <w:pPr>
              <w:pStyle w:val="TableText"/>
            </w:pPr>
            <w:r>
              <w:t>Adapt preferred snapshots and prepare only missing TLS inputs in-run.</w:t>
            </w:r>
          </w:p>
        </w:tc>
      </w:tr>
      <w:tr>
        <w:trPr>
          <w:cantSplit/>
        </w:trPr>
        <w:tc>
          <w:tcPr>
            <w:tcW w:type="dxa" w:w="1872"/>
            <w:vAlign w:val="top"/>
            <w:tcMar>
              <w:top w:w="40" w:type="dxa"/>
              <w:left w:w="65" w:type="dxa"/>
              <w:bottom w:w="35" w:type="dxa"/>
              <w:right w:w="65" w:type="dxa"/>
            </w:tcMar>
          </w:tcPr>
          <w:p>
            <w:pPr>
              <w:pStyle w:val="TableText"/>
            </w:pPr>
            <w:r>
              <w:rPr>
                <w:rStyle w:val="CodeCharacter"/>
              </w:rPr>
              <w:t>io.py</w:t>
            </w:r>
          </w:p>
        </w:tc>
        <w:tc>
          <w:tcPr>
            <w:tcW w:type="dxa" w:w="3024"/>
            <w:vAlign w:val="top"/>
            <w:tcMar>
              <w:top w:w="40" w:type="dxa"/>
              <w:left w:w="65" w:type="dxa"/>
              <w:bottom w:w="35" w:type="dxa"/>
              <w:right w:w="65" w:type="dxa"/>
            </w:tcMar>
          </w:tcPr>
          <w:p>
            <w:pPr>
              <w:pStyle w:val="TableText"/>
            </w:pPr>
            <w:r>
              <w:rPr>
                <w:rStyle w:val="CodeCharacter"/>
              </w:rPr>
              <w:t>canonical</w:t>
            </w:r>
          </w:p>
        </w:tc>
        <w:tc>
          <w:tcPr>
            <w:tcW w:type="dxa" w:w="4464"/>
            <w:vAlign w:val="top"/>
            <w:tcMar>
              <w:top w:w="40" w:type="dxa"/>
              <w:left w:w="65" w:type="dxa"/>
              <w:bottom w:w="35" w:type="dxa"/>
              <w:right w:w="65" w:type="dxa"/>
            </w:tcMar>
          </w:tcPr>
          <w:p>
            <w:pPr>
              <w:pStyle w:val="TableText"/>
            </w:pPr>
            <w:r>
              <w:t>Produce stable JSON bytes for content identity.</w:t>
            </w:r>
          </w:p>
        </w:tc>
      </w:tr>
      <w:tr>
        <w:trPr>
          <w:cantSplit/>
        </w:trPr>
        <w:tc>
          <w:tcPr>
            <w:tcW w:type="dxa" w:w="1872"/>
            <w:vAlign w:val="top"/>
            <w:tcMar>
              <w:top w:w="40" w:type="dxa"/>
              <w:left w:w="65" w:type="dxa"/>
              <w:bottom w:w="35" w:type="dxa"/>
              <w:right w:w="65" w:type="dxa"/>
            </w:tcMar>
          </w:tcPr>
          <w:p>
            <w:pPr>
              <w:pStyle w:val="TableText"/>
            </w:pPr>
            <w:r>
              <w:rPr>
                <w:rStyle w:val="CodeCharacter"/>
              </w:rPr>
              <w:t>io.py</w:t>
            </w:r>
          </w:p>
        </w:tc>
        <w:tc>
          <w:tcPr>
            <w:tcW w:type="dxa" w:w="3024"/>
            <w:vAlign w:val="top"/>
            <w:tcMar>
              <w:top w:w="40" w:type="dxa"/>
              <w:left w:w="65" w:type="dxa"/>
              <w:bottom w:w="35" w:type="dxa"/>
              <w:right w:w="65" w:type="dxa"/>
            </w:tcMar>
          </w:tcPr>
          <w:p>
            <w:pPr>
              <w:pStyle w:val="TableText"/>
            </w:pPr>
            <w:r>
              <w:rPr>
                <w:rStyle w:val="CodeCharacter"/>
              </w:rPr>
              <w:t>digest</w:t>
            </w:r>
          </w:p>
        </w:tc>
        <w:tc>
          <w:tcPr>
            <w:tcW w:type="dxa" w:w="4464"/>
            <w:vAlign w:val="top"/>
            <w:tcMar>
              <w:top w:w="40" w:type="dxa"/>
              <w:left w:w="65" w:type="dxa"/>
              <w:bottom w:w="35" w:type="dxa"/>
              <w:right w:w="65" w:type="dxa"/>
            </w:tcMar>
          </w:tcPr>
          <w:p>
            <w:pPr>
              <w:pStyle w:val="TableText"/>
            </w:pPr>
            <w:r>
              <w:t>Hash the canonical representation of a structured value.</w:t>
            </w:r>
          </w:p>
        </w:tc>
      </w:tr>
      <w:tr>
        <w:trPr>
          <w:cantSplit/>
        </w:trPr>
        <w:tc>
          <w:tcPr>
            <w:tcW w:type="dxa" w:w="1872"/>
            <w:vAlign w:val="top"/>
            <w:tcMar>
              <w:top w:w="40" w:type="dxa"/>
              <w:left w:w="65" w:type="dxa"/>
              <w:bottom w:w="35" w:type="dxa"/>
              <w:right w:w="65" w:type="dxa"/>
            </w:tcMar>
          </w:tcPr>
          <w:p>
            <w:pPr>
              <w:pStyle w:val="TableText"/>
            </w:pPr>
            <w:r>
              <w:rPr>
                <w:rStyle w:val="CodeCharacter"/>
              </w:rPr>
              <w:t>io.py</w:t>
            </w:r>
          </w:p>
        </w:tc>
        <w:tc>
          <w:tcPr>
            <w:tcW w:type="dxa" w:w="3024"/>
            <w:vAlign w:val="top"/>
            <w:tcMar>
              <w:top w:w="40" w:type="dxa"/>
              <w:left w:w="65" w:type="dxa"/>
              <w:bottom w:w="35" w:type="dxa"/>
              <w:right w:w="65" w:type="dxa"/>
            </w:tcMar>
          </w:tcPr>
          <w:p>
            <w:pPr>
              <w:pStyle w:val="TableText"/>
            </w:pPr>
            <w:r>
              <w:rPr>
                <w:rStyle w:val="CodeCharacter"/>
              </w:rPr>
              <w:t>file_hash</w:t>
            </w:r>
          </w:p>
        </w:tc>
        <w:tc>
          <w:tcPr>
            <w:tcW w:type="dxa" w:w="4464"/>
            <w:vAlign w:val="top"/>
            <w:tcMar>
              <w:top w:w="40" w:type="dxa"/>
              <w:left w:w="65" w:type="dxa"/>
              <w:bottom w:w="35" w:type="dxa"/>
              <w:right w:w="65" w:type="dxa"/>
            </w:tcMar>
          </w:tcPr>
          <w:p>
            <w:pPr>
              <w:pStyle w:val="TableText"/>
            </w:pPr>
            <w:r>
              <w:t>Compute the SHA-256 digest of file bytes.</w:t>
            </w:r>
          </w:p>
        </w:tc>
      </w:tr>
      <w:tr>
        <w:trPr>
          <w:cantSplit/>
        </w:trPr>
        <w:tc>
          <w:tcPr>
            <w:tcW w:type="dxa" w:w="1872"/>
            <w:vAlign w:val="top"/>
            <w:tcMar>
              <w:top w:w="40" w:type="dxa"/>
              <w:left w:w="65" w:type="dxa"/>
              <w:bottom w:w="35" w:type="dxa"/>
              <w:right w:w="65" w:type="dxa"/>
            </w:tcMar>
          </w:tcPr>
          <w:p>
            <w:pPr>
              <w:pStyle w:val="TableText"/>
            </w:pPr>
            <w:r>
              <w:rPr>
                <w:rStyle w:val="CodeCharacter"/>
              </w:rPr>
              <w:t>io.py</w:t>
            </w:r>
          </w:p>
        </w:tc>
        <w:tc>
          <w:tcPr>
            <w:tcW w:type="dxa" w:w="3024"/>
            <w:vAlign w:val="top"/>
            <w:tcMar>
              <w:top w:w="40" w:type="dxa"/>
              <w:left w:w="65" w:type="dxa"/>
              <w:bottom w:w="35" w:type="dxa"/>
              <w:right w:w="65" w:type="dxa"/>
            </w:tcMar>
          </w:tcPr>
          <w:p>
            <w:pPr>
              <w:pStyle w:val="TableText"/>
            </w:pPr>
            <w:r>
              <w:rPr>
                <w:rStyle w:val="CodeCharacter"/>
              </w:rPr>
              <w:t>write_json</w:t>
            </w:r>
          </w:p>
        </w:tc>
        <w:tc>
          <w:tcPr>
            <w:tcW w:type="dxa" w:w="4464"/>
            <w:vAlign w:val="top"/>
            <w:tcMar>
              <w:top w:w="40" w:type="dxa"/>
              <w:left w:w="65" w:type="dxa"/>
              <w:bottom w:w="35" w:type="dxa"/>
              <w:right w:w="65" w:type="dxa"/>
            </w:tcMar>
          </w:tcPr>
          <w:p>
            <w:pPr>
              <w:pStyle w:val="TableText"/>
            </w:pPr>
            <w:r>
              <w:t>Create one JSON artifact exclusively; reject overwriting.</w:t>
            </w:r>
          </w:p>
        </w:tc>
      </w:tr>
      <w:tr>
        <w:trPr>
          <w:cantSplit/>
        </w:trPr>
        <w:tc>
          <w:tcPr>
            <w:tcW w:type="dxa" w:w="1872"/>
            <w:vAlign w:val="top"/>
            <w:tcMar>
              <w:top w:w="40" w:type="dxa"/>
              <w:left w:w="65" w:type="dxa"/>
              <w:bottom w:w="35" w:type="dxa"/>
              <w:right w:w="65" w:type="dxa"/>
            </w:tcMar>
          </w:tcPr>
          <w:p>
            <w:pPr>
              <w:pStyle w:val="TableText"/>
            </w:pPr>
            <w:r>
              <w:rPr>
                <w:rStyle w:val="CodeCharacter"/>
              </w:rPr>
              <w:t>io.py</w:t>
            </w:r>
          </w:p>
        </w:tc>
        <w:tc>
          <w:tcPr>
            <w:tcW w:type="dxa" w:w="3024"/>
            <w:vAlign w:val="top"/>
            <w:tcMar>
              <w:top w:w="40" w:type="dxa"/>
              <w:left w:w="65" w:type="dxa"/>
              <w:bottom w:w="35" w:type="dxa"/>
              <w:right w:w="65" w:type="dxa"/>
            </w:tcMar>
          </w:tcPr>
          <w:p>
            <w:pPr>
              <w:pStyle w:val="TableText"/>
            </w:pPr>
            <w:r>
              <w:rPr>
                <w:rStyle w:val="CodeCharacter"/>
              </w:rPr>
              <w:t>write_jsonl</w:t>
            </w:r>
          </w:p>
        </w:tc>
        <w:tc>
          <w:tcPr>
            <w:tcW w:type="dxa" w:w="4464"/>
            <w:vAlign w:val="top"/>
            <w:tcMar>
              <w:top w:w="40" w:type="dxa"/>
              <w:left w:w="65" w:type="dxa"/>
              <w:bottom w:w="35" w:type="dxa"/>
              <w:right w:w="65" w:type="dxa"/>
            </w:tcMar>
          </w:tcPr>
          <w:p>
            <w:pPr>
              <w:pStyle w:val="TableText"/>
            </w:pPr>
            <w:r>
              <w:t>Create a JSONL artifact exclusively from records.</w:t>
            </w:r>
          </w:p>
        </w:tc>
      </w:tr>
      <w:tr>
        <w:trPr>
          <w:cantSplit/>
        </w:trPr>
        <w:tc>
          <w:tcPr>
            <w:tcW w:type="dxa" w:w="1872"/>
            <w:vAlign w:val="top"/>
            <w:tcMar>
              <w:top w:w="40" w:type="dxa"/>
              <w:left w:w="65" w:type="dxa"/>
              <w:bottom w:w="35" w:type="dxa"/>
              <w:right w:w="65" w:type="dxa"/>
            </w:tcMar>
          </w:tcPr>
          <w:p>
            <w:pPr>
              <w:pStyle w:val="TableText"/>
            </w:pPr>
            <w:r>
              <w:rPr>
                <w:rStyle w:val="CodeCharacter"/>
              </w:rPr>
              <w:t>io.py</w:t>
            </w:r>
          </w:p>
        </w:tc>
        <w:tc>
          <w:tcPr>
            <w:tcW w:type="dxa" w:w="3024"/>
            <w:vAlign w:val="top"/>
            <w:tcMar>
              <w:top w:w="40" w:type="dxa"/>
              <w:left w:w="65" w:type="dxa"/>
              <w:bottom w:w="35" w:type="dxa"/>
              <w:right w:w="65" w:type="dxa"/>
            </w:tcMar>
          </w:tcPr>
          <w:p>
            <w:pPr>
              <w:pStyle w:val="TableText"/>
            </w:pPr>
            <w:r>
              <w:rPr>
                <w:rStyle w:val="CodeCharacter"/>
              </w:rPr>
              <w:t>read_jsonl</w:t>
            </w:r>
          </w:p>
        </w:tc>
        <w:tc>
          <w:tcPr>
            <w:tcW w:type="dxa" w:w="4464"/>
            <w:vAlign w:val="top"/>
            <w:tcMar>
              <w:top w:w="40" w:type="dxa"/>
              <w:left w:w="65" w:type="dxa"/>
              <w:bottom w:w="35" w:type="dxa"/>
              <w:right w:w="65" w:type="dxa"/>
            </w:tcMar>
          </w:tcPr>
          <w:p>
            <w:pPr>
              <w:pStyle w:val="TableText"/>
            </w:pPr>
            <w:r>
              <w:t>Read nonblank JSONL records into structured values.</w:t>
            </w:r>
          </w:p>
        </w:tc>
      </w:tr>
      <w:tr>
        <w:trPr>
          <w:cantSplit/>
        </w:trPr>
        <w:tc>
          <w:tcPr>
            <w:tcW w:type="dxa" w:w="1872"/>
            <w:vAlign w:val="top"/>
            <w:tcMar>
              <w:top w:w="40" w:type="dxa"/>
              <w:left w:w="65" w:type="dxa"/>
              <w:bottom w:w="35" w:type="dxa"/>
              <w:right w:w="65" w:type="dxa"/>
            </w:tcMar>
          </w:tcPr>
          <w:p>
            <w:pPr>
              <w:pStyle w:val="TableText"/>
            </w:pPr>
            <w:r>
              <w:rPr>
                <w:rStyle w:val="CodeCharacter"/>
              </w:rPr>
              <w:t>lineage.py</w:t>
            </w:r>
          </w:p>
        </w:tc>
        <w:tc>
          <w:tcPr>
            <w:tcW w:type="dxa" w:w="3024"/>
            <w:vAlign w:val="top"/>
            <w:tcMar>
              <w:top w:w="40" w:type="dxa"/>
              <w:left w:w="65" w:type="dxa"/>
              <w:bottom w:w="35" w:type="dxa"/>
              <w:right w:w="65" w:type="dxa"/>
            </w:tcMar>
          </w:tcPr>
          <w:p>
            <w:pPr>
              <w:pStyle w:val="TableText"/>
            </w:pPr>
            <w:r>
              <w:rPr>
                <w:rStyle w:val="CodeCharacter"/>
              </w:rPr>
              <w:t>build_lineage</w:t>
            </w:r>
          </w:p>
        </w:tc>
        <w:tc>
          <w:tcPr>
            <w:tcW w:type="dxa" w:w="4464"/>
            <w:vAlign w:val="top"/>
            <w:tcMar>
              <w:top w:w="40" w:type="dxa"/>
              <w:left w:w="65" w:type="dxa"/>
              <w:bottom w:w="35" w:type="dxa"/>
              <w:right w:w="65" w:type="dxa"/>
            </w:tcMar>
          </w:tcPr>
          <w:p>
            <w:pPr>
              <w:pStyle w:val="TableText"/>
            </w:pPr>
            <w:r>
              <w:t>Assign forward-stable identities and parent ancestry across pairwise relations.</w:t>
            </w:r>
          </w:p>
        </w:tc>
      </w:tr>
      <w:tr>
        <w:trPr>
          <w:cantSplit/>
        </w:trPr>
        <w:tc>
          <w:tcPr>
            <w:tcW w:type="dxa" w:w="1872"/>
            <w:vAlign w:val="top"/>
            <w:tcMar>
              <w:top w:w="40" w:type="dxa"/>
              <w:left w:w="65" w:type="dxa"/>
              <w:bottom w:w="35" w:type="dxa"/>
              <w:right w:w="65" w:type="dxa"/>
            </w:tcMar>
          </w:tcPr>
          <w:p>
            <w:pPr>
              <w:pStyle w:val="TableText"/>
            </w:pPr>
            <w:r>
              <w:rPr>
                <w:rStyle w:val="CodeCharacter"/>
              </w:rPr>
              <w:t>matching.py</w:t>
            </w:r>
          </w:p>
        </w:tc>
        <w:tc>
          <w:tcPr>
            <w:tcW w:type="dxa" w:w="3024"/>
            <w:vAlign w:val="top"/>
            <w:tcMar>
              <w:top w:w="40" w:type="dxa"/>
              <w:left w:w="65" w:type="dxa"/>
              <w:bottom w:w="35" w:type="dxa"/>
              <w:right w:w="65" w:type="dxa"/>
            </w:tcMar>
          </w:tcPr>
          <w:p>
            <w:pPr>
              <w:pStyle w:val="TableText"/>
            </w:pPr>
            <w:r>
              <w:rPr>
                <w:rStyle w:val="CodeCharacter"/>
              </w:rPr>
              <w:t>select</w:t>
            </w:r>
          </w:p>
        </w:tc>
        <w:tc>
          <w:tcPr>
            <w:tcW w:type="dxa" w:w="4464"/>
            <w:vAlign w:val="top"/>
            <w:tcMar>
              <w:top w:w="40" w:type="dxa"/>
              <w:left w:w="65" w:type="dxa"/>
              <w:bottom w:w="35" w:type="dxa"/>
              <w:right w:w="65" w:type="dxa"/>
            </w:tcMar>
          </w:tcPr>
          <w:p>
            <w:pPr>
              <w:pStyle w:val="TableText"/>
            </w:pPr>
            <w:r>
              <w:t>Optimize non-overlapping candidate components with bipartite or MILP selection.</w:t>
            </w:r>
          </w:p>
        </w:tc>
      </w:tr>
      <w:tr>
        <w:trPr>
          <w:cantSplit/>
        </w:trPr>
        <w:tc>
          <w:tcPr>
            <w:tcW w:type="dxa" w:w="1872"/>
            <w:vAlign w:val="top"/>
            <w:tcMar>
              <w:top w:w="40" w:type="dxa"/>
              <w:left w:w="65" w:type="dxa"/>
              <w:bottom w:w="35" w:type="dxa"/>
              <w:right w:w="65" w:type="dxa"/>
            </w:tcMar>
          </w:tcPr>
          <w:p>
            <w:pPr>
              <w:pStyle w:val="TableText"/>
            </w:pPr>
            <w:r>
              <w:rPr>
                <w:rStyle w:val="CodeCharacter"/>
              </w:rPr>
              <w:t>models.py</w:t>
            </w:r>
          </w:p>
        </w:tc>
        <w:tc>
          <w:tcPr>
            <w:tcW w:type="dxa" w:w="3024"/>
            <w:vAlign w:val="top"/>
            <w:tcMar>
              <w:top w:w="40" w:type="dxa"/>
              <w:left w:w="65" w:type="dxa"/>
              <w:bottom w:w="35" w:type="dxa"/>
              <w:right w:w="65" w:type="dxa"/>
            </w:tcMar>
          </w:tcPr>
          <w:p>
            <w:pPr>
              <w:pStyle w:val="TableText"/>
            </w:pPr>
            <w:r>
              <w:rPr>
                <w:rStyle w:val="CodeCharacter"/>
              </w:rPr>
              <w:t>Clause</w:t>
            </w:r>
          </w:p>
        </w:tc>
        <w:tc>
          <w:tcPr>
            <w:tcW w:type="dxa" w:w="4464"/>
            <w:vAlign w:val="top"/>
            <w:tcMar>
              <w:top w:w="40" w:type="dxa"/>
              <w:left w:w="65" w:type="dxa"/>
              <w:bottom w:w="35" w:type="dxa"/>
              <w:right w:w="65" w:type="dxa"/>
            </w:tcMar>
          </w:tcPr>
          <w:p>
            <w:pPr>
              <w:pStyle w:val="TableText"/>
            </w:pPr>
            <w:r>
              <w:t>Preserve upstream clause identity, text, structure and source spans.</w:t>
            </w:r>
          </w:p>
        </w:tc>
      </w:tr>
      <w:tr>
        <w:trPr>
          <w:cantSplit/>
        </w:trPr>
        <w:tc>
          <w:tcPr>
            <w:tcW w:type="dxa" w:w="1872"/>
            <w:vAlign w:val="top"/>
            <w:tcMar>
              <w:top w:w="40" w:type="dxa"/>
              <w:left w:w="65" w:type="dxa"/>
              <w:bottom w:w="35" w:type="dxa"/>
              <w:right w:w="65" w:type="dxa"/>
            </w:tcMar>
          </w:tcPr>
          <w:p>
            <w:pPr>
              <w:pStyle w:val="TableText"/>
            </w:pPr>
            <w:r>
              <w:rPr>
                <w:rStyle w:val="CodeCharacter"/>
              </w:rPr>
              <w:t>models.py</w:t>
            </w:r>
          </w:p>
        </w:tc>
        <w:tc>
          <w:tcPr>
            <w:tcW w:type="dxa" w:w="3024"/>
            <w:vAlign w:val="top"/>
            <w:tcMar>
              <w:top w:w="40" w:type="dxa"/>
              <w:left w:w="65" w:type="dxa"/>
              <w:bottom w:w="35" w:type="dxa"/>
              <w:right w:w="65" w:type="dxa"/>
            </w:tcMar>
          </w:tcPr>
          <w:p>
            <w:pPr>
              <w:pStyle w:val="TableText"/>
            </w:pPr>
            <w:r>
              <w:rPr>
                <w:rStyle w:val="CodeCharacter"/>
              </w:rPr>
              <w:t>Clause.​validate_​span</w:t>
            </w:r>
          </w:p>
        </w:tc>
        <w:tc>
          <w:tcPr>
            <w:tcW w:type="dxa" w:w="4464"/>
            <w:vAlign w:val="top"/>
            <w:tcMar>
              <w:top w:w="40" w:type="dxa"/>
              <w:left w:w="65" w:type="dxa"/>
              <w:bottom w:w="35" w:type="dxa"/>
              <w:right w:w="65" w:type="dxa"/>
            </w:tcMar>
          </w:tcPr>
          <w:p>
            <w:pPr>
              <w:pStyle w:val="TableText"/>
            </w:pPr>
            <w:r>
              <w:t>Reject empty identities/text and inconsistent block-relative text spans.</w:t>
            </w:r>
          </w:p>
        </w:tc>
      </w:tr>
      <w:tr>
        <w:trPr>
          <w:cantSplit/>
        </w:trPr>
        <w:tc>
          <w:tcPr>
            <w:tcW w:type="dxa" w:w="1872"/>
            <w:vAlign w:val="top"/>
            <w:tcMar>
              <w:top w:w="40" w:type="dxa"/>
              <w:left w:w="65" w:type="dxa"/>
              <w:bottom w:w="35" w:type="dxa"/>
              <w:right w:w="65" w:type="dxa"/>
            </w:tcMar>
          </w:tcPr>
          <w:p>
            <w:pPr>
              <w:pStyle w:val="TableText"/>
            </w:pPr>
            <w:r>
              <w:rPr>
                <w:rStyle w:val="CodeCharacter"/>
              </w:rPr>
              <w:t>models.py</w:t>
            </w:r>
          </w:p>
        </w:tc>
        <w:tc>
          <w:tcPr>
            <w:tcW w:type="dxa" w:w="3024"/>
            <w:vAlign w:val="top"/>
            <w:tcMar>
              <w:top w:w="40" w:type="dxa"/>
              <w:left w:w="65" w:type="dxa"/>
              <w:bottom w:w="35" w:type="dxa"/>
              <w:right w:w="65" w:type="dxa"/>
            </w:tcMar>
          </w:tcPr>
          <w:p>
            <w:pPr>
              <w:pStyle w:val="TableText"/>
            </w:pPr>
            <w:r>
              <w:rPr>
                <w:rStyle w:val="CodeCharacter"/>
              </w:rPr>
              <w:t>Document</w:t>
            </w:r>
          </w:p>
        </w:tc>
        <w:tc>
          <w:tcPr>
            <w:tcW w:type="dxa" w:w="4464"/>
            <w:vAlign w:val="top"/>
            <w:tcMar>
              <w:top w:w="40" w:type="dxa"/>
              <w:left w:w="65" w:type="dxa"/>
              <w:bottom w:w="35" w:type="dxa"/>
              <w:right w:w="65" w:type="dxa"/>
            </w:tcMar>
          </w:tcPr>
          <w:p>
            <w:pPr>
              <w:pStyle w:val="TableText"/>
            </w:pPr>
            <w:r>
              <w:t>Bind a revision snapshot to dates, hashes, input provenance and clauses.</w:t>
            </w:r>
          </w:p>
        </w:tc>
      </w:tr>
      <w:tr>
        <w:trPr>
          <w:cantSplit/>
        </w:trPr>
        <w:tc>
          <w:tcPr>
            <w:tcW w:type="dxa" w:w="1872"/>
            <w:vAlign w:val="top"/>
            <w:tcMar>
              <w:top w:w="40" w:type="dxa"/>
              <w:left w:w="65" w:type="dxa"/>
              <w:bottom w:w="35" w:type="dxa"/>
              <w:right w:w="65" w:type="dxa"/>
            </w:tcMar>
          </w:tcPr>
          <w:p>
            <w:pPr>
              <w:pStyle w:val="TableText"/>
            </w:pPr>
            <w:r>
              <w:rPr>
                <w:rStyle w:val="CodeCharacter"/>
              </w:rPr>
              <w:t>models.py</w:t>
            </w:r>
          </w:p>
        </w:tc>
        <w:tc>
          <w:tcPr>
            <w:tcW w:type="dxa" w:w="3024"/>
            <w:vAlign w:val="top"/>
            <w:tcMar>
              <w:top w:w="40" w:type="dxa"/>
              <w:left w:w="65" w:type="dxa"/>
              <w:bottom w:w="35" w:type="dxa"/>
              <w:right w:w="65" w:type="dxa"/>
            </w:tcMar>
          </w:tcPr>
          <w:p>
            <w:pPr>
              <w:pStyle w:val="TableText"/>
            </w:pPr>
            <w:r>
              <w:rPr>
                <w:rStyle w:val="CodeCharacter"/>
              </w:rPr>
              <w:t>Document.​unique_​clauses</w:t>
            </w:r>
          </w:p>
        </w:tc>
        <w:tc>
          <w:tcPr>
            <w:tcW w:type="dxa" w:w="4464"/>
            <w:vAlign w:val="top"/>
            <w:tcMar>
              <w:top w:w="40" w:type="dxa"/>
              <w:left w:w="65" w:type="dxa"/>
              <w:bottom w:w="35" w:type="dxa"/>
              <w:right w:w="65" w:type="dxa"/>
            </w:tcMar>
          </w:tcPr>
          <w:p>
            <w:pPr>
              <w:pStyle w:val="TableText"/>
            </w:pPr>
            <w:r>
              <w:t>Reject duplicate positions/IDs, unsorted clauses and identity mismatches.</w:t>
            </w:r>
          </w:p>
        </w:tc>
      </w:tr>
      <w:tr>
        <w:trPr>
          <w:cantSplit/>
        </w:trPr>
        <w:tc>
          <w:tcPr>
            <w:tcW w:type="dxa" w:w="1872"/>
            <w:vAlign w:val="top"/>
            <w:tcMar>
              <w:top w:w="40" w:type="dxa"/>
              <w:left w:w="65" w:type="dxa"/>
              <w:bottom w:w="35" w:type="dxa"/>
              <w:right w:w="65" w:type="dxa"/>
            </w:tcMar>
          </w:tcPr>
          <w:p>
            <w:pPr>
              <w:pStyle w:val="TableText"/>
            </w:pPr>
            <w:r>
              <w:rPr>
                <w:rStyle w:val="CodeCharacter"/>
              </w:rPr>
              <w:t>models.py</w:t>
            </w:r>
          </w:p>
        </w:tc>
        <w:tc>
          <w:tcPr>
            <w:tcW w:type="dxa" w:w="3024"/>
            <w:vAlign w:val="top"/>
            <w:tcMar>
              <w:top w:w="40" w:type="dxa"/>
              <w:left w:w="65" w:type="dxa"/>
              <w:bottom w:w="35" w:type="dxa"/>
              <w:right w:w="65" w:type="dxa"/>
            </w:tcMar>
          </w:tcPr>
          <w:p>
            <w:pPr>
              <w:pStyle w:val="TableText"/>
            </w:pPr>
            <w:r>
              <w:rPr>
                <w:rStyle w:val="CodeCharacter"/>
              </w:rPr>
              <w:t>Evidence</w:t>
            </w:r>
          </w:p>
        </w:tc>
        <w:tc>
          <w:tcPr>
            <w:tcW w:type="dxa" w:w="4464"/>
            <w:vAlign w:val="top"/>
            <w:tcMar>
              <w:top w:w="40" w:type="dxa"/>
              <w:left w:w="65" w:type="dxa"/>
              <w:bottom w:w="35" w:type="dxa"/>
              <w:right w:w="65" w:type="dxa"/>
            </w:tcMar>
          </w:tcPr>
          <w:p>
            <w:pPr>
              <w:pStyle w:val="TableText"/>
            </w:pPr>
            <w:r>
              <w:t>Declare evidence role, availability and recursive dependency provenance.</w:t>
            </w:r>
          </w:p>
        </w:tc>
      </w:tr>
      <w:tr>
        <w:trPr>
          <w:cantSplit/>
        </w:trPr>
        <w:tc>
          <w:tcPr>
            <w:tcW w:type="dxa" w:w="1872"/>
            <w:vAlign w:val="top"/>
            <w:tcMar>
              <w:top w:w="40" w:type="dxa"/>
              <w:left w:w="65" w:type="dxa"/>
              <w:bottom w:w="35" w:type="dxa"/>
              <w:right w:w="65" w:type="dxa"/>
            </w:tcMar>
          </w:tcPr>
          <w:p>
            <w:pPr>
              <w:pStyle w:val="TableText"/>
            </w:pPr>
            <w:r>
              <w:rPr>
                <w:rStyle w:val="CodeCharacter"/>
              </w:rPr>
              <w:t>models.py</w:t>
            </w:r>
          </w:p>
        </w:tc>
        <w:tc>
          <w:tcPr>
            <w:tcW w:type="dxa" w:w="3024"/>
            <w:vAlign w:val="top"/>
            <w:tcMar>
              <w:top w:w="40" w:type="dxa"/>
              <w:left w:w="65" w:type="dxa"/>
              <w:bottom w:w="35" w:type="dxa"/>
              <w:right w:w="65" w:type="dxa"/>
            </w:tcMar>
          </w:tcPr>
          <w:p>
            <w:pPr>
              <w:pStyle w:val="TableText"/>
            </w:pPr>
            <w:r>
              <w:rPr>
                <w:rStyle w:val="CodeCharacter"/>
              </w:rPr>
              <w:t>Alignment</w:t>
            </w:r>
          </w:p>
        </w:tc>
        <w:tc>
          <w:tcPr>
            <w:tcW w:type="dxa" w:w="4464"/>
            <w:vAlign w:val="top"/>
            <w:tcMar>
              <w:top w:w="40" w:type="dxa"/>
              <w:left w:w="65" w:type="dxa"/>
              <w:bottom w:w="35" w:type="dxa"/>
              <w:right w:w="65" w:type="dxa"/>
            </w:tcMar>
          </w:tcPr>
          <w:p>
            <w:pPr>
              <w:pStyle w:val="TableText"/>
            </w:pPr>
            <w:r>
              <w:t>Represent typed provisional correspondence with scores, review and provenance.</w:t>
            </w:r>
          </w:p>
        </w:tc>
      </w:tr>
      <w:tr>
        <w:trPr>
          <w:cantSplit/>
        </w:trPr>
        <w:tc>
          <w:tcPr>
            <w:tcW w:type="dxa" w:w="1872"/>
            <w:vAlign w:val="top"/>
            <w:tcMar>
              <w:top w:w="40" w:type="dxa"/>
              <w:left w:w="65" w:type="dxa"/>
              <w:bottom w:w="35" w:type="dxa"/>
              <w:right w:w="65" w:type="dxa"/>
            </w:tcMar>
          </w:tcPr>
          <w:p>
            <w:pPr>
              <w:pStyle w:val="TableText"/>
            </w:pPr>
            <w:r>
              <w:rPr>
                <w:rStyle w:val="CodeCharacter"/>
              </w:rPr>
              <w:t>models.py</w:t>
            </w:r>
          </w:p>
        </w:tc>
        <w:tc>
          <w:tcPr>
            <w:tcW w:type="dxa" w:w="3024"/>
            <w:vAlign w:val="top"/>
            <w:tcMar>
              <w:top w:w="40" w:type="dxa"/>
              <w:left w:w="65" w:type="dxa"/>
              <w:bottom w:w="35" w:type="dxa"/>
              <w:right w:w="65" w:type="dxa"/>
            </w:tcMar>
          </w:tcPr>
          <w:p>
            <w:pPr>
              <w:pStyle w:val="TableText"/>
            </w:pPr>
            <w:r>
              <w:rPr>
                <w:rStyle w:val="CodeCharacter"/>
              </w:rPr>
              <w:t>Alignment.​cardinality</w:t>
            </w:r>
          </w:p>
        </w:tc>
        <w:tc>
          <w:tcPr>
            <w:tcW w:type="dxa" w:w="4464"/>
            <w:vAlign w:val="top"/>
            <w:tcMar>
              <w:top w:w="40" w:type="dxa"/>
              <w:left w:w="65" w:type="dxa"/>
              <w:bottom w:w="35" w:type="dxa"/>
              <w:right w:w="65" w:type="dxa"/>
            </w:tcMar>
          </w:tcPr>
          <w:p>
            <w:pPr>
              <w:pStyle w:val="TableText"/>
            </w:pPr>
            <w:r>
              <w:t>Enforce relation endpoint cardinalities and reject repeated endpoints.</w:t>
            </w:r>
          </w:p>
        </w:tc>
      </w:tr>
      <w:tr>
        <w:trPr>
          <w:cantSplit/>
        </w:trPr>
        <w:tc>
          <w:tcPr>
            <w:tcW w:type="dxa" w:w="1872"/>
            <w:vAlign w:val="top"/>
            <w:tcMar>
              <w:top w:w="40" w:type="dxa"/>
              <w:left w:w="65" w:type="dxa"/>
              <w:bottom w:w="35" w:type="dxa"/>
              <w:right w:w="65" w:type="dxa"/>
            </w:tcMar>
          </w:tcPr>
          <w:p>
            <w:pPr>
              <w:pStyle w:val="TableText"/>
            </w:pPr>
            <w:r>
              <w:rPr>
                <w:rStyle w:val="CodeCharacter"/>
              </w:rPr>
              <w:t>normalize.py</w:t>
            </w:r>
          </w:p>
        </w:tc>
        <w:tc>
          <w:tcPr>
            <w:tcW w:type="dxa" w:w="3024"/>
            <w:vAlign w:val="top"/>
            <w:tcMar>
              <w:top w:w="40" w:type="dxa"/>
              <w:left w:w="65" w:type="dxa"/>
              <w:bottom w:w="35" w:type="dxa"/>
              <w:right w:w="65" w:type="dxa"/>
            </w:tcMar>
          </w:tcPr>
          <w:p>
            <w:pPr>
              <w:pStyle w:val="TableText"/>
            </w:pPr>
            <w:r>
              <w:rPr>
                <w:rStyle w:val="CodeCharacter"/>
              </w:rPr>
              <w:t>normalize</w:t>
            </w:r>
          </w:p>
        </w:tc>
        <w:tc>
          <w:tcPr>
            <w:tcW w:type="dxa" w:w="4464"/>
            <w:vAlign w:val="top"/>
            <w:tcMar>
              <w:top w:w="40" w:type="dxa"/>
              <w:left w:w="65" w:type="dxa"/>
              <w:bottom w:w="35" w:type="dxa"/>
              <w:right w:w="65" w:type="dxa"/>
            </w:tcMar>
          </w:tcPr>
          <w:p>
            <w:pPr>
              <w:pStyle w:val="TableText"/>
            </w:pPr>
            <w:r>
              <w:t>Apply conservative presentation normalization and record the transformations.</w:t>
            </w:r>
          </w:p>
        </w:tc>
      </w:tr>
      <w:tr>
        <w:trPr>
          <w:cantSplit/>
        </w:trPr>
        <w:tc>
          <w:tcPr>
            <w:tcW w:type="dxa" w:w="1872"/>
            <w:vAlign w:val="top"/>
            <w:tcMar>
              <w:top w:w="40" w:type="dxa"/>
              <w:left w:w="65" w:type="dxa"/>
              <w:bottom w:w="35" w:type="dxa"/>
              <w:right w:w="65" w:type="dxa"/>
            </w:tcMar>
          </w:tcPr>
          <w:p>
            <w:pPr>
              <w:pStyle w:val="TableText"/>
            </w:pPr>
            <w:r>
              <w:rPr>
                <w:rStyle w:val="CodeCharacter"/>
              </w:rPr>
              <w:t>review.py</w:t>
            </w:r>
          </w:p>
        </w:tc>
        <w:tc>
          <w:tcPr>
            <w:tcW w:type="dxa" w:w="3024"/>
            <w:vAlign w:val="top"/>
            <w:tcMar>
              <w:top w:w="40" w:type="dxa"/>
              <w:left w:w="65" w:type="dxa"/>
              <w:bottom w:w="35" w:type="dxa"/>
              <w:right w:w="65" w:type="dxa"/>
            </w:tcMar>
          </w:tcPr>
          <w:p>
            <w:pPr>
              <w:pStyle w:val="TableText"/>
            </w:pPr>
            <w:r>
              <w:rPr>
                <w:rStyle w:val="CodeCharacter"/>
              </w:rPr>
              <w:t>records</w:t>
            </w:r>
          </w:p>
        </w:tc>
        <w:tc>
          <w:tcPr>
            <w:tcW w:type="dxa" w:w="4464"/>
            <w:vAlign w:val="top"/>
            <w:tcMar>
              <w:top w:w="40" w:type="dxa"/>
              <w:left w:w="65" w:type="dxa"/>
              <w:bottom w:w="35" w:type="dxa"/>
              <w:right w:w="65" w:type="dxa"/>
            </w:tcMar>
          </w:tcPr>
          <w:p>
            <w:pPr>
              <w:pStyle w:val="TableText"/>
            </w:pPr>
            <w:r>
              <w:t>Convert selection into relations, alternatives, confidence bands and review reasons.</w:t>
            </w:r>
          </w:p>
        </w:tc>
      </w:tr>
      <w:tr>
        <w:trPr>
          <w:cantSplit/>
        </w:trPr>
        <w:tc>
          <w:tcPr>
            <w:tcW w:type="dxa" w:w="1872"/>
            <w:vAlign w:val="top"/>
            <w:tcMar>
              <w:top w:w="40" w:type="dxa"/>
              <w:left w:w="65" w:type="dxa"/>
              <w:bottom w:w="35" w:type="dxa"/>
              <w:right w:w="65" w:type="dxa"/>
            </w:tcMar>
          </w:tcPr>
          <w:p>
            <w:pPr>
              <w:pStyle w:val="TableText"/>
            </w:pPr>
            <w:r>
              <w:rPr>
                <w:rStyle w:val="CodeCharacter"/>
              </w:rPr>
              <w:t>review.py</w:t>
            </w:r>
          </w:p>
        </w:tc>
        <w:tc>
          <w:tcPr>
            <w:tcW w:type="dxa" w:w="3024"/>
            <w:vAlign w:val="top"/>
            <w:tcMar>
              <w:top w:w="40" w:type="dxa"/>
              <w:left w:w="65" w:type="dxa"/>
              <w:bottom w:w="35" w:type="dxa"/>
              <w:right w:w="65" w:type="dxa"/>
            </w:tcMar>
          </w:tcPr>
          <w:p>
            <w:pPr>
              <w:pStyle w:val="TableText"/>
            </w:pPr>
            <w:r>
              <w:rPr>
                <w:rStyle w:val="CodeCharacter"/>
              </w:rPr>
              <w:t>stratified_sample</w:t>
            </w:r>
          </w:p>
        </w:tc>
        <w:tc>
          <w:tcPr>
            <w:tcW w:type="dxa" w:w="4464"/>
            <w:vAlign w:val="top"/>
            <w:tcMar>
              <w:top w:w="40" w:type="dxa"/>
              <w:left w:w="65" w:type="dxa"/>
              <w:bottom w:w="35" w:type="dxa"/>
              <w:right w:w="65" w:type="dxa"/>
            </w:tcMar>
          </w:tcPr>
          <w:p>
            <w:pPr>
              <w:pStyle w:val="TableText"/>
            </w:pPr>
            <w:r>
              <w:t>Select a deterministic bounded review sample across available strata.</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tokens</w:t>
            </w:r>
          </w:p>
        </w:tc>
        <w:tc>
          <w:tcPr>
            <w:tcW w:type="dxa" w:w="4464"/>
            <w:vAlign w:val="top"/>
            <w:tcMar>
              <w:top w:w="40" w:type="dxa"/>
              <w:left w:w="65" w:type="dxa"/>
              <w:bottom w:w="35" w:type="dxa"/>
              <w:right w:w="65" w:type="dxa"/>
            </w:tcMar>
          </w:tcPr>
          <w:p>
            <w:pPr>
              <w:pStyle w:val="TableText"/>
            </w:pPr>
            <w:r>
              <w:t>Extract protocol-oriented lexical tokens including punctuation and constants.</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content_tokens</w:t>
            </w:r>
          </w:p>
        </w:tc>
        <w:tc>
          <w:tcPr>
            <w:tcW w:type="dxa" w:w="4464"/>
            <w:vAlign w:val="top"/>
            <w:tcMar>
              <w:top w:w="40" w:type="dxa"/>
              <w:left w:w="65" w:type="dxa"/>
              <w:bottom w:w="35" w:type="dxa"/>
              <w:right w:w="65" w:type="dxa"/>
            </w:tcMar>
          </w:tcPr>
          <w:p>
            <w:pPr>
              <w:pStyle w:val="TableText"/>
            </w:pPr>
            <w:r>
              <w:t>Build case-folded retrieval terms after short/stop-token filtering.</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signature</w:t>
            </w:r>
          </w:p>
        </w:tc>
        <w:tc>
          <w:tcPr>
            <w:tcW w:type="dxa" w:w="4464"/>
            <w:vAlign w:val="top"/>
            <w:tcMar>
              <w:top w:w="40" w:type="dxa"/>
              <w:left w:w="65" w:type="dxa"/>
              <w:bottom w:w="35" w:type="dxa"/>
              <w:right w:w="65" w:type="dxa"/>
            </w:tcMar>
          </w:tcPr>
          <w:p>
            <w:pPr>
              <w:pStyle w:val="TableText"/>
            </w:pPr>
            <w:r>
              <w:t>Extract actors, modals, negation, numbers, identifiers and condition cues.</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change_summary</w:t>
            </w:r>
          </w:p>
        </w:tc>
        <w:tc>
          <w:tcPr>
            <w:tcW w:type="dxa" w:w="4464"/>
            <w:vAlign w:val="top"/>
            <w:tcMar>
              <w:top w:w="40" w:type="dxa"/>
              <w:left w:w="65" w:type="dxa"/>
              <w:bottom w:w="35" w:type="dxa"/>
              <w:right w:w="65" w:type="dxa"/>
            </w:tcMar>
          </w:tcPr>
          <w:p>
            <w:pPr>
              <w:pStyle w:val="TableText"/>
            </w:pPr>
            <w:r>
              <w:t>Report added/removed signature values without assigning revision reasons.</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lexical</w:t>
            </w:r>
          </w:p>
        </w:tc>
        <w:tc>
          <w:tcPr>
            <w:tcW w:type="dxa" w:w="4464"/>
            <w:vAlign w:val="top"/>
            <w:tcMar>
              <w:top w:w="40" w:type="dxa"/>
              <w:left w:w="65" w:type="dxa"/>
              <w:bottom w:w="35" w:type="dxa"/>
              <w:right w:w="65" w:type="dxa"/>
            </w:tcMar>
          </w:tcPr>
          <w:p>
            <w:pPr>
              <w:pStyle w:val="TableText"/>
            </w:pPr>
            <w:r>
              <w:t>Combine multiset token overlap with character-sequence similarity.</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similarity_set</w:t>
            </w:r>
          </w:p>
        </w:tc>
        <w:tc>
          <w:tcPr>
            <w:tcW w:type="dxa" w:w="4464"/>
            <w:vAlign w:val="top"/>
            <w:tcMar>
              <w:top w:w="40" w:type="dxa"/>
              <w:left w:w="65" w:type="dxa"/>
              <w:bottom w:w="35" w:type="dxa"/>
              <w:right w:w="65" w:type="dxa"/>
            </w:tcMar>
          </w:tcPr>
          <w:p>
            <w:pPr>
              <w:pStyle w:val="TableText"/>
            </w:pPr>
            <w:r>
              <w:t>Compute set overlap, treating two empty signatures as consistent.</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block_compatibility</w:t>
            </w:r>
          </w:p>
        </w:tc>
        <w:tc>
          <w:tcPr>
            <w:tcW w:type="dxa" w:w="4464"/>
            <w:vAlign w:val="top"/>
            <w:tcMar>
              <w:top w:w="40" w:type="dxa"/>
              <w:left w:w="65" w:type="dxa"/>
              <w:bottom w:w="35" w:type="dxa"/>
              <w:right w:w="65" w:type="dxa"/>
            </w:tcMar>
          </w:tcPr>
          <w:p>
            <w:pPr>
              <w:pStyle w:val="TableText"/>
            </w:pPr>
            <w:r>
              <w:t>Score identical blocks and compatible prose/​list/​definition types.</w:t>
            </w:r>
          </w:p>
        </w:tc>
      </w:tr>
      <w:tr>
        <w:trPr>
          <w:cantSplit/>
        </w:trPr>
        <w:tc>
          <w:tcPr>
            <w:tcW w:type="dxa" w:w="1872"/>
            <w:vAlign w:val="top"/>
            <w:tcMar>
              <w:top w:w="40" w:type="dxa"/>
              <w:left w:w="65" w:type="dxa"/>
              <w:bottom w:w="35" w:type="dxa"/>
              <w:right w:w="65" w:type="dxa"/>
            </w:tcMar>
          </w:tcPr>
          <w:p>
            <w:pPr>
              <w:pStyle w:val="TableText"/>
            </w:pPr>
            <w:r>
              <w:rPr>
                <w:rStyle w:val="CodeCharacter"/>
              </w:rPr>
              <w:t>scoring.py</w:t>
            </w:r>
          </w:p>
        </w:tc>
        <w:tc>
          <w:tcPr>
            <w:tcW w:type="dxa" w:w="3024"/>
            <w:vAlign w:val="top"/>
            <w:tcMar>
              <w:top w:w="40" w:type="dxa"/>
              <w:left w:w="65" w:type="dxa"/>
              <w:bottom w:w="35" w:type="dxa"/>
              <w:right w:w="65" w:type="dxa"/>
            </w:tcMar>
          </w:tcPr>
          <w:p>
            <w:pPr>
              <w:pStyle w:val="TableText"/>
            </w:pPr>
            <w:r>
              <w:rPr>
                <w:rStyle w:val="CodeCharacter"/>
              </w:rPr>
              <w:t>score</w:t>
            </w:r>
          </w:p>
        </w:tc>
        <w:tc>
          <w:tcPr>
            <w:tcW w:type="dxa" w:w="4464"/>
            <w:vAlign w:val="top"/>
            <w:tcMar>
              <w:top w:w="40" w:type="dxa"/>
              <w:left w:w="65" w:type="dxa"/>
              <w:bottom w:w="35" w:type="dxa"/>
              <w:right w:w="65" w:type="dxa"/>
            </w:tcMar>
          </w:tcPr>
          <w:p>
            <w:pPr>
              <w:pStyle w:val="TableText"/>
            </w:pPr>
            <w:r>
              <w:t>Record individual semantic, lexical, structural and protected components plus weighted score.</w:t>
            </w:r>
          </w:p>
        </w:tc>
      </w:tr>
      <w:tr>
        <w:trPr>
          <w:cantSplit/>
        </w:trPr>
        <w:tc>
          <w:tcPr>
            <w:tcW w:type="dxa" w:w="1872"/>
            <w:vAlign w:val="top"/>
            <w:tcMar>
              <w:top w:w="40" w:type="dxa"/>
              <w:left w:w="65" w:type="dxa"/>
              <w:bottom w:w="35" w:type="dxa"/>
              <w:right w:w="65" w:type="dxa"/>
            </w:tcMar>
          </w:tcPr>
          <w:p>
            <w:pPr>
              <w:pStyle w:val="TableText"/>
            </w:pPr>
            <w:r>
              <w:rPr>
                <w:rStyle w:val="CodeCharacter"/>
              </w:rPr>
              <w:t>temporal.py</w:t>
            </w:r>
          </w:p>
        </w:tc>
        <w:tc>
          <w:tcPr>
            <w:tcW w:type="dxa" w:w="3024"/>
            <w:vAlign w:val="top"/>
            <w:tcMar>
              <w:top w:w="40" w:type="dxa"/>
              <w:left w:w="65" w:type="dxa"/>
              <w:bottom w:w="35" w:type="dxa"/>
              <w:right w:w="65" w:type="dxa"/>
            </w:tcMar>
          </w:tcPr>
          <w:p>
            <w:pPr>
              <w:pStyle w:val="TableText"/>
            </w:pPr>
            <w:r>
              <w:rPr>
                <w:rStyle w:val="CodeCharacter"/>
              </w:rPr>
              <w:t>guard</w:t>
            </w:r>
          </w:p>
        </w:tc>
        <w:tc>
          <w:tcPr>
            <w:tcW w:type="dxa" w:w="4464"/>
            <w:vAlign w:val="top"/>
            <w:tcMar>
              <w:top w:w="40" w:type="dxa"/>
              <w:left w:w="65" w:type="dxa"/>
              <w:bottom w:w="35" w:type="dxa"/>
              <w:right w:w="65" w:type="dxa"/>
            </w:tcMar>
          </w:tcPr>
          <w:p>
            <w:pPr>
              <w:pStyle w:val="TableText"/>
            </w:pPr>
            <w:r>
              <w:t>Reject non-feature, unknown-date, future and inadmissible same-day evidence recursively.</w:t>
            </w:r>
          </w:p>
        </w:tc>
      </w:tr>
      <w:tr>
        <w:trPr>
          <w:cantSplit/>
        </w:trPr>
        <w:tc>
          <w:tcPr>
            <w:tcW w:type="dxa" w:w="1872"/>
            <w:vAlign w:val="top"/>
            <w:tcMar>
              <w:top w:w="40" w:type="dxa"/>
              <w:left w:w="65" w:type="dxa"/>
              <w:bottom w:w="35" w:type="dxa"/>
              <w:right w:w="65" w:type="dxa"/>
            </w:tcMar>
          </w:tcPr>
          <w:p>
            <w:pPr>
              <w:pStyle w:val="TableText"/>
            </w:pPr>
            <w:r>
              <w:rPr>
                <w:rStyle w:val="CodeCharacter"/>
              </w:rPr>
              <w:t>temporal.py</w:t>
            </w:r>
          </w:p>
        </w:tc>
        <w:tc>
          <w:tcPr>
            <w:tcW w:type="dxa" w:w="3024"/>
            <w:vAlign w:val="top"/>
            <w:tcMar>
              <w:top w:w="40" w:type="dxa"/>
              <w:left w:w="65" w:type="dxa"/>
              <w:bottom w:w="35" w:type="dxa"/>
              <w:right w:w="65" w:type="dxa"/>
            </w:tcMar>
          </w:tcPr>
          <w:p>
            <w:pPr>
              <w:pStyle w:val="TableText"/>
            </w:pPr>
            <w:r>
              <w:rPr>
                <w:rStyle w:val="CodeCharacter"/>
              </w:rPr>
              <w:t>predecessors</w:t>
            </w:r>
          </w:p>
        </w:tc>
        <w:tc>
          <w:tcPr>
            <w:tcW w:type="dxa" w:w="4464"/>
            <w:vAlign w:val="top"/>
            <w:tcMar>
              <w:top w:w="40" w:type="dxa"/>
              <w:left w:w="65" w:type="dxa"/>
              <w:bottom w:w="35" w:type="dxa"/>
              <w:right w:w="65" w:type="dxa"/>
            </w:tcMar>
          </w:tcPr>
          <w:p>
            <w:pPr>
              <w:pStyle w:val="TableText"/>
            </w:pPr>
            <w:r>
              <w:t>Same-family revision order resolves same-day draft submission granularity.</w:t>
            </w:r>
          </w:p>
        </w:tc>
      </w:tr>
      <w:tr>
        <w:trPr>
          <w:cantSplit/>
        </w:trPr>
        <w:tc>
          <w:tcPr>
            <w:tcW w:type="dxa" w:w="1872"/>
            <w:vAlign w:val="top"/>
            <w:tcMar>
              <w:top w:w="40" w:type="dxa"/>
              <w:left w:w="65" w:type="dxa"/>
              <w:bottom w:w="35" w:type="dxa"/>
              <w:right w:w="65" w:type="dxa"/>
            </w:tcMar>
          </w:tcPr>
          <w:p>
            <w:pPr>
              <w:pStyle w:val="TableText"/>
            </w:pPr>
            <w:r>
              <w:rPr>
                <w:rStyle w:val="CodeCharacter"/>
              </w:rPr>
              <w:t>temporal.py</w:t>
            </w:r>
          </w:p>
        </w:tc>
        <w:tc>
          <w:tcPr>
            <w:tcW w:type="dxa" w:w="3024"/>
            <w:vAlign w:val="top"/>
            <w:tcMar>
              <w:top w:w="40" w:type="dxa"/>
              <w:left w:w="65" w:type="dxa"/>
              <w:bottom w:w="35" w:type="dxa"/>
              <w:right w:w="65" w:type="dxa"/>
            </w:tcMar>
          </w:tcPr>
          <w:p>
            <w:pPr>
              <w:pStyle w:val="TableText"/>
            </w:pPr>
            <w:r>
              <w:rPr>
                <w:rStyle w:val="CodeCharacter"/>
              </w:rPr>
              <w:t>prediction_view</w:t>
            </w:r>
          </w:p>
        </w:tc>
        <w:tc>
          <w:tcPr>
            <w:tcW w:type="dxa" w:w="4464"/>
            <w:vAlign w:val="top"/>
            <w:tcMar>
              <w:top w:w="40" w:type="dxa"/>
              <w:left w:w="65" w:type="dxa"/>
              <w:bottom w:w="35" w:type="dxa"/>
              <w:right w:w="65" w:type="dxa"/>
            </w:tcMar>
          </w:tcPr>
          <w:p>
            <w:pPr>
              <w:pStyle w:val="TableText"/>
            </w:pPr>
            <w:r>
              <w:t>Return only admissible target/earlier draft snapshots and automatic history.</w:t>
            </w:r>
          </w:p>
        </w:tc>
      </w:tr>
      <w:tr>
        <w:trPr>
          <w:cantSplit/>
        </w:trPr>
        <w:tc>
          <w:tcPr>
            <w:tcW w:type="dxa" w:w="1872"/>
            <w:vAlign w:val="top"/>
            <w:tcMar>
              <w:top w:w="40" w:type="dxa"/>
              <w:left w:w="65" w:type="dxa"/>
              <w:bottom w:w="35" w:type="dxa"/>
              <w:right w:w="65" w:type="dxa"/>
            </w:tcMar>
          </w:tcPr>
          <w:p>
            <w:pPr>
              <w:pStyle w:val="TableText"/>
            </w:pPr>
            <w:r>
              <w:rPr>
                <w:rStyle w:val="CodeCharacter"/>
              </w:rPr>
              <w:t>temporal.py</w:t>
            </w:r>
          </w:p>
        </w:tc>
        <w:tc>
          <w:tcPr>
            <w:tcW w:type="dxa" w:w="3024"/>
            <w:vAlign w:val="top"/>
            <w:tcMar>
              <w:top w:w="40" w:type="dxa"/>
              <w:left w:w="65" w:type="dxa"/>
              <w:bottom w:w="35" w:type="dxa"/>
              <w:right w:w="65" w:type="dxa"/>
            </w:tcMar>
          </w:tcPr>
          <w:p>
            <w:pPr>
              <w:pStyle w:val="TableText"/>
            </w:pPr>
            <w:r>
              <w:rPr>
                <w:rStyle w:val="CodeCharacter"/>
              </w:rPr>
              <w:t>resolve_reference</w:t>
            </w:r>
          </w:p>
        </w:tc>
        <w:tc>
          <w:tcPr>
            <w:tcW w:type="dxa" w:w="4464"/>
            <w:vAlign w:val="top"/>
            <w:tcMar>
              <w:top w:w="40" w:type="dxa"/>
              <w:left w:w="65" w:type="dxa"/>
              <w:bottom w:w="35" w:type="dxa"/>
              <w:right w:w="65" w:type="dxa"/>
            </w:tcMar>
          </w:tcPr>
          <w:p>
            <w:pPr>
              <w:pStyle w:val="TableText"/>
            </w:pPr>
            <w:r>
              <w:t>Choose the latest admissible historical reference version, or none.</w:t>
            </w:r>
          </w:p>
        </w:tc>
      </w:tr>
      <w:tr>
        <w:trPr>
          <w:cantSplit/>
        </w:trPr>
        <w:tc>
          <w:tcPr>
            <w:tcW w:type="dxa" w:w="1872"/>
            <w:vAlign w:val="top"/>
            <w:tcMar>
              <w:top w:w="40" w:type="dxa"/>
              <w:left w:w="65" w:type="dxa"/>
              <w:bottom w:w="35" w:type="dxa"/>
              <w:right w:w="65" w:type="dxa"/>
            </w:tcMar>
          </w:tcPr>
          <w:p>
            <w:pPr>
              <w:pStyle w:val="TableText"/>
            </w:pPr>
            <w:r>
              <w:rPr>
                <w:rStyle w:val="CodeCharacter"/>
              </w:rPr>
              <w:t>validate_run.py</w:t>
            </w:r>
          </w:p>
        </w:tc>
        <w:tc>
          <w:tcPr>
            <w:tcW w:type="dxa" w:w="3024"/>
            <w:vAlign w:val="top"/>
            <w:tcMar>
              <w:top w:w="40" w:type="dxa"/>
              <w:left w:w="65" w:type="dxa"/>
              <w:bottom w:w="35" w:type="dxa"/>
              <w:right w:w="65" w:type="dxa"/>
            </w:tcMar>
          </w:tcPr>
          <w:p>
            <w:pPr>
              <w:pStyle w:val="TableText"/>
            </w:pPr>
            <w:r>
              <w:rPr>
                <w:rStyle w:val="CodeCharacter"/>
              </w:rPr>
              <w:t>content_tokenizer</w:t>
            </w:r>
          </w:p>
        </w:tc>
        <w:tc>
          <w:tcPr>
            <w:tcW w:type="dxa" w:w="4464"/>
            <w:vAlign w:val="top"/>
            <w:tcMar>
              <w:top w:w="40" w:type="dxa"/>
              <w:left w:w="65" w:type="dxa"/>
              <w:bottom w:w="35" w:type="dxa"/>
              <w:right w:w="65" w:type="dxa"/>
            </w:tcMar>
          </w:tcPr>
          <w:p>
            <w:pPr>
              <w:pStyle w:val="TableText"/>
            </w:pPr>
            <w:r>
              <w:t>Recover source IDs without serialized batch padding or truncation settings.</w:t>
            </w:r>
          </w:p>
        </w:tc>
      </w:tr>
      <w:tr>
        <w:trPr>
          <w:cantSplit/>
        </w:trPr>
        <w:tc>
          <w:tcPr>
            <w:tcW w:type="dxa" w:w="1872"/>
            <w:vAlign w:val="top"/>
            <w:tcMar>
              <w:top w:w="40" w:type="dxa"/>
              <w:left w:w="65" w:type="dxa"/>
              <w:bottom w:w="35" w:type="dxa"/>
              <w:right w:w="65" w:type="dxa"/>
            </w:tcMar>
          </w:tcPr>
          <w:p>
            <w:pPr>
              <w:pStyle w:val="TableText"/>
            </w:pPr>
            <w:r>
              <w:rPr>
                <w:rStyle w:val="CodeCharacter"/>
              </w:rPr>
              <w:t>validate_run.py</w:t>
            </w:r>
          </w:p>
        </w:tc>
        <w:tc>
          <w:tcPr>
            <w:tcW w:type="dxa" w:w="3024"/>
            <w:vAlign w:val="top"/>
            <w:tcMar>
              <w:top w:w="40" w:type="dxa"/>
              <w:left w:w="65" w:type="dxa"/>
              <w:bottom w:w="35" w:type="dxa"/>
              <w:right w:w="65" w:type="dxa"/>
            </w:tcMar>
          </w:tcPr>
          <w:p>
            <w:pPr>
              <w:pStyle w:val="TableText"/>
            </w:pPr>
            <w:r>
              <w:rPr>
                <w:rStyle w:val="CodeCharacter"/>
              </w:rPr>
              <w:t>validate_run</w:t>
            </w:r>
          </w:p>
        </w:tc>
        <w:tc>
          <w:tcPr>
            <w:tcW w:type="dxa" w:w="4464"/>
            <w:vAlign w:val="top"/>
            <w:tcMar>
              <w:top w:w="40" w:type="dxa"/>
              <w:left w:w="65" w:type="dxa"/>
              <w:bottom w:w="35" w:type="dxa"/>
              <w:right w:w="65" w:type="dxa"/>
            </w:tcMar>
          </w:tcPr>
          <w:p>
            <w:pPr>
              <w:pStyle w:val="TableText"/>
            </w:pPr>
            <w:r>
              <w:t>Audit complete TLS outputs, hashes, endpoint coverage, windows and feature guards.</w:t>
            </w:r>
          </w:p>
        </w:tc>
      </w:tr>
    </w:tbl>
    <w:p>
      <w:pPr>
        <w:spacing w:after="0"/>
      </w:pPr>
    </w:p>
    <w:p>
      <w:pPr/>
      <w:r>
        <w:rPr>
          <w:rStyle w:val="CodeCharacter"/>
        </w:rPr>
        <w:t>eval/​alignment_​metrics.​py</w:t>
      </w:r>
      <w:r>
        <w:t xml:space="preserve"> additionally exports </w:t>
      </w:r>
      <w:r>
        <w:rPr>
          <w:rStyle w:val="CodeCharacter"/>
        </w:rPr>
        <w:t>links(row)</w:t>
      </w:r>
      <w:r>
        <w:t xml:space="preserve"> and </w:t>
      </w:r>
      <w:r>
        <w:rPr>
          <w:rStyle w:val="CodeCharacter"/>
        </w:rPr>
        <w:t>evaluate(rows, candidates=None, gold=None)</w:t>
      </w:r>
      <w:r>
        <w:t xml:space="preserve">. Uncertain records do not assert Cartesian-product links. Gold input requires reviewer identity and complete reviewed pair scopes; isolated samples must not claim </w:t>
      </w:r>
      <w:r>
        <w:rPr>
          <w:rStyle w:val="CodeCharacter"/>
        </w:rPr>
        <w:t>scope_complete=true</w:t>
      </w:r>
      <w:r>
        <w:t>.</w:t>
      </w:r>
    </w:p>
    <w:p>
      <w:pPr/>
      <w:r>
        <w:t>Representative integration sequence, omitting operational arguments already documented below:</w:t>
      </w:r>
    </w:p>
    <w:p>
      <w:pPr>
        <w:pStyle w:val="Code"/>
      </w:pPr>
      <w:r>
        <w:t>documents, provenance = prepare_​inputs(root, run, prepare_​missing=True)</w:t>
        <w:br/>
        <w:t>va, vb = encoder.​encode(texts_​a), encoder.​encode(texts_​b)</w:t>
        <w:br/>
        <w:t>candidates = candidate_graph(a, b, config, va, vb)</w:t>
        <w:br/>
        <w:t>selected, diagnostics = select(candidates, config)</w:t>
        <w:br/>
        <w:t>rows = records(a, b, candidates, selected, config, created_at, model_id)</w:t>
        <w:br/>
        <w:t>nodes = build_​lineage(documents, all_pair_rows)</w:t>
        <w:br/>
        <w:t>draft_features = features(documents, all_pair_rows, target_id)</w:t>
      </w:r>
    </w:p>
    <w:p>
      <w:pPr/>
      <w:r>
        <w:t>The caller must supply validated chronological documents and unchanged normalized texts. The CLI additionally performs exclusive creation, temporal preflight, failure handling and integrity checks. Direct helper calls do not independently reproduce every runner safeguard.</w:t>
      </w:r>
    </w:p>
    <w:p>
      <w:pPr>
        <w:pStyle w:val="Heading2"/>
      </w:pPr>
      <w:r>
        <w:t>Appendix C: CLI commands</w:t>
      </w:r>
    </w:p>
    <w:p>
      <w:pPr/>
      <w:r>
        <w:t xml:space="preserve">Run commands from the repository root with the existing Conda environment activated. On Windows, </w:t>
      </w:r>
      <w:r>
        <w:rPr>
          <w:rStyle w:val="CodeCharacter"/>
        </w:rPr>
        <w:t>conda run --no-capture-output -n ietf-​ambiguity-​detection</w:t>
      </w:r>
      <w:r>
        <w:t xml:space="preserve"> is an alternative to activation when the named environment resolves to the recorded installation. No absolute local installation path is embedded in this chapter. These commands document operations; report preparation does not rerun the alignment timeline.</w:t>
      </w:r>
    </w:p>
    <w:p>
      <w:pPr>
        <w:pStyle w:val="Code"/>
      </w:pPr>
      <w:r>
        <w:t>conda activate ietf-​ambiguity-​detection</w:t>
        <w:br/>
        <w:t>python -m alignment.​version_​alignment --help</w:t>
      </w:r>
    </w:p>
    <w:p>
      <w:pPr/>
      <w:r>
        <w:t>The final full-run invocation was equivalent to:</w:t>
      </w:r>
    </w:p>
    <w:p>
      <w:pPr>
        <w:pStyle w:val="Code"/>
      </w:pPr>
      <w:r>
        <w:t>python -m alignment.​version_​alignment `</w:t>
        <w:br/>
        <w:t xml:space="preserve">  --backend semantic `</w:t>
        <w:br/>
        <w:t xml:space="preserve">  --model-revision 1110a243fdf4706b​3f48f1d95db1a4f5​529b4d41 `</w:t>
        <w:br/>
        <w:t xml:space="preserve">  --prepare-missing `</w:t>
        <w:br/>
        <w:t xml:space="preserve">  --output corpus/​processed/​alignments/​draft-​ietf-​tls-​tls13/​pilot-​semantic-​v5</w:t>
      </w:r>
    </w:p>
    <w:p>
      <w:pPr/>
      <w:r>
        <w:t>Do not repeat that command with the existing output path: it is rejected. Choose a new run name for reproduction. A reusable example is:</w:t>
      </w:r>
    </w:p>
    <w:p>
      <w:pPr>
        <w:pStyle w:val="Code"/>
      </w:pPr>
      <w:r>
        <w:t>python -m alignment.​version_​alignment `</w:t>
        <w:br/>
        <w:t xml:space="preserve">  --backend semantic `</w:t>
        <w:br/>
        <w:t xml:space="preserve">  --model-revision 1110a243fdf4706b​3f48f1d95db1a4f5​529b4d41 `</w:t>
        <w:br/>
        <w:t xml:space="preserve">  --prepare-missing `</w:t>
        <w:br/>
        <w:t xml:space="preserve">  --output corpus/​processed/​alignments/​draft-​ietf-​tls-​tls13/​NEW_​RUN_​NAME</w:t>
      </w:r>
    </w:p>
    <w:p>
      <w:pPr/>
      <w:r>
        <w:t>Early/late smoke, preparation and validation command forms:</w:t>
      </w:r>
    </w:p>
    <w:p>
      <w:pPr>
        <w:pStyle w:val="Code"/>
      </w:pPr>
      <w:r>
        <w:t>python -m alignment.​version_​alignment --backend lexical `</w:t>
        <w:br/>
        <w:t xml:space="preserve">  --pair draft-​ietf-​tls-​tls13-​00 draft-​ietf-​tls-​tls13-​01 `</w:t>
        <w:br/>
        <w:t xml:space="preserve">  --output corpus/​processed/​alignments/​draft-​ietf-​tls-​tls13/​NEW_​EARLY</w:t>
        <w:br/>
        <w:t>python -m alignment.​version_​alignment --backend semantic `</w:t>
        <w:br/>
        <w:t xml:space="preserve">  --model-revision 1110a243fdf4706b​3f48f1d95db1a4f5​529b4d41 `</w:t>
        <w:br/>
        <w:t xml:space="preserve">  --pair draft-​ietf-​tls-​tls13-​27 draft-​ietf-​tls-​tls13-​28 `</w:t>
        <w:br/>
        <w:t xml:space="preserve">  --output corpus/​processed/​alignments/​draft-​ietf-​tls-​tls13/​NEW_​LATE</w:t>
        <w:br/>
        <w:t>python -m alignment.​version_​alignment --prepare-only --prepare-missing `</w:t>
        <w:br/>
        <w:t xml:space="preserve">  --output corpus/​processed/​alignments/​draft-​ietf-​tls-​tls13/​NEW_​PREPARED</w:t>
        <w:br/>
        <w:t>python -m alignment.​version_​alignment.​validate_​run `</w:t>
        <w:br/>
        <w:t xml:space="preserve">  corpus/​processed/​alignments/​draft-​ietf-​tls-​tls13/​pilot-​semantic-​v5 `</w:t>
        <w:br/>
        <w:t xml:space="preserve">  --protected corpus/​processed/​alignments/​recovery-​protected-​inputs-​v3.​json</w:t>
      </w:r>
    </w:p>
    <w:p>
      <w:pPr>
        <w:pStyle w:val="Caption"/>
        <w:keepNext/>
      </w:pPr>
      <w:r>
        <w:t>CLI options and execution boundaries.</w:t>
      </w:r>
    </w:p>
    <w:tbl>
      <w:tblPr>
        <w:tblStyle w:val="TableGrid"/>
        <w:tblW w:type="auto" w:w="0"/>
        <w:jc w:val="center"/>
        <w:tblLayout w:type="fixed"/>
        <w:tblLook w:firstColumn="1" w:firstRow="1" w:lastColumn="0" w:lastRow="0" w:noHBand="0" w:noVBand="1" w:val="04A0"/>
      </w:tblPr>
      <w:tblGrid>
        <w:gridCol w:w="3024"/>
        <w:gridCol w:w="6336"/>
      </w:tblGrid>
      <w:tr>
        <w:trPr>
          <w:tblHeader w:val="true"/>
          <w:cantSplit/>
        </w:trPr>
        <w:tc>
          <w:tcPr>
            <w:tcW w:type="dxa" w:w="3024"/>
            <w:vAlign w:val="top"/>
            <w:tcMar>
              <w:top w:w="40" w:type="dxa"/>
              <w:left w:w="65" w:type="dxa"/>
              <w:bottom w:w="35" w:type="dxa"/>
              <w:right w:w="65" w:type="dxa"/>
            </w:tcMar>
          </w:tcPr>
          <w:p>
            <w:pPr>
              <w:pStyle w:val="TableHeader"/>
            </w:pPr>
            <w:r>
              <w:t>Option</w:t>
            </w:r>
          </w:p>
        </w:tc>
        <w:tc>
          <w:tcPr>
            <w:tcW w:type="dxa" w:w="6336"/>
            <w:vAlign w:val="top"/>
            <w:tcMar>
              <w:top w:w="40" w:type="dxa"/>
              <w:left w:w="65" w:type="dxa"/>
              <w:bottom w:w="35" w:type="dxa"/>
              <w:right w:w="65" w:type="dxa"/>
            </w:tcMar>
          </w:tcPr>
          <w:p>
            <w:pPr>
              <w:pStyle w:val="TableHeader"/>
            </w:pPr>
            <w:r>
              <w:t>Meaning</w:t>
            </w:r>
          </w:p>
        </w:tc>
      </w:tr>
      <w:tr>
        <w:trPr>
          <w:cantSplit/>
        </w:trPr>
        <w:tc>
          <w:tcPr>
            <w:tcW w:type="dxa" w:w="3024"/>
            <w:vAlign w:val="top"/>
            <w:tcMar>
              <w:top w:w="40" w:type="dxa"/>
              <w:left w:w="65" w:type="dxa"/>
              <w:bottom w:w="35" w:type="dxa"/>
              <w:right w:w="65" w:type="dxa"/>
            </w:tcMar>
          </w:tcPr>
          <w:p>
            <w:pPr>
              <w:pStyle w:val="TableText"/>
            </w:pPr>
            <w:r>
              <w:rPr>
                <w:rStyle w:val="CodeCharacter"/>
              </w:rPr>
              <w:t>--root</w:t>
            </w:r>
          </w:p>
        </w:tc>
        <w:tc>
          <w:tcPr>
            <w:tcW w:type="dxa" w:w="6336"/>
            <w:vAlign w:val="top"/>
            <w:tcMar>
              <w:top w:w="40" w:type="dxa"/>
              <w:left w:w="65" w:type="dxa"/>
              <w:bottom w:w="35" w:type="dxa"/>
              <w:right w:w="65" w:type="dxa"/>
            </w:tcMar>
          </w:tcPr>
          <w:p>
            <w:pPr>
              <w:pStyle w:val="TableText"/>
            </w:pPr>
            <w:r>
              <w:t>Repository root override; defaults to the package-derived root.</w:t>
            </w:r>
          </w:p>
        </w:tc>
      </w:tr>
      <w:tr>
        <w:trPr>
          <w:cantSplit/>
        </w:trPr>
        <w:tc>
          <w:tcPr>
            <w:tcW w:type="dxa" w:w="3024"/>
            <w:vAlign w:val="top"/>
            <w:tcMar>
              <w:top w:w="40" w:type="dxa"/>
              <w:left w:w="65" w:type="dxa"/>
              <w:bottom w:w="35" w:type="dxa"/>
              <w:right w:w="65" w:type="dxa"/>
            </w:tcMar>
          </w:tcPr>
          <w:p>
            <w:pPr>
              <w:pStyle w:val="TableText"/>
            </w:pPr>
            <w:r>
              <w:rPr>
                <w:rStyle w:val="CodeCharacter"/>
              </w:rPr>
              <w:t>--output</w:t>
            </w:r>
          </w:p>
        </w:tc>
        <w:tc>
          <w:tcPr>
            <w:tcW w:type="dxa" w:w="6336"/>
            <w:vAlign w:val="top"/>
            <w:tcMar>
              <w:top w:w="40" w:type="dxa"/>
              <w:left w:w="65" w:type="dxa"/>
              <w:bottom w:w="35" w:type="dxa"/>
              <w:right w:w="65" w:type="dxa"/>
            </w:tcMar>
          </w:tcPr>
          <w:p>
            <w:pPr>
              <w:pStyle w:val="TableText"/>
            </w:pPr>
            <w:r>
              <w:t>Required new output directory; existing directories fail.</w:t>
            </w:r>
          </w:p>
        </w:tc>
      </w:tr>
      <w:tr>
        <w:trPr>
          <w:cantSplit/>
        </w:trPr>
        <w:tc>
          <w:tcPr>
            <w:tcW w:type="dxa" w:w="3024"/>
            <w:vAlign w:val="top"/>
            <w:tcMar>
              <w:top w:w="40" w:type="dxa"/>
              <w:left w:w="65" w:type="dxa"/>
              <w:bottom w:w="35" w:type="dxa"/>
              <w:right w:w="65" w:type="dxa"/>
            </w:tcMar>
          </w:tcPr>
          <w:p>
            <w:pPr>
              <w:pStyle w:val="TableText"/>
            </w:pPr>
            <w:r>
              <w:rPr>
                <w:rStyle w:val="CodeCharacter"/>
              </w:rPr>
              <w:t>--config</w:t>
            </w:r>
          </w:p>
        </w:tc>
        <w:tc>
          <w:tcPr>
            <w:tcW w:type="dxa" w:w="6336"/>
            <w:vAlign w:val="top"/>
            <w:tcMar>
              <w:top w:w="40" w:type="dxa"/>
              <w:left w:w="65" w:type="dxa"/>
              <w:bottom w:w="35" w:type="dxa"/>
              <w:right w:w="65" w:type="dxa"/>
            </w:tcMar>
          </w:tcPr>
          <w:p>
            <w:pPr>
              <w:pStyle w:val="TableText"/>
            </w:pPr>
            <w:r>
              <w:t>Optional YAML overrides validated by Config.</w:t>
            </w:r>
          </w:p>
        </w:tc>
      </w:tr>
      <w:tr>
        <w:trPr>
          <w:cantSplit/>
        </w:trPr>
        <w:tc>
          <w:tcPr>
            <w:tcW w:type="dxa" w:w="3024"/>
            <w:vAlign w:val="top"/>
            <w:tcMar>
              <w:top w:w="40" w:type="dxa"/>
              <w:left w:w="65" w:type="dxa"/>
              <w:bottom w:w="35" w:type="dxa"/>
              <w:right w:w="65" w:type="dxa"/>
            </w:tcMar>
          </w:tcPr>
          <w:p>
            <w:pPr>
              <w:pStyle w:val="TableText"/>
            </w:pPr>
            <w:r>
              <w:rPr>
                <w:rStyle w:val="CodeCharacter"/>
              </w:rPr>
              <w:t>--backend</w:t>
            </w:r>
          </w:p>
        </w:tc>
        <w:tc>
          <w:tcPr>
            <w:tcW w:type="dxa" w:w="6336"/>
            <w:vAlign w:val="top"/>
            <w:tcMar>
              <w:top w:w="40" w:type="dxa"/>
              <w:left w:w="65" w:type="dxa"/>
              <w:bottom w:w="35" w:type="dxa"/>
              <w:right w:w="65" w:type="dxa"/>
            </w:tcMar>
          </w:tcPr>
          <w:p>
            <w:pPr>
              <w:pStyle w:val="TableText"/>
            </w:pPr>
            <w:r>
              <w:t>semantic or lexical.</w:t>
            </w:r>
          </w:p>
        </w:tc>
      </w:tr>
      <w:tr>
        <w:trPr>
          <w:cantSplit/>
        </w:trPr>
        <w:tc>
          <w:tcPr>
            <w:tcW w:type="dxa" w:w="3024"/>
            <w:vAlign w:val="top"/>
            <w:tcMar>
              <w:top w:w="40" w:type="dxa"/>
              <w:left w:w="65" w:type="dxa"/>
              <w:bottom w:w="35" w:type="dxa"/>
              <w:right w:w="65" w:type="dxa"/>
            </w:tcMar>
          </w:tcPr>
          <w:p>
            <w:pPr>
              <w:pStyle w:val="TableText"/>
            </w:pPr>
            <w:r>
              <w:rPr>
                <w:rStyle w:val="CodeCharacter"/>
              </w:rPr>
              <w:t>--model-revision</w:t>
            </w:r>
          </w:p>
        </w:tc>
        <w:tc>
          <w:tcPr>
            <w:tcW w:type="dxa" w:w="6336"/>
            <w:vAlign w:val="top"/>
            <w:tcMar>
              <w:top w:w="40" w:type="dxa"/>
              <w:left w:w="65" w:type="dxa"/>
              <w:bottom w:w="35" w:type="dxa"/>
              <w:right w:w="65" w:type="dxa"/>
            </w:tcMar>
          </w:tcPr>
          <w:p>
            <w:pPr>
              <w:pStyle w:val="TableText"/>
            </w:pPr>
            <w:r>
              <w:t>Immutable 40-character model revision.</w:t>
            </w:r>
          </w:p>
        </w:tc>
      </w:tr>
      <w:tr>
        <w:trPr>
          <w:cantSplit/>
        </w:trPr>
        <w:tc>
          <w:tcPr>
            <w:tcW w:type="dxa" w:w="3024"/>
            <w:vAlign w:val="top"/>
            <w:tcMar>
              <w:top w:w="40" w:type="dxa"/>
              <w:left w:w="65" w:type="dxa"/>
              <w:bottom w:w="35" w:type="dxa"/>
              <w:right w:w="65" w:type="dxa"/>
            </w:tcMar>
          </w:tcPr>
          <w:p>
            <w:pPr>
              <w:pStyle w:val="TableText"/>
            </w:pPr>
            <w:r>
              <w:rPr>
                <w:rStyle w:val="CodeCharacter"/>
              </w:rPr>
              <w:t>--allow-download</w:t>
            </w:r>
          </w:p>
        </w:tc>
        <w:tc>
          <w:tcPr>
            <w:tcW w:type="dxa" w:w="6336"/>
            <w:vAlign w:val="top"/>
            <w:tcMar>
              <w:top w:w="40" w:type="dxa"/>
              <w:left w:w="65" w:type="dxa"/>
              <w:bottom w:w="35" w:type="dxa"/>
              <w:right w:w="65" w:type="dxa"/>
            </w:tcMar>
          </w:tcPr>
          <w:p>
            <w:pPr>
              <w:pStyle w:val="TableText"/>
            </w:pPr>
            <w:r>
              <w:t>Explicit permission to retrieve/resolve a model; final run used local-only mode.</w:t>
            </w:r>
          </w:p>
        </w:tc>
      </w:tr>
      <w:tr>
        <w:trPr>
          <w:cantSplit/>
        </w:trPr>
        <w:tc>
          <w:tcPr>
            <w:tcW w:type="dxa" w:w="3024"/>
            <w:vAlign w:val="top"/>
            <w:tcMar>
              <w:top w:w="40" w:type="dxa"/>
              <w:left w:w="65" w:type="dxa"/>
              <w:bottom w:w="35" w:type="dxa"/>
              <w:right w:w="65" w:type="dxa"/>
            </w:tcMar>
          </w:tcPr>
          <w:p>
            <w:pPr>
              <w:pStyle w:val="TableText"/>
            </w:pPr>
            <w:r>
              <w:rPr>
                <w:rStyle w:val="CodeCharacter"/>
              </w:rPr>
              <w:t>--prepare-missing</w:t>
            </w:r>
          </w:p>
        </w:tc>
        <w:tc>
          <w:tcPr>
            <w:tcW w:type="dxa" w:w="6336"/>
            <w:vAlign w:val="top"/>
            <w:tcMar>
              <w:top w:w="40" w:type="dxa"/>
              <w:left w:w="65" w:type="dxa"/>
              <w:bottom w:w="35" w:type="dxa"/>
              <w:right w:w="65" w:type="dxa"/>
            </w:tcMar>
          </w:tcPr>
          <w:p>
            <w:pPr>
              <w:pStyle w:val="TableText"/>
            </w:pPr>
            <w:r>
              <w:t>Prepare missing snapshots deterministically inside the run.</w:t>
            </w:r>
          </w:p>
        </w:tc>
      </w:tr>
      <w:tr>
        <w:trPr>
          <w:cantSplit/>
        </w:trPr>
        <w:tc>
          <w:tcPr>
            <w:tcW w:type="dxa" w:w="3024"/>
            <w:vAlign w:val="top"/>
            <w:tcMar>
              <w:top w:w="40" w:type="dxa"/>
              <w:left w:w="65" w:type="dxa"/>
              <w:bottom w:w="35" w:type="dxa"/>
              <w:right w:w="65" w:type="dxa"/>
            </w:tcMar>
          </w:tcPr>
          <w:p>
            <w:pPr>
              <w:pStyle w:val="TableText"/>
            </w:pPr>
            <w:r>
              <w:rPr>
                <w:rStyle w:val="CodeCharacter"/>
              </w:rPr>
              <w:t>--prepare-only</w:t>
            </w:r>
          </w:p>
        </w:tc>
        <w:tc>
          <w:tcPr>
            <w:tcW w:type="dxa" w:w="6336"/>
            <w:vAlign w:val="top"/>
            <w:tcMar>
              <w:top w:w="40" w:type="dxa"/>
              <w:left w:w="65" w:type="dxa"/>
              <w:bottom w:w="35" w:type="dxa"/>
              <w:right w:w="65" w:type="dxa"/>
            </w:tcMar>
          </w:tcPr>
          <w:p>
            <w:pPr>
              <w:pStyle w:val="TableText"/>
            </w:pPr>
            <w:r>
              <w:t>Validate/snapshot without alignment; manifest status PREPARED.</w:t>
            </w:r>
          </w:p>
        </w:tc>
      </w:tr>
      <w:tr>
        <w:trPr>
          <w:cantSplit/>
        </w:trPr>
        <w:tc>
          <w:tcPr>
            <w:tcW w:type="dxa" w:w="3024"/>
            <w:vAlign w:val="top"/>
            <w:tcMar>
              <w:top w:w="40" w:type="dxa"/>
              <w:left w:w="65" w:type="dxa"/>
              <w:bottom w:w="35" w:type="dxa"/>
              <w:right w:w="65" w:type="dxa"/>
            </w:tcMar>
          </w:tcPr>
          <w:p>
            <w:pPr>
              <w:pStyle w:val="TableText"/>
            </w:pPr>
            <w:r>
              <w:rPr>
                <w:rStyle w:val="CodeCharacter"/>
              </w:rPr>
              <w:t>--pair</w:t>
            </w:r>
          </w:p>
        </w:tc>
        <w:tc>
          <w:tcPr>
            <w:tcW w:type="dxa" w:w="6336"/>
            <w:vAlign w:val="top"/>
            <w:tcMar>
              <w:top w:w="40" w:type="dxa"/>
              <w:left w:w="65" w:type="dxa"/>
              <w:bottom w:w="35" w:type="dxa"/>
              <w:right w:w="65" w:type="dxa"/>
            </w:tcMar>
          </w:tcPr>
          <w:p>
            <w:pPr>
              <w:pStyle w:val="TableText"/>
            </w:pPr>
            <w:r>
              <w:t>Two consecutive TLS documents for a smoke run.</w:t>
            </w:r>
          </w:p>
        </w:tc>
      </w:tr>
      <w:tr>
        <w:trPr>
          <w:cantSplit/>
        </w:trPr>
        <w:tc>
          <w:tcPr>
            <w:tcW w:type="dxa" w:w="3024"/>
            <w:vAlign w:val="top"/>
            <w:tcMar>
              <w:top w:w="40" w:type="dxa"/>
              <w:left w:w="65" w:type="dxa"/>
              <w:bottom w:w="35" w:type="dxa"/>
              <w:right w:w="65" w:type="dxa"/>
            </w:tcMar>
          </w:tcPr>
          <w:p>
            <w:pPr>
              <w:pStyle w:val="TableText"/>
            </w:pPr>
            <w:r>
              <w:rPr>
                <w:rStyle w:val="CodeCharacter"/>
              </w:rPr>
              <w:t>--gold</w:t>
            </w:r>
          </w:p>
        </w:tc>
        <w:tc>
          <w:tcPr>
            <w:tcW w:type="dxa" w:w="6336"/>
            <w:vAlign w:val="top"/>
            <w:tcMar>
              <w:top w:w="40" w:type="dxa"/>
              <w:left w:w="65" w:type="dxa"/>
              <w:bottom w:w="35" w:type="dxa"/>
              <w:right w:w="65" w:type="dxa"/>
            </w:tcMar>
          </w:tcPr>
          <w:p>
            <w:pPr>
              <w:pStyle w:val="TableText"/>
            </w:pPr>
            <w:r>
              <w:t>Separate reviewed alignment-shaped JSONL with complete pair scopes.</w:t>
            </w:r>
          </w:p>
        </w:tc>
      </w:tr>
    </w:tbl>
    <w:p>
      <w:pPr>
        <w:spacing w:after="0"/>
      </w:pPr>
    </w:p>
    <w:p>
      <w:pPr/>
      <w:r>
        <w:t>Names beginning NEW_ are intentional nonexistent output examples, not claimed existing artifacts. The full validator is specialized to the complete 30-document TLS timeline, not arbitrary smoke directories.</w:t>
      </w:r>
    </w:p>
    <w:p>
      <w:pPr>
        <w:pStyle w:val="Heading2"/>
      </w:pPr>
      <w:r>
        <w:t>Appendix D: Configuration reference</w:t>
      </w:r>
    </w:p>
    <w:p>
      <w:pPr/>
      <w:r>
        <w:t>The typed Config class is the operational source of defaults; defaults.yaml is the exported reference. The final manifest records effective values. Unknown keys, NaN/infinity and inconsistent ordering fail. Candidate, match and high thresholds must be ordered; uncertain margin must not exceed high margin.</w:t>
      </w:r>
    </w:p>
    <w:p>
      <w:pPr>
        <w:pStyle w:val="Caption"/>
        <w:keepNext/>
      </w:pPr>
      <w:r>
        <w:t>Complete configuration defaults. Final model_revision is supplied separately below.</w:t>
      </w:r>
    </w:p>
    <w:tbl>
      <w:tblPr>
        <w:tblStyle w:val="TableGrid"/>
        <w:tblW w:type="auto" w:w="0"/>
        <w:jc w:val="center"/>
        <w:tblLayout w:type="fixed"/>
        <w:tblLook w:firstColumn="1" w:firstRow="1" w:lastColumn="0" w:lastRow="0" w:noHBand="0" w:noVBand="1" w:val="04A0"/>
      </w:tblPr>
      <w:tblGrid>
        <w:gridCol w:w="2592"/>
        <w:gridCol w:w="3168"/>
        <w:gridCol w:w="3600"/>
      </w:tblGrid>
      <w:tr>
        <w:trPr>
          <w:tblHeader w:val="true"/>
          <w:cantSplit/>
        </w:trPr>
        <w:tc>
          <w:tcPr>
            <w:tcW w:type="dxa" w:w="2592"/>
            <w:vAlign w:val="top"/>
            <w:tcMar>
              <w:top w:w="40" w:type="dxa"/>
              <w:left w:w="65" w:type="dxa"/>
              <w:bottom w:w="35" w:type="dxa"/>
              <w:right w:w="65" w:type="dxa"/>
            </w:tcMar>
          </w:tcPr>
          <w:p>
            <w:pPr>
              <w:pStyle w:val="TableHeader"/>
            </w:pPr>
            <w:r>
              <w:t>Setting</w:t>
            </w:r>
          </w:p>
        </w:tc>
        <w:tc>
          <w:tcPr>
            <w:tcW w:type="dxa" w:w="3168"/>
            <w:vAlign w:val="top"/>
            <w:tcMar>
              <w:top w:w="40" w:type="dxa"/>
              <w:left w:w="65" w:type="dxa"/>
              <w:bottom w:w="35" w:type="dxa"/>
              <w:right w:w="65" w:type="dxa"/>
            </w:tcMar>
          </w:tcPr>
          <w:p>
            <w:pPr>
              <w:pStyle w:val="TableHeader"/>
            </w:pPr>
            <w:r>
              <w:t>Default</w:t>
            </w:r>
          </w:p>
        </w:tc>
        <w:tc>
          <w:tcPr>
            <w:tcW w:type="dxa" w:w="3600"/>
            <w:vAlign w:val="top"/>
            <w:tcMar>
              <w:top w:w="40" w:type="dxa"/>
              <w:left w:w="65" w:type="dxa"/>
              <w:bottom w:w="35" w:type="dxa"/>
              <w:right w:w="65" w:type="dxa"/>
            </w:tcMar>
          </w:tcPr>
          <w:p>
            <w:pPr>
              <w:pStyle w:val="TableHeader"/>
            </w:pPr>
            <w:r>
              <w:t>Validation</w:t>
            </w:r>
          </w:p>
        </w:tc>
      </w:tr>
      <w:tr>
        <w:trPr>
          <w:cantSplit/>
        </w:trPr>
        <w:tc>
          <w:tcPr>
            <w:tcW w:type="dxa" w:w="2592"/>
            <w:vAlign w:val="top"/>
            <w:tcMar>
              <w:top w:w="40" w:type="dxa"/>
              <w:left w:w="65" w:type="dxa"/>
              <w:bottom w:w="35" w:type="dxa"/>
              <w:right w:w="65" w:type="dxa"/>
            </w:tcMar>
          </w:tcPr>
          <w:p>
            <w:pPr>
              <w:pStyle w:val="TableText"/>
            </w:pPr>
            <w:r>
              <w:rPr>
                <w:rStyle w:val="CodeCharacter"/>
              </w:rPr>
              <w:t>backend</w:t>
            </w:r>
          </w:p>
        </w:tc>
        <w:tc>
          <w:tcPr>
            <w:tcW w:type="dxa" w:w="3168"/>
            <w:vAlign w:val="top"/>
            <w:tcMar>
              <w:top w:w="40" w:type="dxa"/>
              <w:left w:w="65" w:type="dxa"/>
              <w:bottom w:w="35" w:type="dxa"/>
              <w:right w:w="65" w:type="dxa"/>
            </w:tcMar>
          </w:tcPr>
          <w:p>
            <w:pPr>
              <w:pStyle w:val="TableText"/>
            </w:pPr>
            <w:r>
              <w:t>semantic</w:t>
            </w:r>
          </w:p>
        </w:tc>
        <w:tc>
          <w:tcPr>
            <w:tcW w:type="dxa" w:w="3600"/>
            <w:vAlign w:val="top"/>
            <w:tcMar>
              <w:top w:w="40" w:type="dxa"/>
              <w:left w:w="65" w:type="dxa"/>
              <w:bottom w:w="35" w:type="dxa"/>
              <w:right w:w="65" w:type="dxa"/>
            </w:tcMar>
          </w:tcPr>
          <w:p>
            <w:pPr>
              <w:pStyle w:val="TableText"/>
            </w:pPr>
            <w:r>
              <w:t>semantic or lexical</w:t>
            </w:r>
          </w:p>
        </w:tc>
      </w:tr>
      <w:tr>
        <w:trPr>
          <w:cantSplit/>
        </w:trPr>
        <w:tc>
          <w:tcPr>
            <w:tcW w:type="dxa" w:w="2592"/>
            <w:vAlign w:val="top"/>
            <w:tcMar>
              <w:top w:w="40" w:type="dxa"/>
              <w:left w:w="65" w:type="dxa"/>
              <w:bottom w:w="35" w:type="dxa"/>
              <w:right w:w="65" w:type="dxa"/>
            </w:tcMar>
          </w:tcPr>
          <w:p>
            <w:pPr>
              <w:pStyle w:val="TableText"/>
            </w:pPr>
            <w:r>
              <w:rPr>
                <w:rStyle w:val="CodeCharacter"/>
              </w:rPr>
              <w:t>model_name</w:t>
            </w:r>
          </w:p>
        </w:tc>
        <w:tc>
          <w:tcPr>
            <w:tcW w:type="dxa" w:w="3168"/>
            <w:vAlign w:val="top"/>
            <w:tcMar>
              <w:top w:w="40" w:type="dxa"/>
              <w:left w:w="65" w:type="dxa"/>
              <w:bottom w:w="35" w:type="dxa"/>
              <w:right w:w="65" w:type="dxa"/>
            </w:tcMar>
          </w:tcPr>
          <w:p>
            <w:pPr>
              <w:pStyle w:val="TableText"/>
            </w:pPr>
            <w:r>
              <w:t>sentence-​transformers/​all-​MiniLM-​L6-​v2</w:t>
            </w:r>
          </w:p>
        </w:tc>
        <w:tc>
          <w:tcPr>
            <w:tcW w:type="dxa" w:w="3600"/>
            <w:vAlign w:val="top"/>
            <w:tcMar>
              <w:top w:w="40" w:type="dxa"/>
              <w:left w:w="65" w:type="dxa"/>
              <w:bottom w:w="35" w:type="dxa"/>
              <w:right w:w="65" w:type="dxa"/>
            </w:tcMar>
          </w:tcPr>
          <w:p>
            <w:pPr>
              <w:pStyle w:val="TableText"/>
            </w:pPr>
            <w:r>
              <w:t>Typed value</w:t>
            </w:r>
          </w:p>
        </w:tc>
      </w:tr>
      <w:tr>
        <w:trPr>
          <w:cantSplit/>
        </w:trPr>
        <w:tc>
          <w:tcPr>
            <w:tcW w:type="dxa" w:w="2592"/>
            <w:vAlign w:val="top"/>
            <w:tcMar>
              <w:top w:w="40" w:type="dxa"/>
              <w:left w:w="65" w:type="dxa"/>
              <w:bottom w:w="35" w:type="dxa"/>
              <w:right w:w="65" w:type="dxa"/>
            </w:tcMar>
          </w:tcPr>
          <w:p>
            <w:pPr>
              <w:pStyle w:val="TableText"/>
            </w:pPr>
            <w:r>
              <w:rPr>
                <w:rStyle w:val="CodeCharacter"/>
              </w:rPr>
              <w:t>model_revision</w:t>
            </w:r>
          </w:p>
        </w:tc>
        <w:tc>
          <w:tcPr>
            <w:tcW w:type="dxa" w:w="3168"/>
            <w:vAlign w:val="top"/>
            <w:tcMar>
              <w:top w:w="40" w:type="dxa"/>
              <w:left w:w="65" w:type="dxa"/>
              <w:bottom w:w="35" w:type="dxa"/>
              <w:right w:w="65" w:type="dxa"/>
            </w:tcMar>
          </w:tcPr>
          <w:p>
            <w:pPr>
              <w:pStyle w:val="TableText"/>
            </w:pPr>
            <w:r>
              <w:t>null (must be pinned for local semantic execution)</w:t>
            </w:r>
          </w:p>
        </w:tc>
        <w:tc>
          <w:tcPr>
            <w:tcW w:type="dxa" w:w="3600"/>
            <w:vAlign w:val="top"/>
            <w:tcMar>
              <w:top w:w="40" w:type="dxa"/>
              <w:left w:w="65" w:type="dxa"/>
              <w:bottom w:w="35" w:type="dxa"/>
              <w:right w:w="65" w:type="dxa"/>
            </w:tcMar>
          </w:tcPr>
          <w:p>
            <w:pPr>
              <w:pStyle w:val="TableText"/>
            </w:pPr>
            <w:r>
              <w:t>Typed value</w:t>
            </w:r>
          </w:p>
        </w:tc>
      </w:tr>
      <w:tr>
        <w:trPr>
          <w:cantSplit/>
        </w:trPr>
        <w:tc>
          <w:tcPr>
            <w:tcW w:type="dxa" w:w="2592"/>
            <w:vAlign w:val="top"/>
            <w:tcMar>
              <w:top w:w="40" w:type="dxa"/>
              <w:left w:w="65" w:type="dxa"/>
              <w:bottom w:w="35" w:type="dxa"/>
              <w:right w:w="65" w:type="dxa"/>
            </w:tcMar>
          </w:tcPr>
          <w:p>
            <w:pPr>
              <w:pStyle w:val="TableText"/>
            </w:pPr>
            <w:r>
              <w:rPr>
                <w:rStyle w:val="CodeCharacter"/>
              </w:rPr>
              <w:t>batch_size</w:t>
            </w:r>
          </w:p>
        </w:tc>
        <w:tc>
          <w:tcPr>
            <w:tcW w:type="dxa" w:w="3168"/>
            <w:vAlign w:val="top"/>
            <w:tcMar>
              <w:top w:w="40" w:type="dxa"/>
              <w:left w:w="65" w:type="dxa"/>
              <w:bottom w:w="35" w:type="dxa"/>
              <w:right w:w="65" w:type="dxa"/>
            </w:tcMar>
          </w:tcPr>
          <w:p>
            <w:pPr>
              <w:pStyle w:val="TableText"/>
            </w:pPr>
            <w:r>
              <w:t>32</w:t>
            </w:r>
          </w:p>
        </w:tc>
        <w:tc>
          <w:tcPr>
            <w:tcW w:type="dxa" w:w="3600"/>
            <w:vAlign w:val="top"/>
            <w:tcMar>
              <w:top w:w="40" w:type="dxa"/>
              <w:left w:w="65" w:type="dxa"/>
              <w:bottom w:w="35" w:type="dxa"/>
              <w:right w:w="65" w:type="dxa"/>
            </w:tcMar>
          </w:tcPr>
          <w:p>
            <w:pPr>
              <w:pStyle w:val="TableText"/>
            </w:pPr>
            <w:r>
              <w:t>ge=1</w:t>
            </w:r>
          </w:p>
        </w:tc>
      </w:tr>
      <w:tr>
        <w:trPr>
          <w:cantSplit/>
        </w:trPr>
        <w:tc>
          <w:tcPr>
            <w:tcW w:type="dxa" w:w="2592"/>
            <w:vAlign w:val="top"/>
            <w:tcMar>
              <w:top w:w="40" w:type="dxa"/>
              <w:left w:w="65" w:type="dxa"/>
              <w:bottom w:w="35" w:type="dxa"/>
              <w:right w:w="65" w:type="dxa"/>
            </w:tcMar>
          </w:tcPr>
          <w:p>
            <w:pPr>
              <w:pStyle w:val="TableText"/>
            </w:pPr>
            <w:r>
              <w:rPr>
                <w:rStyle w:val="CodeCharacter"/>
              </w:rPr>
              <w:t>window_overlap</w:t>
            </w:r>
          </w:p>
        </w:tc>
        <w:tc>
          <w:tcPr>
            <w:tcW w:type="dxa" w:w="3168"/>
            <w:vAlign w:val="top"/>
            <w:tcMar>
              <w:top w:w="40" w:type="dxa"/>
              <w:left w:w="65" w:type="dxa"/>
              <w:bottom w:w="35" w:type="dxa"/>
              <w:right w:w="65" w:type="dxa"/>
            </w:tcMar>
          </w:tcPr>
          <w:p>
            <w:pPr>
              <w:pStyle w:val="TableText"/>
            </w:pPr>
            <w:r>
              <w:t>32</w:t>
            </w:r>
          </w:p>
        </w:tc>
        <w:tc>
          <w:tcPr>
            <w:tcW w:type="dxa" w:w="3600"/>
            <w:vAlign w:val="top"/>
            <w:tcMar>
              <w:top w:w="40" w:type="dxa"/>
              <w:left w:w="65" w:type="dxa"/>
              <w:bottom w:w="35" w:type="dxa"/>
              <w:right w:w="65" w:type="dxa"/>
            </w:tcMar>
          </w:tcPr>
          <w:p>
            <w:pPr>
              <w:pStyle w:val="TableText"/>
            </w:pPr>
            <w:r>
              <w:t>ge=0, le=64</w:t>
            </w:r>
          </w:p>
        </w:tc>
      </w:tr>
      <w:tr>
        <w:trPr>
          <w:cantSplit/>
        </w:trPr>
        <w:tc>
          <w:tcPr>
            <w:tcW w:type="dxa" w:w="2592"/>
            <w:vAlign w:val="top"/>
            <w:tcMar>
              <w:top w:w="40" w:type="dxa"/>
              <w:left w:w="65" w:type="dxa"/>
              <w:bottom w:w="35" w:type="dxa"/>
              <w:right w:w="65" w:type="dxa"/>
            </w:tcMar>
          </w:tcPr>
          <w:p>
            <w:pPr>
              <w:pStyle w:val="TableText"/>
            </w:pPr>
            <w:r>
              <w:rPr>
                <w:rStyle w:val="CodeCharacter"/>
              </w:rPr>
              <w:t>local_top_k</w:t>
            </w:r>
          </w:p>
        </w:tc>
        <w:tc>
          <w:tcPr>
            <w:tcW w:type="dxa" w:w="3168"/>
            <w:vAlign w:val="top"/>
            <w:tcMar>
              <w:top w:w="40" w:type="dxa"/>
              <w:left w:w="65" w:type="dxa"/>
              <w:bottom w:w="35" w:type="dxa"/>
              <w:right w:w="65" w:type="dxa"/>
            </w:tcMar>
          </w:tcPr>
          <w:p>
            <w:pPr>
              <w:pStyle w:val="TableText"/>
            </w:pPr>
            <w:r>
              <w:t>10</w:t>
            </w:r>
          </w:p>
        </w:tc>
        <w:tc>
          <w:tcPr>
            <w:tcW w:type="dxa" w:w="3600"/>
            <w:vAlign w:val="top"/>
            <w:tcMar>
              <w:top w:w="40" w:type="dxa"/>
              <w:left w:w="65" w:type="dxa"/>
              <w:bottom w:w="35" w:type="dxa"/>
              <w:right w:w="65" w:type="dxa"/>
            </w:tcMar>
          </w:tcPr>
          <w:p>
            <w:pPr>
              <w:pStyle w:val="TableText"/>
            </w:pPr>
            <w:r>
              <w:t>ge=1</w:t>
            </w:r>
          </w:p>
        </w:tc>
      </w:tr>
      <w:tr>
        <w:trPr>
          <w:cantSplit/>
        </w:trPr>
        <w:tc>
          <w:tcPr>
            <w:tcW w:type="dxa" w:w="2592"/>
            <w:vAlign w:val="top"/>
            <w:tcMar>
              <w:top w:w="40" w:type="dxa"/>
              <w:left w:w="65" w:type="dxa"/>
              <w:bottom w:w="35" w:type="dxa"/>
              <w:right w:w="65" w:type="dxa"/>
            </w:tcMar>
          </w:tcPr>
          <w:p>
            <w:pPr>
              <w:pStyle w:val="TableText"/>
            </w:pPr>
            <w:r>
              <w:rPr>
                <w:rStyle w:val="CodeCharacter"/>
              </w:rPr>
              <w:t>global_top_k</w:t>
            </w:r>
          </w:p>
        </w:tc>
        <w:tc>
          <w:tcPr>
            <w:tcW w:type="dxa" w:w="3168"/>
            <w:vAlign w:val="top"/>
            <w:tcMar>
              <w:top w:w="40" w:type="dxa"/>
              <w:left w:w="65" w:type="dxa"/>
              <w:bottom w:w="35" w:type="dxa"/>
              <w:right w:w="65" w:type="dxa"/>
            </w:tcMar>
          </w:tcPr>
          <w:p>
            <w:pPr>
              <w:pStyle w:val="TableText"/>
            </w:pPr>
            <w:r>
              <w:t>5</w:t>
            </w:r>
          </w:p>
        </w:tc>
        <w:tc>
          <w:tcPr>
            <w:tcW w:type="dxa" w:w="3600"/>
            <w:vAlign w:val="top"/>
            <w:tcMar>
              <w:top w:w="40" w:type="dxa"/>
              <w:left w:w="65" w:type="dxa"/>
              <w:bottom w:w="35" w:type="dxa"/>
              <w:right w:w="65" w:type="dxa"/>
            </w:tcMar>
          </w:tcPr>
          <w:p>
            <w:pPr>
              <w:pStyle w:val="TableText"/>
            </w:pPr>
            <w:r>
              <w:t>ge=1</w:t>
            </w:r>
          </w:p>
        </w:tc>
      </w:tr>
      <w:tr>
        <w:trPr>
          <w:cantSplit/>
        </w:trPr>
        <w:tc>
          <w:tcPr>
            <w:tcW w:type="dxa" w:w="2592"/>
            <w:vAlign w:val="top"/>
            <w:tcMar>
              <w:top w:w="40" w:type="dxa"/>
              <w:left w:w="65" w:type="dxa"/>
              <w:bottom w:w="35" w:type="dxa"/>
              <w:right w:w="65" w:type="dxa"/>
            </w:tcMar>
          </w:tcPr>
          <w:p>
            <w:pPr>
              <w:pStyle w:val="TableText"/>
            </w:pPr>
            <w:r>
              <w:rPr>
                <w:rStyle w:val="CodeCharacter"/>
              </w:rPr>
              <w:t>section_window</w:t>
            </w:r>
          </w:p>
        </w:tc>
        <w:tc>
          <w:tcPr>
            <w:tcW w:type="dxa" w:w="3168"/>
            <w:vAlign w:val="top"/>
            <w:tcMar>
              <w:top w:w="40" w:type="dxa"/>
              <w:left w:w="65" w:type="dxa"/>
              <w:bottom w:w="35" w:type="dxa"/>
              <w:right w:w="65" w:type="dxa"/>
            </w:tcMar>
          </w:tcPr>
          <w:p>
            <w:pPr>
              <w:pStyle w:val="TableText"/>
            </w:pPr>
            <w:r>
              <w:t>1</w:t>
            </w:r>
          </w:p>
        </w:tc>
        <w:tc>
          <w:tcPr>
            <w:tcW w:type="dxa" w:w="3600"/>
            <w:vAlign w:val="top"/>
            <w:tcMar>
              <w:top w:w="40" w:type="dxa"/>
              <w:left w:w="65" w:type="dxa"/>
              <w:bottom w:w="35" w:type="dxa"/>
              <w:right w:w="65" w:type="dxa"/>
            </w:tcMar>
          </w:tcPr>
          <w:p>
            <w:pPr>
              <w:pStyle w:val="TableText"/>
            </w:pPr>
            <w:r>
              <w:t>ge=0</w:t>
            </w:r>
          </w:p>
        </w:tc>
      </w:tr>
      <w:tr>
        <w:trPr>
          <w:cantSplit/>
        </w:trPr>
        <w:tc>
          <w:tcPr>
            <w:tcW w:type="dxa" w:w="2592"/>
            <w:vAlign w:val="top"/>
            <w:tcMar>
              <w:top w:w="40" w:type="dxa"/>
              <w:left w:w="65" w:type="dxa"/>
              <w:bottom w:w="35" w:type="dxa"/>
              <w:right w:w="65" w:type="dxa"/>
            </w:tcMar>
          </w:tcPr>
          <w:p>
            <w:pPr>
              <w:pStyle w:val="TableText"/>
            </w:pPr>
            <w:r>
              <w:rPr>
                <w:rStyle w:val="CodeCharacter"/>
              </w:rPr>
              <w:t>candidate_floor</w:t>
            </w:r>
          </w:p>
        </w:tc>
        <w:tc>
          <w:tcPr>
            <w:tcW w:type="dxa" w:w="3168"/>
            <w:vAlign w:val="top"/>
            <w:tcMar>
              <w:top w:w="40" w:type="dxa"/>
              <w:left w:w="65" w:type="dxa"/>
              <w:bottom w:w="35" w:type="dxa"/>
              <w:right w:w="65" w:type="dxa"/>
            </w:tcMar>
          </w:tcPr>
          <w:p>
            <w:pPr>
              <w:pStyle w:val="TableText"/>
            </w:pPr>
            <w:r>
              <w:t>0.35</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match_floor</w:t>
            </w:r>
          </w:p>
        </w:tc>
        <w:tc>
          <w:tcPr>
            <w:tcW w:type="dxa" w:w="3168"/>
            <w:vAlign w:val="top"/>
            <w:tcMar>
              <w:top w:w="40" w:type="dxa"/>
              <w:left w:w="65" w:type="dxa"/>
              <w:bottom w:w="35" w:type="dxa"/>
              <w:right w:w="65" w:type="dxa"/>
            </w:tcMar>
          </w:tcPr>
          <w:p>
            <w:pPr>
              <w:pStyle w:val="TableText"/>
            </w:pPr>
            <w:r>
              <w:t>0.62</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high_score</w:t>
            </w:r>
          </w:p>
        </w:tc>
        <w:tc>
          <w:tcPr>
            <w:tcW w:type="dxa" w:w="3168"/>
            <w:vAlign w:val="top"/>
            <w:tcMar>
              <w:top w:w="40" w:type="dxa"/>
              <w:left w:w="65" w:type="dxa"/>
              <w:bottom w:w="35" w:type="dxa"/>
              <w:right w:w="65" w:type="dxa"/>
            </w:tcMar>
          </w:tcPr>
          <w:p>
            <w:pPr>
              <w:pStyle w:val="TableText"/>
            </w:pPr>
            <w:r>
              <w:t>0.88</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high_margin</w:t>
            </w:r>
          </w:p>
        </w:tc>
        <w:tc>
          <w:tcPr>
            <w:tcW w:type="dxa" w:w="3168"/>
            <w:vAlign w:val="top"/>
            <w:tcMar>
              <w:top w:w="40" w:type="dxa"/>
              <w:left w:w="65" w:type="dxa"/>
              <w:bottom w:w="35" w:type="dxa"/>
              <w:right w:w="65" w:type="dxa"/>
            </w:tcMar>
          </w:tcPr>
          <w:p>
            <w:pPr>
              <w:pStyle w:val="TableText"/>
            </w:pPr>
            <w:r>
              <w:t>0.12</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uncertain_margin</w:t>
            </w:r>
          </w:p>
        </w:tc>
        <w:tc>
          <w:tcPr>
            <w:tcW w:type="dxa" w:w="3168"/>
            <w:vAlign w:val="top"/>
            <w:tcMar>
              <w:top w:w="40" w:type="dxa"/>
              <w:left w:w="65" w:type="dxa"/>
              <w:bottom w:w="35" w:type="dxa"/>
              <w:right w:w="65" w:type="dxa"/>
            </w:tcMar>
          </w:tcPr>
          <w:p>
            <w:pPr>
              <w:pStyle w:val="TableText"/>
            </w:pPr>
            <w:r>
              <w:t>0.025</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max_group</w:t>
            </w:r>
          </w:p>
        </w:tc>
        <w:tc>
          <w:tcPr>
            <w:tcW w:type="dxa" w:w="3168"/>
            <w:vAlign w:val="top"/>
            <w:tcMar>
              <w:top w:w="40" w:type="dxa"/>
              <w:left w:w="65" w:type="dxa"/>
              <w:bottom w:w="35" w:type="dxa"/>
              <w:right w:w="65" w:type="dxa"/>
            </w:tcMar>
          </w:tcPr>
          <w:p>
            <w:pPr>
              <w:pStyle w:val="TableText"/>
            </w:pPr>
            <w:r>
              <w:t>3</w:t>
            </w:r>
          </w:p>
        </w:tc>
        <w:tc>
          <w:tcPr>
            <w:tcW w:type="dxa" w:w="3600"/>
            <w:vAlign w:val="top"/>
            <w:tcMar>
              <w:top w:w="40" w:type="dxa"/>
              <w:left w:w="65" w:type="dxa"/>
              <w:bottom w:w="35" w:type="dxa"/>
              <w:right w:w="65" w:type="dxa"/>
            </w:tcMar>
          </w:tcPr>
          <w:p>
            <w:pPr>
              <w:pStyle w:val="TableText"/>
            </w:pPr>
            <w:r>
              <w:t>ge=2, le=4</w:t>
            </w:r>
          </w:p>
        </w:tc>
      </w:tr>
      <w:tr>
        <w:trPr>
          <w:cantSplit/>
        </w:trPr>
        <w:tc>
          <w:tcPr>
            <w:tcW w:type="dxa" w:w="2592"/>
            <w:vAlign w:val="top"/>
            <w:tcMar>
              <w:top w:w="40" w:type="dxa"/>
              <w:left w:w="65" w:type="dxa"/>
              <w:bottom w:w="35" w:type="dxa"/>
              <w:right w:w="65" w:type="dxa"/>
            </w:tcMar>
          </w:tcPr>
          <w:p>
            <w:pPr>
              <w:pStyle w:val="TableText"/>
            </w:pPr>
            <w:r>
              <w:rPr>
                <w:rStyle w:val="CodeCharacter"/>
              </w:rPr>
              <w:t>group_coverage</w:t>
            </w:r>
          </w:p>
        </w:tc>
        <w:tc>
          <w:tcPr>
            <w:tcW w:type="dxa" w:w="3168"/>
            <w:vAlign w:val="top"/>
            <w:tcMar>
              <w:top w:w="40" w:type="dxa"/>
              <w:left w:w="65" w:type="dxa"/>
              <w:bottom w:w="35" w:type="dxa"/>
              <w:right w:w="65" w:type="dxa"/>
            </w:tcMar>
          </w:tcPr>
          <w:p>
            <w:pPr>
              <w:pStyle w:val="TableText"/>
            </w:pPr>
            <w:r>
              <w:t>0.75</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member_coverage</w:t>
            </w:r>
          </w:p>
        </w:tc>
        <w:tc>
          <w:tcPr>
            <w:tcW w:type="dxa" w:w="3168"/>
            <w:vAlign w:val="top"/>
            <w:tcMar>
              <w:top w:w="40" w:type="dxa"/>
              <w:left w:w="65" w:type="dxa"/>
              <w:bottom w:w="35" w:type="dxa"/>
              <w:right w:w="65" w:type="dxa"/>
            </w:tcMar>
          </w:tcPr>
          <w:p>
            <w:pPr>
              <w:pStyle w:val="TableText"/>
            </w:pPr>
            <w:r>
              <w:t>0.55</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group_penalty</w:t>
            </w:r>
          </w:p>
        </w:tc>
        <w:tc>
          <w:tcPr>
            <w:tcW w:type="dxa" w:w="3168"/>
            <w:vAlign w:val="top"/>
            <w:tcMar>
              <w:top w:w="40" w:type="dxa"/>
              <w:left w:w="65" w:type="dxa"/>
              <w:bottom w:w="35" w:type="dxa"/>
              <w:right w:w="65" w:type="dxa"/>
            </w:tcMar>
          </w:tcPr>
          <w:p>
            <w:pPr>
              <w:pStyle w:val="TableText"/>
            </w:pPr>
            <w:r>
              <w:t>0.12</w:t>
            </w:r>
          </w:p>
        </w:tc>
        <w:tc>
          <w:tcPr>
            <w:tcW w:type="dxa" w:w="3600"/>
            <w:vAlign w:val="top"/>
            <w:tcMar>
              <w:top w:w="40" w:type="dxa"/>
              <w:left w:w="65" w:type="dxa"/>
              <w:bottom w:w="35" w:type="dxa"/>
              <w:right w:w="65" w:type="dxa"/>
            </w:tcMar>
          </w:tcPr>
          <w:p>
            <w:pPr>
              <w:pStyle w:val="TableText"/>
            </w:pPr>
            <w:r>
              <w:t>ge=0</w:t>
            </w:r>
          </w:p>
        </w:tc>
      </w:tr>
      <w:tr>
        <w:trPr>
          <w:cantSplit/>
        </w:trPr>
        <w:tc>
          <w:tcPr>
            <w:tcW w:type="dxa" w:w="2592"/>
            <w:vAlign w:val="top"/>
            <w:tcMar>
              <w:top w:w="40" w:type="dxa"/>
              <w:left w:w="65" w:type="dxa"/>
              <w:bottom w:w="35" w:type="dxa"/>
              <w:right w:w="65" w:type="dxa"/>
            </w:tcMar>
          </w:tcPr>
          <w:p>
            <w:pPr>
              <w:pStyle w:val="TableText"/>
            </w:pPr>
            <w:r>
              <w:rPr>
                <w:rStyle w:val="CodeCharacter"/>
              </w:rPr>
              <w:t>group_min_tokens</w:t>
            </w:r>
          </w:p>
        </w:tc>
        <w:tc>
          <w:tcPr>
            <w:tcW w:type="dxa" w:w="3168"/>
            <w:vAlign w:val="top"/>
            <w:tcMar>
              <w:top w:w="40" w:type="dxa"/>
              <w:left w:w="65" w:type="dxa"/>
              <w:bottom w:w="35" w:type="dxa"/>
              <w:right w:w="65" w:type="dxa"/>
            </w:tcMar>
          </w:tcPr>
          <w:p>
            <w:pPr>
              <w:pStyle w:val="TableText"/>
            </w:pPr>
            <w:r>
              <w:t>4</w:t>
            </w:r>
          </w:p>
        </w:tc>
        <w:tc>
          <w:tcPr>
            <w:tcW w:type="dxa" w:w="3600"/>
            <w:vAlign w:val="top"/>
            <w:tcMar>
              <w:top w:w="40" w:type="dxa"/>
              <w:left w:w="65" w:type="dxa"/>
              <w:bottom w:w="35" w:type="dxa"/>
              <w:right w:w="65" w:type="dxa"/>
            </w:tcMar>
          </w:tcPr>
          <w:p>
            <w:pPr>
              <w:pStyle w:val="TableText"/>
            </w:pPr>
            <w:r>
              <w:t>ge=1</w:t>
            </w:r>
          </w:p>
        </w:tc>
      </w:tr>
      <w:tr>
        <w:trPr>
          <w:cantSplit/>
        </w:trPr>
        <w:tc>
          <w:tcPr>
            <w:tcW w:type="dxa" w:w="2592"/>
            <w:vAlign w:val="top"/>
            <w:tcMar>
              <w:top w:w="40" w:type="dxa"/>
              <w:left w:w="65" w:type="dxa"/>
              <w:bottom w:w="35" w:type="dxa"/>
              <w:right w:w="65" w:type="dxa"/>
            </w:tcMar>
          </w:tcPr>
          <w:p>
            <w:pPr>
              <w:pStyle w:val="TableText"/>
            </w:pPr>
            <w:r>
              <w:rPr>
                <w:rStyle w:val="CodeCharacter"/>
              </w:rPr>
              <w:t>solver_seconds</w:t>
            </w:r>
          </w:p>
        </w:tc>
        <w:tc>
          <w:tcPr>
            <w:tcW w:type="dxa" w:w="3168"/>
            <w:vAlign w:val="top"/>
            <w:tcMar>
              <w:top w:w="40" w:type="dxa"/>
              <w:left w:w="65" w:type="dxa"/>
              <w:bottom w:w="35" w:type="dxa"/>
              <w:right w:w="65" w:type="dxa"/>
            </w:tcMar>
          </w:tcPr>
          <w:p>
            <w:pPr>
              <w:pStyle w:val="TableText"/>
            </w:pPr>
            <w:r>
              <w:t>30</w:t>
            </w:r>
          </w:p>
        </w:tc>
        <w:tc>
          <w:tcPr>
            <w:tcW w:type="dxa" w:w="3600"/>
            <w:vAlign w:val="top"/>
            <w:tcMar>
              <w:top w:w="40" w:type="dxa"/>
              <w:left w:w="65" w:type="dxa"/>
              <w:bottom w:w="35" w:type="dxa"/>
              <w:right w:w="65" w:type="dxa"/>
            </w:tcMar>
          </w:tcPr>
          <w:p>
            <w:pPr>
              <w:pStyle w:val="TableText"/>
            </w:pPr>
            <w:r>
              <w:t>gt=0</w:t>
            </w:r>
          </w:p>
        </w:tc>
      </w:tr>
      <w:tr>
        <w:trPr>
          <w:cantSplit/>
        </w:trPr>
        <w:tc>
          <w:tcPr>
            <w:tcW w:type="dxa" w:w="2592"/>
            <w:vAlign w:val="top"/>
            <w:tcMar>
              <w:top w:w="40" w:type="dxa"/>
              <w:left w:w="65" w:type="dxa"/>
              <w:bottom w:w="35" w:type="dxa"/>
              <w:right w:w="65" w:type="dxa"/>
            </w:tcMar>
          </w:tcPr>
          <w:p>
            <w:pPr>
              <w:pStyle w:val="TableText"/>
            </w:pPr>
            <w:r>
              <w:rPr>
                <w:rStyle w:val="CodeCharacter"/>
              </w:rPr>
              <w:t>high_audit_fraction</w:t>
            </w:r>
          </w:p>
        </w:tc>
        <w:tc>
          <w:tcPr>
            <w:tcW w:type="dxa" w:w="3168"/>
            <w:vAlign w:val="top"/>
            <w:tcMar>
              <w:top w:w="40" w:type="dxa"/>
              <w:left w:w="65" w:type="dxa"/>
              <w:bottom w:w="35" w:type="dxa"/>
              <w:right w:w="65" w:type="dxa"/>
            </w:tcMar>
          </w:tcPr>
          <w:p>
            <w:pPr>
              <w:pStyle w:val="TableText"/>
            </w:pPr>
            <w:r>
              <w:t>0.05</w:t>
            </w:r>
          </w:p>
        </w:tc>
        <w:tc>
          <w:tcPr>
            <w:tcW w:type="dxa" w:w="3600"/>
            <w:vAlign w:val="top"/>
            <w:tcMar>
              <w:top w:w="40" w:type="dxa"/>
              <w:left w:w="65" w:type="dxa"/>
              <w:bottom w:w="35" w:type="dxa"/>
              <w:right w:w="65" w:type="dxa"/>
            </w:tcMar>
          </w:tcPr>
          <w:p>
            <w:pPr>
              <w:pStyle w:val="TableText"/>
            </w:pPr>
            <w:r>
              <w:t>ge=0, le=1</w:t>
            </w:r>
          </w:p>
        </w:tc>
      </w:tr>
      <w:tr>
        <w:trPr>
          <w:cantSplit/>
        </w:trPr>
        <w:tc>
          <w:tcPr>
            <w:tcW w:type="dxa" w:w="2592"/>
            <w:vAlign w:val="top"/>
            <w:tcMar>
              <w:top w:w="40" w:type="dxa"/>
              <w:left w:w="65" w:type="dxa"/>
              <w:bottom w:w="35" w:type="dxa"/>
              <w:right w:w="65" w:type="dxa"/>
            </w:tcMar>
          </w:tcPr>
          <w:p>
            <w:pPr>
              <w:pStyle w:val="TableText"/>
            </w:pPr>
            <w:r>
              <w:rPr>
                <w:rStyle w:val="CodeCharacter"/>
              </w:rPr>
              <w:t>review_sample_size</w:t>
            </w:r>
          </w:p>
        </w:tc>
        <w:tc>
          <w:tcPr>
            <w:tcW w:type="dxa" w:w="3168"/>
            <w:vAlign w:val="top"/>
            <w:tcMar>
              <w:top w:w="40" w:type="dxa"/>
              <w:left w:w="65" w:type="dxa"/>
              <w:bottom w:w="35" w:type="dxa"/>
              <w:right w:w="65" w:type="dxa"/>
            </w:tcMar>
          </w:tcPr>
          <w:p>
            <w:pPr>
              <w:pStyle w:val="TableText"/>
            </w:pPr>
            <w:r>
              <w:t>150</w:t>
            </w:r>
          </w:p>
        </w:tc>
        <w:tc>
          <w:tcPr>
            <w:tcW w:type="dxa" w:w="3600"/>
            <w:vAlign w:val="top"/>
            <w:tcMar>
              <w:top w:w="40" w:type="dxa"/>
              <w:left w:w="65" w:type="dxa"/>
              <w:bottom w:w="35" w:type="dxa"/>
              <w:right w:w="65" w:type="dxa"/>
            </w:tcMar>
          </w:tcPr>
          <w:p>
            <w:pPr>
              <w:pStyle w:val="TableText"/>
            </w:pPr>
            <w:r>
              <w:t>ge=1</w:t>
            </w:r>
          </w:p>
        </w:tc>
      </w:tr>
      <w:tr>
        <w:trPr>
          <w:cantSplit/>
        </w:trPr>
        <w:tc>
          <w:tcPr>
            <w:tcW w:type="dxa" w:w="2592"/>
            <w:vAlign w:val="top"/>
            <w:tcMar>
              <w:top w:w="40" w:type="dxa"/>
              <w:left w:w="65" w:type="dxa"/>
              <w:bottom w:w="35" w:type="dxa"/>
              <w:right w:w="65" w:type="dxa"/>
            </w:tcMar>
          </w:tcPr>
          <w:p>
            <w:pPr>
              <w:pStyle w:val="TableText"/>
            </w:pPr>
            <w:r>
              <w:rPr>
                <w:rStyle w:val="CodeCharacter"/>
              </w:rPr>
              <w:t>seed</w:t>
            </w:r>
          </w:p>
        </w:tc>
        <w:tc>
          <w:tcPr>
            <w:tcW w:type="dxa" w:w="3168"/>
            <w:vAlign w:val="top"/>
            <w:tcMar>
              <w:top w:w="40" w:type="dxa"/>
              <w:left w:w="65" w:type="dxa"/>
              <w:bottom w:w="35" w:type="dxa"/>
              <w:right w:w="65" w:type="dxa"/>
            </w:tcMar>
          </w:tcPr>
          <w:p>
            <w:pPr>
              <w:pStyle w:val="TableText"/>
            </w:pPr>
            <w:r>
              <w:t>17</w:t>
            </w:r>
          </w:p>
        </w:tc>
        <w:tc>
          <w:tcPr>
            <w:tcW w:type="dxa" w:w="3600"/>
            <w:vAlign w:val="top"/>
            <w:tcMar>
              <w:top w:w="40" w:type="dxa"/>
              <w:left w:w="65" w:type="dxa"/>
              <w:bottom w:w="35" w:type="dxa"/>
              <w:right w:w="65" w:type="dxa"/>
            </w:tcMar>
          </w:tcPr>
          <w:p>
            <w:pPr>
              <w:pStyle w:val="TableText"/>
            </w:pPr>
            <w:r>
              <w:t>Typed value</w:t>
            </w:r>
          </w:p>
        </w:tc>
      </w:tr>
      <w:tr>
        <w:trPr>
          <w:cantSplit/>
        </w:trPr>
        <w:tc>
          <w:tcPr>
            <w:tcW w:type="dxa" w:w="2592"/>
            <w:vAlign w:val="top"/>
            <w:tcMar>
              <w:top w:w="40" w:type="dxa"/>
              <w:left w:w="65" w:type="dxa"/>
              <w:bottom w:w="35" w:type="dxa"/>
              <w:right w:w="65" w:type="dxa"/>
            </w:tcMar>
          </w:tcPr>
          <w:p>
            <w:pPr>
              <w:pStyle w:val="TableText"/>
            </w:pPr>
            <w:r>
              <w:rPr>
                <w:rStyle w:val="CodeCharacter"/>
              </w:rPr>
              <w:t>semantic_weight</w:t>
            </w:r>
          </w:p>
        </w:tc>
        <w:tc>
          <w:tcPr>
            <w:tcW w:type="dxa" w:w="3168"/>
            <w:vAlign w:val="top"/>
            <w:tcMar>
              <w:top w:w="40" w:type="dxa"/>
              <w:left w:w="65" w:type="dxa"/>
              <w:bottom w:w="35" w:type="dxa"/>
              <w:right w:w="65" w:type="dxa"/>
            </w:tcMar>
          </w:tcPr>
          <w:p>
            <w:pPr>
              <w:pStyle w:val="TableText"/>
            </w:pPr>
            <w:r>
              <w:t>0.38</w:t>
            </w:r>
          </w:p>
        </w:tc>
        <w:tc>
          <w:tcPr>
            <w:tcW w:type="dxa" w:w="3600"/>
            <w:vAlign w:val="top"/>
            <w:tcMar>
              <w:top w:w="40" w:type="dxa"/>
              <w:left w:w="65" w:type="dxa"/>
              <w:bottom w:w="35" w:type="dxa"/>
              <w:right w:w="65" w:type="dxa"/>
            </w:tcMar>
          </w:tcPr>
          <w:p>
            <w:pPr>
              <w:pStyle w:val="TableText"/>
            </w:pPr>
            <w:r>
              <w:t>ge=0</w:t>
            </w:r>
          </w:p>
        </w:tc>
      </w:tr>
      <w:tr>
        <w:trPr>
          <w:cantSplit/>
        </w:trPr>
        <w:tc>
          <w:tcPr>
            <w:tcW w:type="dxa" w:w="2592"/>
            <w:vAlign w:val="top"/>
            <w:tcMar>
              <w:top w:w="40" w:type="dxa"/>
              <w:left w:w="65" w:type="dxa"/>
              <w:bottom w:w="35" w:type="dxa"/>
              <w:right w:w="65" w:type="dxa"/>
            </w:tcMar>
          </w:tcPr>
          <w:p>
            <w:pPr>
              <w:pStyle w:val="TableText"/>
            </w:pPr>
            <w:r>
              <w:rPr>
                <w:rStyle w:val="CodeCharacter"/>
              </w:rPr>
              <w:t>lexical_weight</w:t>
            </w:r>
          </w:p>
        </w:tc>
        <w:tc>
          <w:tcPr>
            <w:tcW w:type="dxa" w:w="3168"/>
            <w:vAlign w:val="top"/>
            <w:tcMar>
              <w:top w:w="40" w:type="dxa"/>
              <w:left w:w="65" w:type="dxa"/>
              <w:bottom w:w="35" w:type="dxa"/>
              <w:right w:w="65" w:type="dxa"/>
            </w:tcMar>
          </w:tcPr>
          <w:p>
            <w:pPr>
              <w:pStyle w:val="TableText"/>
            </w:pPr>
            <w:r>
              <w:t>0.38</w:t>
            </w:r>
          </w:p>
        </w:tc>
        <w:tc>
          <w:tcPr>
            <w:tcW w:type="dxa" w:w="3600"/>
            <w:vAlign w:val="top"/>
            <w:tcMar>
              <w:top w:w="40" w:type="dxa"/>
              <w:left w:w="65" w:type="dxa"/>
              <w:bottom w:w="35" w:type="dxa"/>
              <w:right w:w="65" w:type="dxa"/>
            </w:tcMar>
          </w:tcPr>
          <w:p>
            <w:pPr>
              <w:pStyle w:val="TableText"/>
            </w:pPr>
            <w:r>
              <w:t>gt=0</w:t>
            </w:r>
          </w:p>
        </w:tc>
      </w:tr>
      <w:tr>
        <w:trPr>
          <w:cantSplit/>
        </w:trPr>
        <w:tc>
          <w:tcPr>
            <w:tcW w:type="dxa" w:w="2592"/>
            <w:vAlign w:val="top"/>
            <w:tcMar>
              <w:top w:w="40" w:type="dxa"/>
              <w:left w:w="65" w:type="dxa"/>
              <w:bottom w:w="35" w:type="dxa"/>
              <w:right w:w="65" w:type="dxa"/>
            </w:tcMar>
          </w:tcPr>
          <w:p>
            <w:pPr>
              <w:pStyle w:val="TableText"/>
            </w:pPr>
            <w:r>
              <w:rPr>
                <w:rStyle w:val="CodeCharacter"/>
              </w:rPr>
              <w:t>structural_weight</w:t>
            </w:r>
          </w:p>
        </w:tc>
        <w:tc>
          <w:tcPr>
            <w:tcW w:type="dxa" w:w="3168"/>
            <w:vAlign w:val="top"/>
            <w:tcMar>
              <w:top w:w="40" w:type="dxa"/>
              <w:left w:w="65" w:type="dxa"/>
              <w:bottom w:w="35" w:type="dxa"/>
              <w:right w:w="65" w:type="dxa"/>
            </w:tcMar>
          </w:tcPr>
          <w:p>
            <w:pPr>
              <w:pStyle w:val="TableText"/>
            </w:pPr>
            <w:r>
              <w:t>0.12</w:t>
            </w:r>
          </w:p>
        </w:tc>
        <w:tc>
          <w:tcPr>
            <w:tcW w:type="dxa" w:w="3600"/>
            <w:vAlign w:val="top"/>
            <w:tcMar>
              <w:top w:w="40" w:type="dxa"/>
              <w:left w:w="65" w:type="dxa"/>
              <w:bottom w:w="35" w:type="dxa"/>
              <w:right w:w="65" w:type="dxa"/>
            </w:tcMar>
          </w:tcPr>
          <w:p>
            <w:pPr>
              <w:pStyle w:val="TableText"/>
            </w:pPr>
            <w:r>
              <w:t>ge=0</w:t>
            </w:r>
          </w:p>
        </w:tc>
      </w:tr>
      <w:tr>
        <w:trPr>
          <w:cantSplit/>
        </w:trPr>
        <w:tc>
          <w:tcPr>
            <w:tcW w:type="dxa" w:w="2592"/>
            <w:vAlign w:val="top"/>
            <w:tcMar>
              <w:top w:w="40" w:type="dxa"/>
              <w:left w:w="65" w:type="dxa"/>
              <w:bottom w:w="35" w:type="dxa"/>
              <w:right w:w="65" w:type="dxa"/>
            </w:tcMar>
          </w:tcPr>
          <w:p>
            <w:pPr>
              <w:pStyle w:val="TableText"/>
            </w:pPr>
            <w:r>
              <w:rPr>
                <w:rStyle w:val="CodeCharacter"/>
              </w:rPr>
              <w:t>position_weight</w:t>
            </w:r>
          </w:p>
        </w:tc>
        <w:tc>
          <w:tcPr>
            <w:tcW w:type="dxa" w:w="3168"/>
            <w:vAlign w:val="top"/>
            <w:tcMar>
              <w:top w:w="40" w:type="dxa"/>
              <w:left w:w="65" w:type="dxa"/>
              <w:bottom w:w="35" w:type="dxa"/>
              <w:right w:w="65" w:type="dxa"/>
            </w:tcMar>
          </w:tcPr>
          <w:p>
            <w:pPr>
              <w:pStyle w:val="TableText"/>
            </w:pPr>
            <w:r>
              <w:t>0.04</w:t>
            </w:r>
          </w:p>
        </w:tc>
        <w:tc>
          <w:tcPr>
            <w:tcW w:type="dxa" w:w="3600"/>
            <w:vAlign w:val="top"/>
            <w:tcMar>
              <w:top w:w="40" w:type="dxa"/>
              <w:left w:w="65" w:type="dxa"/>
              <w:bottom w:w="35" w:type="dxa"/>
              <w:right w:w="65" w:type="dxa"/>
            </w:tcMar>
          </w:tcPr>
          <w:p>
            <w:pPr>
              <w:pStyle w:val="TableText"/>
            </w:pPr>
            <w:r>
              <w:t>ge=0</w:t>
            </w:r>
          </w:p>
        </w:tc>
      </w:tr>
      <w:tr>
        <w:trPr>
          <w:cantSplit/>
        </w:trPr>
        <w:tc>
          <w:tcPr>
            <w:tcW w:type="dxa" w:w="2592"/>
            <w:vAlign w:val="top"/>
            <w:tcMar>
              <w:top w:w="40" w:type="dxa"/>
              <w:left w:w="65" w:type="dxa"/>
              <w:bottom w:w="35" w:type="dxa"/>
              <w:right w:w="65" w:type="dxa"/>
            </w:tcMar>
          </w:tcPr>
          <w:p>
            <w:pPr>
              <w:pStyle w:val="TableText"/>
            </w:pPr>
            <w:r>
              <w:rPr>
                <w:rStyle w:val="CodeCharacter"/>
              </w:rPr>
              <w:t>block_weight</w:t>
            </w:r>
          </w:p>
        </w:tc>
        <w:tc>
          <w:tcPr>
            <w:tcW w:type="dxa" w:w="3168"/>
            <w:vAlign w:val="top"/>
            <w:tcMar>
              <w:top w:w="40" w:type="dxa"/>
              <w:left w:w="65" w:type="dxa"/>
              <w:bottom w:w="35" w:type="dxa"/>
              <w:right w:w="65" w:type="dxa"/>
            </w:tcMar>
          </w:tcPr>
          <w:p>
            <w:pPr>
              <w:pStyle w:val="TableText"/>
            </w:pPr>
            <w:r>
              <w:t>0.04</w:t>
            </w:r>
          </w:p>
        </w:tc>
        <w:tc>
          <w:tcPr>
            <w:tcW w:type="dxa" w:w="3600"/>
            <w:vAlign w:val="top"/>
            <w:tcMar>
              <w:top w:w="40" w:type="dxa"/>
              <w:left w:w="65" w:type="dxa"/>
              <w:bottom w:w="35" w:type="dxa"/>
              <w:right w:w="65" w:type="dxa"/>
            </w:tcMar>
          </w:tcPr>
          <w:p>
            <w:pPr>
              <w:pStyle w:val="TableText"/>
            </w:pPr>
            <w:r>
              <w:t>ge=0</w:t>
            </w:r>
          </w:p>
        </w:tc>
      </w:tr>
      <w:tr>
        <w:trPr>
          <w:cantSplit/>
        </w:trPr>
        <w:tc>
          <w:tcPr>
            <w:tcW w:type="dxa" w:w="2592"/>
            <w:vAlign w:val="top"/>
            <w:tcMar>
              <w:top w:w="40" w:type="dxa"/>
              <w:left w:w="65" w:type="dxa"/>
              <w:bottom w:w="35" w:type="dxa"/>
              <w:right w:w="65" w:type="dxa"/>
            </w:tcMar>
          </w:tcPr>
          <w:p>
            <w:pPr>
              <w:pStyle w:val="TableText"/>
            </w:pPr>
            <w:r>
              <w:rPr>
                <w:rStyle w:val="CodeCharacter"/>
              </w:rPr>
              <w:t>protected_weight</w:t>
            </w:r>
          </w:p>
        </w:tc>
        <w:tc>
          <w:tcPr>
            <w:tcW w:type="dxa" w:w="3168"/>
            <w:vAlign w:val="top"/>
            <w:tcMar>
              <w:top w:w="40" w:type="dxa"/>
              <w:left w:w="65" w:type="dxa"/>
              <w:bottom w:w="35" w:type="dxa"/>
              <w:right w:w="65" w:type="dxa"/>
            </w:tcMar>
          </w:tcPr>
          <w:p>
            <w:pPr>
              <w:pStyle w:val="TableText"/>
            </w:pPr>
            <w:r>
              <w:t>0.04</w:t>
            </w:r>
          </w:p>
        </w:tc>
        <w:tc>
          <w:tcPr>
            <w:tcW w:type="dxa" w:w="3600"/>
            <w:vAlign w:val="top"/>
            <w:tcMar>
              <w:top w:w="40" w:type="dxa"/>
              <w:left w:w="65" w:type="dxa"/>
              <w:bottom w:w="35" w:type="dxa"/>
              <w:right w:w="65" w:type="dxa"/>
            </w:tcMar>
          </w:tcPr>
          <w:p>
            <w:pPr>
              <w:pStyle w:val="TableText"/>
            </w:pPr>
            <w:r>
              <w:t>ge=0</w:t>
            </w:r>
          </w:p>
        </w:tc>
      </w:tr>
    </w:tbl>
    <w:p>
      <w:pPr>
        <w:spacing w:after="0"/>
      </w:pPr>
    </w:p>
    <w:p>
      <w:pPr/>
      <w:r>
        <w:t xml:space="preserve">Final model revision: </w:t>
      </w:r>
      <w:r>
        <w:rPr>
          <w:rStyle w:val="CodeCharacter"/>
        </w:rPr>
        <w:t>1110a243fdf4706b​3f48f1d95db1a4f5​529b4d41</w:t>
      </w:r>
      <w:r>
        <w:t xml:space="preserve">. All other final values match the listed defaults. </w:t>
      </w:r>
      <w:r>
        <w:rPr>
          <w:rStyle w:val="CodeCharacter"/>
        </w:rPr>
        <w:t>max_group</w:t>
      </w:r>
      <w:r>
        <w:t xml:space="preserve"> accepts 2–4 but was 3. Overlap configuration accepts 0–64; the embedding backend additionally requires overlap to be smaller than the actual content budget. Nonzero lexical weight prevents a zero-weight lexical-only scorer.</w:t>
      </w:r>
    </w:p>
    <w:p>
      <w:pPr/>
      <w:r>
        <w:t>These thresholds have not been fit to gold TLS annotations. Future tuning must use training/validation annotation scopes and preserve a separate test scope. No train/​validation/​test partition or calibrated model is claimed for this single-family run.</w:t>
      </w:r>
    </w:p>
    <w:p>
      <w:pPr>
        <w:pStyle w:val="Heading2"/>
      </w:pPr>
      <w:r>
        <w:t>Appendix E: Output schema</w:t>
      </w:r>
    </w:p>
    <w:p>
      <w:pPr/>
      <w:r>
        <w:t xml:space="preserve">Schema version is 1.0. The machine-readable schema is </w:t>
      </w:r>
      <w:r>
        <w:rPr>
          <w:rStyle w:val="CodeCharacter"/>
        </w:rPr>
        <w:t>alignment/​version_​alignment/​schema.​json</w:t>
      </w:r>
      <w:r>
        <w:t>. It describes the Document, Alignment and Evidence alternatives and the nested Clause definition. Clauses permit extra upstream fields; the outer contracts forbid unknown fields. Field tables below list all contract fields. Derived JSONL structures are described afterward rather than represented as if covered by the same schema.</w:t>
      </w:r>
    </w:p>
    <w:p>
      <w:pPr>
        <w:pStyle w:val="Heading3"/>
      </w:pPr>
      <w:r>
        <w:t>Document contract</w:t>
      </w:r>
    </w:p>
    <w:p>
      <w:pPr>
        <w:pStyle w:val="Caption"/>
        <w:keepNext/>
      </w:pPr>
      <w:r>
        <w:t>Document fields; semantic requirements supplement JSON field types.</w:t>
      </w:r>
    </w:p>
    <w:tbl>
      <w:tblPr>
        <w:tblStyle w:val="TableGrid"/>
        <w:tblW w:type="auto" w:w="0"/>
        <w:jc w:val="center"/>
        <w:tblLayout w:type="fixed"/>
        <w:tblLook w:firstColumn="1" w:firstRow="1" w:lastColumn="0" w:lastRow="0" w:noHBand="0" w:noVBand="1" w:val="04A0"/>
      </w:tblPr>
      <w:tblGrid>
        <w:gridCol w:w="2880"/>
        <w:gridCol w:w="3960"/>
        <w:gridCol w:w="2520"/>
      </w:tblGrid>
      <w:tr>
        <w:trPr>
          <w:tblHeader w:val="true"/>
          <w:cantSplit/>
        </w:trPr>
        <w:tc>
          <w:tcPr>
            <w:tcW w:type="dxa" w:w="2880"/>
            <w:vAlign w:val="top"/>
            <w:tcMar>
              <w:top w:w="40" w:type="dxa"/>
              <w:left w:w="65" w:type="dxa"/>
              <w:bottom w:w="35" w:type="dxa"/>
              <w:right w:w="65" w:type="dxa"/>
            </w:tcMar>
          </w:tcPr>
          <w:p>
            <w:pPr>
              <w:pStyle w:val="TableHeader"/>
            </w:pPr>
            <w:r>
              <w:t>Field</w:t>
            </w:r>
          </w:p>
        </w:tc>
        <w:tc>
          <w:tcPr>
            <w:tcW w:type="dxa" w:w="3960"/>
            <w:vAlign w:val="top"/>
            <w:tcMar>
              <w:top w:w="40" w:type="dxa"/>
              <w:left w:w="65" w:type="dxa"/>
              <w:bottom w:w="35" w:type="dxa"/>
              <w:right w:w="65" w:type="dxa"/>
            </w:tcMar>
          </w:tcPr>
          <w:p>
            <w:pPr>
              <w:pStyle w:val="TableHeader"/>
            </w:pPr>
            <w:r>
              <w:t>Type / values</w:t>
            </w:r>
          </w:p>
        </w:tc>
        <w:tc>
          <w:tcPr>
            <w:tcW w:type="dxa" w:w="2520"/>
            <w:vAlign w:val="top"/>
            <w:tcMar>
              <w:top w:w="40" w:type="dxa"/>
              <w:left w:w="65" w:type="dxa"/>
              <w:bottom w:w="35" w:type="dxa"/>
              <w:right w:w="65" w:type="dxa"/>
            </w:tcMar>
          </w:tcPr>
          <w:p>
            <w:pPr>
              <w:pStyle w:val="TableHeader"/>
            </w:pPr>
            <w:r>
              <w:t>Presence</w:t>
            </w:r>
          </w:p>
        </w:tc>
      </w:tr>
      <w:tr>
        <w:trPr>
          <w:cantSplit/>
        </w:trPr>
        <w:tc>
          <w:tcPr>
            <w:tcW w:type="dxa" w:w="2880"/>
            <w:vAlign w:val="top"/>
            <w:tcMar>
              <w:top w:w="40" w:type="dxa"/>
              <w:left w:w="65" w:type="dxa"/>
              <w:bottom w:w="35" w:type="dxa"/>
              <w:right w:w="65" w:type="dxa"/>
            </w:tcMar>
          </w:tcPr>
          <w:p>
            <w:pPr>
              <w:pStyle w:val="TableText"/>
            </w:pPr>
            <w:r>
              <w:rPr>
                <w:rStyle w:val="CodeCharacter"/>
              </w:rPr>
              <w:t>family_id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document_id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revision</w:t>
            </w:r>
          </w:p>
        </w:tc>
        <w:tc>
          <w:tcPr>
            <w:tcW w:type="dxa" w:w="3960"/>
            <w:vAlign w:val="top"/>
            <w:tcMar>
              <w:top w:w="40" w:type="dxa"/>
              <w:left w:w="65" w:type="dxa"/>
              <w:bottom w:w="35" w:type="dxa"/>
              <w:right w:w="65" w:type="dxa"/>
            </w:tcMar>
          </w:tcPr>
          <w:p>
            <w:pPr>
              <w:pStyle w:val="TableText"/>
            </w:pPr>
            <w:r>
              <w:t>string/null</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publication_date</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 date</w:t>
            </w:r>
          </w:p>
        </w:tc>
      </w:tr>
      <w:tr>
        <w:trPr>
          <w:cantSplit/>
        </w:trPr>
        <w:tc>
          <w:tcPr>
            <w:tcW w:type="dxa" w:w="2880"/>
            <w:vAlign w:val="top"/>
            <w:tcMar>
              <w:top w:w="40" w:type="dxa"/>
              <w:left w:w="65" w:type="dxa"/>
              <w:bottom w:w="35" w:type="dxa"/>
              <w:right w:w="65" w:type="dxa"/>
            </w:tcMar>
          </w:tcPr>
          <w:p>
            <w:pPr>
              <w:pStyle w:val="TableText"/>
            </w:pPr>
            <w:r>
              <w:rPr>
                <w:rStyle w:val="CodeCharacter"/>
              </w:rPr>
              <w:t>available_at</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 date</w:t>
            </w:r>
          </w:p>
        </w:tc>
      </w:tr>
      <w:tr>
        <w:trPr>
          <w:cantSplit/>
        </w:trPr>
        <w:tc>
          <w:tcPr>
            <w:tcW w:type="dxa" w:w="2880"/>
            <w:vAlign w:val="top"/>
            <w:tcMar>
              <w:top w:w="40" w:type="dxa"/>
              <w:left w:w="65" w:type="dxa"/>
              <w:bottom w:w="35" w:type="dxa"/>
              <w:right w:w="65" w:type="dxa"/>
            </w:tcMar>
          </w:tcPr>
          <w:p>
            <w:pPr>
              <w:pStyle w:val="TableText"/>
            </w:pPr>
            <w:r>
              <w:rPr>
                <w:rStyle w:val="CodeCharacter"/>
              </w:rPr>
              <w:t>date_precision</w:t>
            </w:r>
          </w:p>
        </w:tc>
        <w:tc>
          <w:tcPr>
            <w:tcW w:type="dxa" w:w="3960"/>
            <w:vAlign w:val="top"/>
            <w:tcMar>
              <w:top w:w="40" w:type="dxa"/>
              <w:left w:w="65" w:type="dxa"/>
              <w:bottom w:w="35" w:type="dxa"/>
              <w:right w:w="65" w:type="dxa"/>
            </w:tcMar>
          </w:tcPr>
          <w:p>
            <w:pPr>
              <w:pStyle w:val="TableText"/>
            </w:pPr>
            <w:r>
              <w:t>day/month</w:t>
            </w:r>
          </w:p>
        </w:tc>
        <w:tc>
          <w:tcPr>
            <w:tcW w:type="dxa" w:w="2520"/>
            <w:vAlign w:val="top"/>
            <w:tcMar>
              <w:top w:w="40" w:type="dxa"/>
              <w:left w:w="65" w:type="dxa"/>
              <w:bottom w:w="35" w:type="dxa"/>
              <w:right w:w="65" w:type="dxa"/>
            </w:tcMar>
          </w:tcPr>
          <w:p>
            <w:pPr>
              <w:pStyle w:val="TableText"/>
            </w:pPr>
            <w:r>
              <w:t>Default "day"</w:t>
            </w:r>
          </w:p>
        </w:tc>
      </w:tr>
      <w:tr>
        <w:trPr>
          <w:cantSplit/>
        </w:trPr>
        <w:tc>
          <w:tcPr>
            <w:tcW w:type="dxa" w:w="2880"/>
            <w:vAlign w:val="top"/>
            <w:tcMar>
              <w:top w:w="40" w:type="dxa"/>
              <w:left w:w="65" w:type="dxa"/>
              <w:bottom w:w="35" w:type="dxa"/>
              <w:right w:w="65" w:type="dxa"/>
            </w:tcMar>
          </w:tcPr>
          <w:p>
            <w:pPr>
              <w:pStyle w:val="TableText"/>
            </w:pPr>
            <w:r>
              <w:rPr>
                <w:rStyle w:val="CodeCharacter"/>
              </w:rPr>
              <w:t>source_path</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source_sha256</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input_sha256</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input_path</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prepared</w:t>
            </w:r>
          </w:p>
        </w:tc>
        <w:tc>
          <w:tcPr>
            <w:tcW w:type="dxa" w:w="3960"/>
            <w:vAlign w:val="top"/>
            <w:tcMar>
              <w:top w:w="40" w:type="dxa"/>
              <w:left w:w="65" w:type="dxa"/>
              <w:bottom w:w="35" w:type="dxa"/>
              <w:right w:w="65" w:type="dxa"/>
            </w:tcMar>
          </w:tcPr>
          <w:p>
            <w:pPr>
              <w:pStyle w:val="TableText"/>
            </w:pPr>
            <w:r>
              <w:t>boolean</w:t>
            </w:r>
          </w:p>
        </w:tc>
        <w:tc>
          <w:tcPr>
            <w:tcW w:type="dxa" w:w="2520"/>
            <w:vAlign w:val="top"/>
            <w:tcMar>
              <w:top w:w="40" w:type="dxa"/>
              <w:left w:w="65" w:type="dxa"/>
              <w:bottom w:w="35" w:type="dxa"/>
              <w:right w:w="65" w:type="dxa"/>
            </w:tcMar>
          </w:tcPr>
          <w:p>
            <w:pPr>
              <w:pStyle w:val="TableText"/>
            </w:pPr>
            <w:r>
              <w:t>Default false</w:t>
            </w:r>
          </w:p>
        </w:tc>
      </w:tr>
      <w:tr>
        <w:trPr>
          <w:cantSplit/>
        </w:trPr>
        <w:tc>
          <w:tcPr>
            <w:tcW w:type="dxa" w:w="2880"/>
            <w:vAlign w:val="top"/>
            <w:tcMar>
              <w:top w:w="40" w:type="dxa"/>
              <w:left w:w="65" w:type="dxa"/>
              <w:bottom w:w="35" w:type="dxa"/>
              <w:right w:w="65" w:type="dxa"/>
            </w:tcMar>
          </w:tcPr>
          <w:p>
            <w:pPr>
              <w:pStyle w:val="TableText"/>
            </w:pPr>
            <w:r>
              <w:rPr>
                <w:rStyle w:val="CodeCharacter"/>
              </w:rPr>
              <w:t>clauses</w:t>
            </w:r>
          </w:p>
        </w:tc>
        <w:tc>
          <w:tcPr>
            <w:tcW w:type="dxa" w:w="3960"/>
            <w:vAlign w:val="top"/>
            <w:tcMar>
              <w:top w:w="40" w:type="dxa"/>
              <w:left w:w="65" w:type="dxa"/>
              <w:bottom w:w="35" w:type="dxa"/>
              <w:right w:w="65" w:type="dxa"/>
            </w:tcMar>
          </w:tcPr>
          <w:p>
            <w:pPr>
              <w:pStyle w:val="TableText"/>
            </w:pPr>
            <w:r>
              <w:t>array of Clause</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warnings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Empty list (factory)</w:t>
            </w:r>
          </w:p>
        </w:tc>
      </w:tr>
    </w:tbl>
    <w:p>
      <w:pPr>
        <w:spacing w:after="0"/>
      </w:pPr>
    </w:p>
    <w:p>
      <w:pPr>
        <w:pStyle w:val="Heading3"/>
      </w:pPr>
      <w:r>
        <w:t>Clause contract</w:t>
      </w:r>
    </w:p>
    <w:p>
      <w:pPr>
        <w:pStyle w:val="Caption"/>
        <w:keepNext/>
      </w:pPr>
      <w:r>
        <w:t>Clause fields; semantic requirements supplement JSON field types.</w:t>
      </w:r>
    </w:p>
    <w:tbl>
      <w:tblPr>
        <w:tblStyle w:val="TableGrid"/>
        <w:tblW w:type="auto" w:w="0"/>
        <w:jc w:val="center"/>
        <w:tblLayout w:type="fixed"/>
        <w:tblLook w:firstColumn="1" w:firstRow="1" w:lastColumn="0" w:lastRow="0" w:noHBand="0" w:noVBand="1" w:val="04A0"/>
      </w:tblPr>
      <w:tblGrid>
        <w:gridCol w:w="2880"/>
        <w:gridCol w:w="3960"/>
        <w:gridCol w:w="2520"/>
      </w:tblGrid>
      <w:tr>
        <w:trPr>
          <w:tblHeader w:val="true"/>
          <w:cantSplit/>
        </w:trPr>
        <w:tc>
          <w:tcPr>
            <w:tcW w:type="dxa" w:w="2880"/>
            <w:vAlign w:val="top"/>
            <w:tcMar>
              <w:top w:w="40" w:type="dxa"/>
              <w:left w:w="65" w:type="dxa"/>
              <w:bottom w:w="35" w:type="dxa"/>
              <w:right w:w="65" w:type="dxa"/>
            </w:tcMar>
          </w:tcPr>
          <w:p>
            <w:pPr>
              <w:pStyle w:val="TableHeader"/>
            </w:pPr>
            <w:r>
              <w:t>Field</w:t>
            </w:r>
          </w:p>
        </w:tc>
        <w:tc>
          <w:tcPr>
            <w:tcW w:type="dxa" w:w="3960"/>
            <w:vAlign w:val="top"/>
            <w:tcMar>
              <w:top w:w="40" w:type="dxa"/>
              <w:left w:w="65" w:type="dxa"/>
              <w:bottom w:w="35" w:type="dxa"/>
              <w:right w:w="65" w:type="dxa"/>
            </w:tcMar>
          </w:tcPr>
          <w:p>
            <w:pPr>
              <w:pStyle w:val="TableHeader"/>
            </w:pPr>
            <w:r>
              <w:t>Type / values</w:t>
            </w:r>
          </w:p>
        </w:tc>
        <w:tc>
          <w:tcPr>
            <w:tcW w:type="dxa" w:w="2520"/>
            <w:vAlign w:val="top"/>
            <w:tcMar>
              <w:top w:w="40" w:type="dxa"/>
              <w:left w:w="65" w:type="dxa"/>
              <w:bottom w:w="35" w:type="dxa"/>
              <w:right w:w="65" w:type="dxa"/>
            </w:tcMar>
          </w:tcPr>
          <w:p>
            <w:pPr>
              <w:pStyle w:val="TableHeader"/>
            </w:pPr>
            <w:r>
              <w:t>Presence</w:t>
            </w:r>
          </w:p>
        </w:tc>
      </w:tr>
      <w:tr>
        <w:trPr>
          <w:cantSplit/>
        </w:trPr>
        <w:tc>
          <w:tcPr>
            <w:tcW w:type="dxa" w:w="2880"/>
            <w:vAlign w:val="top"/>
            <w:tcMar>
              <w:top w:w="40" w:type="dxa"/>
              <w:left w:w="65" w:type="dxa"/>
              <w:bottom w:w="35" w:type="dxa"/>
              <w:right w:w="65" w:type="dxa"/>
            </w:tcMar>
          </w:tcPr>
          <w:p>
            <w:pPr>
              <w:pStyle w:val="TableText"/>
            </w:pPr>
            <w:r>
              <w:rPr>
                <w:rStyle w:val="CodeCharacter"/>
              </w:rPr>
              <w:t>clause_id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document_id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revision_id</w:t>
            </w:r>
          </w:p>
        </w:tc>
        <w:tc>
          <w:tcPr>
            <w:tcW w:type="dxa" w:w="3960"/>
            <w:vAlign w:val="top"/>
            <w:tcMar>
              <w:top w:w="40" w:type="dxa"/>
              <w:left w:w="65" w:type="dxa"/>
              <w:bottom w:w="35" w:type="dxa"/>
              <w:right w:w="65" w:type="dxa"/>
            </w:tcMar>
          </w:tcPr>
          <w:p>
            <w:pPr>
              <w:pStyle w:val="TableText"/>
            </w:pPr>
            <w:r>
              <w:t>string/null</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index</w:t>
            </w:r>
          </w:p>
        </w:tc>
        <w:tc>
          <w:tcPr>
            <w:tcW w:type="dxa" w:w="3960"/>
            <w:vAlign w:val="top"/>
            <w:tcMar>
              <w:top w:w="40" w:type="dxa"/>
              <w:left w:w="65" w:type="dxa"/>
              <w:bottom w:w="35" w:type="dxa"/>
              <w:right w:w="65" w:type="dxa"/>
            </w:tcMar>
          </w:tcPr>
          <w:p>
            <w:pPr>
              <w:pStyle w:val="TableText"/>
            </w:pPr>
            <w:r>
              <w:t>integer</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block_id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block_type</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section_id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section_heading</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section_path</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raw_text</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classification</w:t>
            </w:r>
          </w:p>
        </w:tc>
        <w:tc>
          <w:tcPr>
            <w:tcW w:type="dxa" w:w="3960"/>
            <w:vAlign w:val="top"/>
            <w:tcMar>
              <w:top w:w="40" w:type="dxa"/>
              <w:left w:w="65" w:type="dxa"/>
              <w:bottom w:w="35" w:type="dxa"/>
              <w:right w:w="65" w:type="dxa"/>
            </w:tcMar>
          </w:tcPr>
          <w:p>
            <w:pPr>
              <w:pStyle w:val="TableText"/>
            </w:pPr>
            <w:r>
              <w:t>NORMATIVE/​CONTEXTUAL/​EXCLUDED/​MANUAL_​REVIEW</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source_location</w:t>
            </w:r>
          </w:p>
        </w:tc>
        <w:tc>
          <w:tcPr>
            <w:tcW w:type="dxa" w:w="3960"/>
            <w:vAlign w:val="top"/>
            <w:tcMar>
              <w:top w:w="40" w:type="dxa"/>
              <w:left w:w="65" w:type="dxa"/>
              <w:bottom w:w="35" w:type="dxa"/>
              <w:right w:w="65" w:type="dxa"/>
            </w:tcMar>
          </w:tcPr>
          <w:p>
            <w:pPr>
              <w:pStyle w:val="TableText"/>
            </w:pPr>
            <w:r>
              <w:t>object</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text_start</w:t>
            </w:r>
          </w:p>
        </w:tc>
        <w:tc>
          <w:tcPr>
            <w:tcW w:type="dxa" w:w="3960"/>
            <w:vAlign w:val="top"/>
            <w:tcMar>
              <w:top w:w="40" w:type="dxa"/>
              <w:left w:w="65" w:type="dxa"/>
              <w:bottom w:w="35" w:type="dxa"/>
              <w:right w:w="65" w:type="dxa"/>
            </w:tcMar>
          </w:tcPr>
          <w:p>
            <w:pPr>
              <w:pStyle w:val="TableText"/>
            </w:pPr>
            <w:r>
              <w:t>integer</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text_end</w:t>
            </w:r>
          </w:p>
        </w:tc>
        <w:tc>
          <w:tcPr>
            <w:tcW w:type="dxa" w:w="3960"/>
            <w:vAlign w:val="top"/>
            <w:tcMar>
              <w:top w:w="40" w:type="dxa"/>
              <w:left w:w="65" w:type="dxa"/>
              <w:bottom w:w="35" w:type="dxa"/>
              <w:right w:w="65" w:type="dxa"/>
            </w:tcMar>
          </w:tcPr>
          <w:p>
            <w:pPr>
              <w:pStyle w:val="TableText"/>
            </w:pPr>
            <w:r>
              <w:t>integer</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reference_targets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Empty list (factory)</w:t>
            </w:r>
          </w:p>
        </w:tc>
      </w:tr>
      <w:tr>
        <w:trPr>
          <w:cantSplit/>
        </w:trPr>
        <w:tc>
          <w:tcPr>
            <w:tcW w:type="dxa" w:w="2880"/>
            <w:vAlign w:val="top"/>
            <w:tcMar>
              <w:top w:w="40" w:type="dxa"/>
              <w:left w:w="65" w:type="dxa"/>
              <w:bottom w:w="35" w:type="dxa"/>
              <w:right w:w="65" w:type="dxa"/>
            </w:tcMar>
          </w:tcPr>
          <w:p>
            <w:pPr>
              <w:pStyle w:val="TableText"/>
            </w:pPr>
            <w:r>
              <w:rPr>
                <w:rStyle w:val="CodeCharacter"/>
              </w:rPr>
              <w:t>bcp14_keywords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Empty list (factory)</w:t>
            </w:r>
          </w:p>
        </w:tc>
      </w:tr>
      <w:tr>
        <w:trPr>
          <w:cantSplit/>
        </w:trPr>
        <w:tc>
          <w:tcPr>
            <w:tcW w:type="dxa" w:w="2880"/>
            <w:vAlign w:val="top"/>
            <w:tcMar>
              <w:top w:w="40" w:type="dxa"/>
              <w:left w:w="65" w:type="dxa"/>
              <w:bottom w:w="35" w:type="dxa"/>
              <w:right w:w="65" w:type="dxa"/>
            </w:tcMar>
          </w:tcPr>
          <w:p>
            <w:pPr>
              <w:pStyle w:val="TableText"/>
            </w:pPr>
            <w:r>
              <w:rPr>
                <w:rStyle w:val="CodeCharacter"/>
              </w:rPr>
              <w:t>normalized_text</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Default ""</w:t>
            </w:r>
          </w:p>
        </w:tc>
      </w:tr>
      <w:tr>
        <w:trPr>
          <w:cantSplit/>
        </w:trPr>
        <w:tc>
          <w:tcPr>
            <w:tcW w:type="dxa" w:w="2880"/>
            <w:vAlign w:val="top"/>
            <w:tcMar>
              <w:top w:w="40" w:type="dxa"/>
              <w:left w:w="65" w:type="dxa"/>
              <w:bottom w:w="35" w:type="dxa"/>
              <w:right w:w="65" w:type="dxa"/>
            </w:tcMar>
          </w:tcPr>
          <w:p>
            <w:pPr>
              <w:pStyle w:val="TableText"/>
            </w:pPr>
            <w:r>
              <w:rPr>
                <w:rStyle w:val="CodeCharacter"/>
              </w:rPr>
              <w:t>normalization_steps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Empty list (factory)</w:t>
            </w:r>
          </w:p>
        </w:tc>
      </w:tr>
    </w:tbl>
    <w:p>
      <w:pPr>
        <w:spacing w:after="0"/>
      </w:pPr>
    </w:p>
    <w:p>
      <w:pPr>
        <w:pStyle w:val="Heading3"/>
      </w:pPr>
      <w:r>
        <w:t>Alignment contract</w:t>
      </w:r>
    </w:p>
    <w:p>
      <w:pPr>
        <w:pStyle w:val="Caption"/>
        <w:keepNext/>
      </w:pPr>
      <w:r>
        <w:t>Alignment fields; semantic requirements supplement JSON field types.</w:t>
      </w:r>
    </w:p>
    <w:tbl>
      <w:tblPr>
        <w:tblStyle w:val="TableGrid"/>
        <w:tblW w:type="auto" w:w="0"/>
        <w:jc w:val="center"/>
        <w:tblLayout w:type="fixed"/>
        <w:tblLook w:firstColumn="1" w:firstRow="1" w:lastColumn="0" w:lastRow="0" w:noHBand="0" w:noVBand="1" w:val="04A0"/>
      </w:tblPr>
      <w:tblGrid>
        <w:gridCol w:w="2880"/>
        <w:gridCol w:w="3960"/>
        <w:gridCol w:w="2520"/>
      </w:tblGrid>
      <w:tr>
        <w:trPr>
          <w:tblHeader w:val="true"/>
          <w:cantSplit/>
        </w:trPr>
        <w:tc>
          <w:tcPr>
            <w:tcW w:type="dxa" w:w="2880"/>
            <w:vAlign w:val="top"/>
            <w:tcMar>
              <w:top w:w="40" w:type="dxa"/>
              <w:left w:w="65" w:type="dxa"/>
              <w:bottom w:w="35" w:type="dxa"/>
              <w:right w:w="65" w:type="dxa"/>
            </w:tcMar>
          </w:tcPr>
          <w:p>
            <w:pPr>
              <w:pStyle w:val="TableHeader"/>
            </w:pPr>
            <w:r>
              <w:t>Field</w:t>
            </w:r>
          </w:p>
        </w:tc>
        <w:tc>
          <w:tcPr>
            <w:tcW w:type="dxa" w:w="3960"/>
            <w:vAlign w:val="top"/>
            <w:tcMar>
              <w:top w:w="40" w:type="dxa"/>
              <w:left w:w="65" w:type="dxa"/>
              <w:bottom w:w="35" w:type="dxa"/>
              <w:right w:w="65" w:type="dxa"/>
            </w:tcMar>
          </w:tcPr>
          <w:p>
            <w:pPr>
              <w:pStyle w:val="TableHeader"/>
            </w:pPr>
            <w:r>
              <w:t>Type / values</w:t>
            </w:r>
          </w:p>
        </w:tc>
        <w:tc>
          <w:tcPr>
            <w:tcW w:type="dxa" w:w="2520"/>
            <w:vAlign w:val="top"/>
            <w:tcMar>
              <w:top w:w="40" w:type="dxa"/>
              <w:left w:w="65" w:type="dxa"/>
              <w:bottom w:w="35" w:type="dxa"/>
              <w:right w:w="65" w:type="dxa"/>
            </w:tcMar>
          </w:tcPr>
          <w:p>
            <w:pPr>
              <w:pStyle w:val="TableHeader"/>
            </w:pPr>
            <w:r>
              <w:t>Presence</w:t>
            </w:r>
          </w:p>
        </w:tc>
      </w:tr>
      <w:tr>
        <w:trPr>
          <w:cantSplit/>
        </w:trPr>
        <w:tc>
          <w:tcPr>
            <w:tcW w:type="dxa" w:w="2880"/>
            <w:vAlign w:val="top"/>
            <w:tcMar>
              <w:top w:w="40" w:type="dxa"/>
              <w:left w:w="65" w:type="dxa"/>
              <w:bottom w:w="35" w:type="dxa"/>
              <w:right w:w="65" w:type="dxa"/>
            </w:tcMar>
          </w:tcPr>
          <w:p>
            <w:pPr>
              <w:pStyle w:val="TableText"/>
            </w:pPr>
            <w:r>
              <w:rPr>
                <w:rStyle w:val="CodeCharacter"/>
              </w:rPr>
              <w:t>schema_version</w:t>
            </w:r>
          </w:p>
        </w:tc>
        <w:tc>
          <w:tcPr>
            <w:tcW w:type="dxa" w:w="3960"/>
            <w:vAlign w:val="top"/>
            <w:tcMar>
              <w:top w:w="40" w:type="dxa"/>
              <w:left w:w="65" w:type="dxa"/>
              <w:bottom w:w="35" w:type="dxa"/>
              <w:right w:w="65" w:type="dxa"/>
            </w:tcMar>
          </w:tcPr>
          <w:p>
            <w:pPr>
              <w:pStyle w:val="TableText"/>
            </w:pPr>
            <w:r>
              <w:t>constant 1.0</w:t>
            </w:r>
          </w:p>
        </w:tc>
        <w:tc>
          <w:tcPr>
            <w:tcW w:type="dxa" w:w="2520"/>
            <w:vAlign w:val="top"/>
            <w:tcMar>
              <w:top w:w="40" w:type="dxa"/>
              <w:left w:w="65" w:type="dxa"/>
              <w:bottom w:w="35" w:type="dxa"/>
              <w:right w:w="65" w:type="dxa"/>
            </w:tcMar>
          </w:tcPr>
          <w:p>
            <w:pPr>
              <w:pStyle w:val="TableText"/>
            </w:pPr>
            <w:r>
              <w:t>Default "1.0"</w:t>
            </w:r>
          </w:p>
        </w:tc>
      </w:tr>
      <w:tr>
        <w:trPr>
          <w:cantSplit/>
        </w:trPr>
        <w:tc>
          <w:tcPr>
            <w:tcW w:type="dxa" w:w="2880"/>
            <w:vAlign w:val="top"/>
            <w:tcMar>
              <w:top w:w="40" w:type="dxa"/>
              <w:left w:w="65" w:type="dxa"/>
              <w:bottom w:w="35" w:type="dxa"/>
              <w:right w:w="65" w:type="dxa"/>
            </w:tcMar>
          </w:tcPr>
          <w:p>
            <w:pPr>
              <w:pStyle w:val="TableText"/>
            </w:pPr>
            <w:r>
              <w:rPr>
                <w:rStyle w:val="CodeCharacter"/>
              </w:rPr>
              <w:t>record_id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family_id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from_document_id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to_document_id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from_revision</w:t>
            </w:r>
          </w:p>
        </w:tc>
        <w:tc>
          <w:tcPr>
            <w:tcW w:type="dxa" w:w="3960"/>
            <w:vAlign w:val="top"/>
            <w:tcMar>
              <w:top w:w="40" w:type="dxa"/>
              <w:left w:w="65" w:type="dxa"/>
              <w:bottom w:w="35" w:type="dxa"/>
              <w:right w:w="65" w:type="dxa"/>
            </w:tcMar>
          </w:tcPr>
          <w:p>
            <w:pPr>
              <w:pStyle w:val="TableText"/>
            </w:pPr>
            <w:r>
              <w:t>string/null</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to_revision</w:t>
            </w:r>
          </w:p>
        </w:tc>
        <w:tc>
          <w:tcPr>
            <w:tcW w:type="dxa" w:w="3960"/>
            <w:vAlign w:val="top"/>
            <w:tcMar>
              <w:top w:w="40" w:type="dxa"/>
              <w:left w:w="65" w:type="dxa"/>
              <w:bottom w:w="35" w:type="dxa"/>
              <w:right w:w="65" w:type="dxa"/>
            </w:tcMar>
          </w:tcPr>
          <w:p>
            <w:pPr>
              <w:pStyle w:val="TableText"/>
            </w:pPr>
            <w:r>
              <w:t>string/null</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from_​publication_​date</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 date</w:t>
            </w:r>
          </w:p>
        </w:tc>
      </w:tr>
      <w:tr>
        <w:trPr>
          <w:cantSplit/>
        </w:trPr>
        <w:tc>
          <w:tcPr>
            <w:tcW w:type="dxa" w:w="2880"/>
            <w:vAlign w:val="top"/>
            <w:tcMar>
              <w:top w:w="40" w:type="dxa"/>
              <w:left w:w="65" w:type="dxa"/>
              <w:bottom w:w="35" w:type="dxa"/>
              <w:right w:w="65" w:type="dxa"/>
            </w:tcMar>
          </w:tcPr>
          <w:p>
            <w:pPr>
              <w:pStyle w:val="TableText"/>
            </w:pPr>
            <w:r>
              <w:rPr>
                <w:rStyle w:val="CodeCharacter"/>
              </w:rPr>
              <w:t>to_publication_date</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 date</w:t>
            </w:r>
          </w:p>
        </w:tc>
      </w:tr>
      <w:tr>
        <w:trPr>
          <w:cantSplit/>
        </w:trPr>
        <w:tc>
          <w:tcPr>
            <w:tcW w:type="dxa" w:w="2880"/>
            <w:vAlign w:val="top"/>
            <w:tcMar>
              <w:top w:w="40" w:type="dxa"/>
              <w:left w:w="65" w:type="dxa"/>
              <w:bottom w:w="35" w:type="dxa"/>
              <w:right w:w="65" w:type="dxa"/>
            </w:tcMar>
          </w:tcPr>
          <w:p>
            <w:pPr>
              <w:pStyle w:val="TableText"/>
            </w:pPr>
            <w:r>
              <w:rPr>
                <w:rStyle w:val="CodeCharacter"/>
              </w:rPr>
              <w:t>source_clause_ids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target_clause_ids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relation</w:t>
            </w:r>
          </w:p>
        </w:tc>
        <w:tc>
          <w:tcPr>
            <w:tcW w:type="dxa" w:w="3960"/>
            <w:vAlign w:val="top"/>
            <w:tcMar>
              <w:top w:w="40" w:type="dxa"/>
              <w:left w:w="65" w:type="dxa"/>
              <w:bottom w:w="35" w:type="dxa"/>
              <w:right w:w="65" w:type="dxa"/>
            </w:tcMar>
          </w:tcPr>
          <w:p>
            <w:pPr>
              <w:pStyle w:val="TableText"/>
            </w:pPr>
            <w:r>
              <w:t>UNCHANGED/​MODIFIED/​INSERTED/​DELETED/​SPLIT/​MERGED/​MOVED/​UNCERTAIN</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text_changed</w:t>
            </w:r>
          </w:p>
        </w:tc>
        <w:tc>
          <w:tcPr>
            <w:tcW w:type="dxa" w:w="3960"/>
            <w:vAlign w:val="top"/>
            <w:tcMar>
              <w:top w:w="40" w:type="dxa"/>
              <w:left w:w="65" w:type="dxa"/>
              <w:bottom w:w="35" w:type="dxa"/>
              <w:right w:w="65" w:type="dxa"/>
            </w:tcMar>
          </w:tcPr>
          <w:p>
            <w:pPr>
              <w:pStyle w:val="TableText"/>
            </w:pPr>
            <w:r>
              <w:t>boolean</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movement</w:t>
            </w:r>
          </w:p>
        </w:tc>
        <w:tc>
          <w:tcPr>
            <w:tcW w:type="dxa" w:w="3960"/>
            <w:vAlign w:val="top"/>
            <w:tcMar>
              <w:top w:w="40" w:type="dxa"/>
              <w:left w:w="65" w:type="dxa"/>
              <w:bottom w:w="35" w:type="dxa"/>
              <w:right w:w="65" w:type="dxa"/>
            </w:tcMar>
          </w:tcPr>
          <w:p>
            <w:pPr>
              <w:pStyle w:val="TableText"/>
            </w:pPr>
            <w:r>
              <w:t>object</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scores</w:t>
            </w:r>
          </w:p>
        </w:tc>
        <w:tc>
          <w:tcPr>
            <w:tcW w:type="dxa" w:w="3960"/>
            <w:vAlign w:val="top"/>
            <w:tcMar>
              <w:top w:w="40" w:type="dxa"/>
              <w:left w:w="65" w:type="dxa"/>
              <w:bottom w:w="35" w:type="dxa"/>
              <w:right w:w="65" w:type="dxa"/>
            </w:tcMar>
          </w:tcPr>
          <w:p>
            <w:pPr>
              <w:pStyle w:val="TableText"/>
            </w:pPr>
            <w:r>
              <w:t>object</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confidence</w:t>
            </w:r>
          </w:p>
        </w:tc>
        <w:tc>
          <w:tcPr>
            <w:tcW w:type="dxa" w:w="3960"/>
            <w:vAlign w:val="top"/>
            <w:tcMar>
              <w:top w:w="40" w:type="dxa"/>
              <w:left w:w="65" w:type="dxa"/>
              <w:bottom w:w="35" w:type="dxa"/>
              <w:right w:w="65" w:type="dxa"/>
            </w:tcMar>
          </w:tcPr>
          <w:p>
            <w:pPr>
              <w:pStyle w:val="TableText"/>
            </w:pPr>
            <w:r>
              <w:t>HIGH/MEDIUM/LOW</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confidence_method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Default "uncalibrated_​rule_​bands_​v1"</w:t>
            </w:r>
          </w:p>
        </w:tc>
      </w:tr>
      <w:tr>
        <w:trPr>
          <w:cantSplit/>
        </w:trPr>
        <w:tc>
          <w:tcPr>
            <w:tcW w:type="dxa" w:w="2880"/>
            <w:vAlign w:val="top"/>
            <w:tcMar>
              <w:top w:w="40" w:type="dxa"/>
              <w:left w:w="65" w:type="dxa"/>
              <w:bottom w:w="35" w:type="dxa"/>
              <w:right w:w="65" w:type="dxa"/>
            </w:tcMar>
          </w:tcPr>
          <w:p>
            <w:pPr>
              <w:pStyle w:val="TableText"/>
            </w:pPr>
            <w:r>
              <w:rPr>
                <w:rStyle w:val="CodeCharacter"/>
              </w:rPr>
              <w:t>calibrated_​probability</w:t>
            </w:r>
          </w:p>
        </w:tc>
        <w:tc>
          <w:tcPr>
            <w:tcW w:type="dxa" w:w="3960"/>
            <w:vAlign w:val="top"/>
            <w:tcMar>
              <w:top w:w="40" w:type="dxa"/>
              <w:left w:w="65" w:type="dxa"/>
              <w:bottom w:w="35" w:type="dxa"/>
              <w:right w:w="65" w:type="dxa"/>
            </w:tcMar>
          </w:tcPr>
          <w:p>
            <w:pPr>
              <w:pStyle w:val="TableText"/>
            </w:pPr>
            <w:r>
              <w:t>number/null</w:t>
            </w:r>
          </w:p>
        </w:tc>
        <w:tc>
          <w:tcPr>
            <w:tcW w:type="dxa" w:w="2520"/>
            <w:vAlign w:val="top"/>
            <w:tcMar>
              <w:top w:w="40" w:type="dxa"/>
              <w:left w:w="65" w:type="dxa"/>
              <w:bottom w:w="35" w:type="dxa"/>
              <w:right w:w="65" w:type="dxa"/>
            </w:tcMar>
          </w:tcPr>
          <w:p>
            <w:pPr>
              <w:pStyle w:val="TableText"/>
            </w:pPr>
            <w:r>
              <w:t>Default null</w:t>
            </w:r>
          </w:p>
        </w:tc>
      </w:tr>
      <w:tr>
        <w:trPr>
          <w:cantSplit/>
        </w:trPr>
        <w:tc>
          <w:tcPr>
            <w:tcW w:type="dxa" w:w="2880"/>
            <w:vAlign w:val="top"/>
            <w:tcMar>
              <w:top w:w="40" w:type="dxa"/>
              <w:left w:w="65" w:type="dxa"/>
              <w:bottom w:w="35" w:type="dxa"/>
              <w:right w:w="65" w:type="dxa"/>
            </w:tcMar>
          </w:tcPr>
          <w:p>
            <w:pPr>
              <w:pStyle w:val="TableText"/>
            </w:pPr>
            <w:r>
              <w:rPr>
                <w:rStyle w:val="CodeCharacter"/>
              </w:rPr>
              <w:t>review_required</w:t>
            </w:r>
          </w:p>
        </w:tc>
        <w:tc>
          <w:tcPr>
            <w:tcW w:type="dxa" w:w="3960"/>
            <w:vAlign w:val="top"/>
            <w:tcMar>
              <w:top w:w="40" w:type="dxa"/>
              <w:left w:w="65" w:type="dxa"/>
              <w:bottom w:w="35" w:type="dxa"/>
              <w:right w:w="65" w:type="dxa"/>
            </w:tcMar>
          </w:tcPr>
          <w:p>
            <w:pPr>
              <w:pStyle w:val="TableText"/>
            </w:pPr>
            <w:r>
              <w:t>boolean</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review_status</w:t>
            </w:r>
          </w:p>
        </w:tc>
        <w:tc>
          <w:tcPr>
            <w:tcW w:type="dxa" w:w="3960"/>
            <w:vAlign w:val="top"/>
            <w:tcMar>
              <w:top w:w="40" w:type="dxa"/>
              <w:left w:w="65" w:type="dxa"/>
              <w:bottom w:w="35" w:type="dxa"/>
              <w:right w:w="65" w:type="dxa"/>
            </w:tcMar>
          </w:tcPr>
          <w:p>
            <w:pPr>
              <w:pStyle w:val="TableText"/>
            </w:pPr>
            <w:r>
              <w:t>NOT_​REVIEWED/​ACCEPTED/​CORRECTED/​REJECTED</w:t>
            </w:r>
          </w:p>
        </w:tc>
        <w:tc>
          <w:tcPr>
            <w:tcW w:type="dxa" w:w="2520"/>
            <w:vAlign w:val="top"/>
            <w:tcMar>
              <w:top w:w="40" w:type="dxa"/>
              <w:left w:w="65" w:type="dxa"/>
              <w:bottom w:w="35" w:type="dxa"/>
              <w:right w:w="65" w:type="dxa"/>
            </w:tcMar>
          </w:tcPr>
          <w:p>
            <w:pPr>
              <w:pStyle w:val="TableText"/>
            </w:pPr>
            <w:r>
              <w:t>Default "NOT_REVIEWED"</w:t>
            </w:r>
          </w:p>
        </w:tc>
      </w:tr>
      <w:tr>
        <w:trPr>
          <w:cantSplit/>
        </w:trPr>
        <w:tc>
          <w:tcPr>
            <w:tcW w:type="dxa" w:w="2880"/>
            <w:vAlign w:val="top"/>
            <w:tcMar>
              <w:top w:w="40" w:type="dxa"/>
              <w:left w:w="65" w:type="dxa"/>
              <w:bottom w:w="35" w:type="dxa"/>
              <w:right w:w="65" w:type="dxa"/>
            </w:tcMar>
          </w:tcPr>
          <w:p>
            <w:pPr>
              <w:pStyle w:val="TableText"/>
            </w:pPr>
            <w:r>
              <w:rPr>
                <w:rStyle w:val="CodeCharacter"/>
              </w:rPr>
              <w:t>review_reasons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alternatives</w:t>
            </w:r>
          </w:p>
        </w:tc>
        <w:tc>
          <w:tcPr>
            <w:tcW w:type="dxa" w:w="3960"/>
            <w:vAlign w:val="top"/>
            <w:tcMar>
              <w:top w:w="40" w:type="dxa"/>
              <w:left w:w="65" w:type="dxa"/>
              <w:bottom w:w="35" w:type="dxa"/>
              <w:right w:w="65" w:type="dxa"/>
            </w:tcMar>
          </w:tcPr>
          <w:p>
            <w:pPr>
              <w:pStyle w:val="TableText"/>
            </w:pPr>
            <w:r>
              <w:t>array of object</w:t>
            </w:r>
          </w:p>
        </w:tc>
        <w:tc>
          <w:tcPr>
            <w:tcW w:type="dxa" w:w="2520"/>
            <w:vAlign w:val="top"/>
            <w:tcMar>
              <w:top w:w="40" w:type="dxa"/>
              <w:left w:w="65" w:type="dxa"/>
              <w:bottom w:w="35" w:type="dxa"/>
              <w:right w:w="65" w:type="dxa"/>
            </w:tcMar>
          </w:tcPr>
          <w:p>
            <w:pPr>
              <w:pStyle w:val="TableText"/>
            </w:pPr>
            <w:r>
              <w:t>Empty list (factory)</w:t>
            </w:r>
          </w:p>
        </w:tc>
      </w:tr>
      <w:tr>
        <w:trPr>
          <w:cantSplit/>
        </w:trPr>
        <w:tc>
          <w:tcPr>
            <w:tcW w:type="dxa" w:w="2880"/>
            <w:vAlign w:val="top"/>
            <w:tcMar>
              <w:top w:w="40" w:type="dxa"/>
              <w:left w:w="65" w:type="dxa"/>
              <w:bottom w:w="35" w:type="dxa"/>
              <w:right w:w="65" w:type="dxa"/>
            </w:tcMar>
          </w:tcPr>
          <w:p>
            <w:pPr>
              <w:pStyle w:val="TableText"/>
            </w:pPr>
            <w:r>
              <w:rPr>
                <w:rStyle w:val="CodeCharacter"/>
              </w:rPr>
              <w:t>lineage_ids</w:t>
            </w:r>
          </w:p>
        </w:tc>
        <w:tc>
          <w:tcPr>
            <w:tcW w:type="dxa" w:w="3960"/>
            <w:vAlign w:val="top"/>
            <w:tcMar>
              <w:top w:w="40" w:type="dxa"/>
              <w:left w:w="65" w:type="dxa"/>
              <w:bottom w:w="35" w:type="dxa"/>
              <w:right w:w="65" w:type="dxa"/>
            </w:tcMar>
          </w:tcPr>
          <w:p>
            <w:pPr>
              <w:pStyle w:val="TableText"/>
            </w:pPr>
            <w:r>
              <w:t>array of string</w:t>
            </w:r>
          </w:p>
        </w:tc>
        <w:tc>
          <w:tcPr>
            <w:tcW w:type="dxa" w:w="2520"/>
            <w:vAlign w:val="top"/>
            <w:tcMar>
              <w:top w:w="40" w:type="dxa"/>
              <w:left w:w="65" w:type="dxa"/>
              <w:bottom w:w="35" w:type="dxa"/>
              <w:right w:w="65" w:type="dxa"/>
            </w:tcMar>
          </w:tcPr>
          <w:p>
            <w:pPr>
              <w:pStyle w:val="TableText"/>
            </w:pPr>
            <w:r>
              <w:t>Empty list (factory)</w:t>
            </w:r>
          </w:p>
        </w:tc>
      </w:tr>
      <w:tr>
        <w:trPr>
          <w:cantSplit/>
        </w:trPr>
        <w:tc>
          <w:tcPr>
            <w:tcW w:type="dxa" w:w="2880"/>
            <w:vAlign w:val="top"/>
            <w:tcMar>
              <w:top w:w="40" w:type="dxa"/>
              <w:left w:w="65" w:type="dxa"/>
              <w:bottom w:w="35" w:type="dxa"/>
              <w:right w:w="65" w:type="dxa"/>
            </w:tcMar>
          </w:tcPr>
          <w:p>
            <w:pPr>
              <w:pStyle w:val="TableText"/>
            </w:pPr>
            <w:r>
              <w:rPr>
                <w:rStyle w:val="CodeCharacter"/>
              </w:rPr>
              <w:t>changes</w:t>
            </w:r>
          </w:p>
        </w:tc>
        <w:tc>
          <w:tcPr>
            <w:tcW w:type="dxa" w:w="3960"/>
            <w:vAlign w:val="top"/>
            <w:tcMar>
              <w:top w:w="40" w:type="dxa"/>
              <w:left w:w="65" w:type="dxa"/>
              <w:bottom w:w="35" w:type="dxa"/>
              <w:right w:w="65" w:type="dxa"/>
            </w:tcMar>
          </w:tcPr>
          <w:p>
            <w:pPr>
              <w:pStyle w:val="TableText"/>
            </w:pPr>
            <w:r>
              <w:t>object</w:t>
            </w:r>
          </w:p>
        </w:tc>
        <w:tc>
          <w:tcPr>
            <w:tcW w:type="dxa" w:w="2520"/>
            <w:vAlign w:val="top"/>
            <w:tcMar>
              <w:top w:w="40" w:type="dxa"/>
              <w:left w:w="65" w:type="dxa"/>
              <w:bottom w:w="35" w:type="dxa"/>
              <w:right w:w="65" w:type="dxa"/>
            </w:tcMar>
          </w:tcPr>
          <w:p>
            <w:pPr>
              <w:pStyle w:val="TableText"/>
            </w:pPr>
            <w:r>
              <w:t>Empty object (factory)</w:t>
            </w:r>
          </w:p>
        </w:tc>
      </w:tr>
      <w:tr>
        <w:trPr>
          <w:cantSplit/>
        </w:trPr>
        <w:tc>
          <w:tcPr>
            <w:tcW w:type="dxa" w:w="2880"/>
            <w:vAlign w:val="top"/>
            <w:tcMar>
              <w:top w:w="40" w:type="dxa"/>
              <w:left w:w="65" w:type="dxa"/>
              <w:bottom w:w="35" w:type="dxa"/>
              <w:right w:w="65" w:type="dxa"/>
            </w:tcMar>
          </w:tcPr>
          <w:p>
            <w:pPr>
              <w:pStyle w:val="TableText"/>
            </w:pPr>
            <w:r>
              <w:rPr>
                <w:rStyle w:val="CodeCharacter"/>
              </w:rPr>
              <w:t>provenance</w:t>
            </w:r>
          </w:p>
        </w:tc>
        <w:tc>
          <w:tcPr>
            <w:tcW w:type="dxa" w:w="3960"/>
            <w:vAlign w:val="top"/>
            <w:tcMar>
              <w:top w:w="40" w:type="dxa"/>
              <w:left w:w="65" w:type="dxa"/>
              <w:bottom w:w="35" w:type="dxa"/>
              <w:right w:w="65" w:type="dxa"/>
            </w:tcMar>
          </w:tcPr>
          <w:p>
            <w:pPr>
              <w:pStyle w:val="TableText"/>
            </w:pPr>
            <w:r>
              <w:t>object</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algorithm_version</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created_at</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bl>
    <w:p>
      <w:pPr>
        <w:spacing w:after="0"/>
      </w:pPr>
    </w:p>
    <w:p>
      <w:pPr>
        <w:pStyle w:val="Heading3"/>
      </w:pPr>
      <w:r>
        <w:t>Evidence contract</w:t>
      </w:r>
    </w:p>
    <w:p>
      <w:pPr>
        <w:pStyle w:val="Caption"/>
        <w:keepNext/>
      </w:pPr>
      <w:r>
        <w:t>Evidence fields; semantic requirements supplement JSON field types.</w:t>
      </w:r>
    </w:p>
    <w:tbl>
      <w:tblPr>
        <w:tblStyle w:val="TableGrid"/>
        <w:tblW w:type="auto" w:w="0"/>
        <w:jc w:val="center"/>
        <w:tblLayout w:type="fixed"/>
        <w:tblLook w:firstColumn="1" w:firstRow="1" w:lastColumn="0" w:lastRow="0" w:noHBand="0" w:noVBand="1" w:val="04A0"/>
      </w:tblPr>
      <w:tblGrid>
        <w:gridCol w:w="2880"/>
        <w:gridCol w:w="3960"/>
        <w:gridCol w:w="2520"/>
      </w:tblGrid>
      <w:tr>
        <w:trPr>
          <w:tblHeader w:val="true"/>
          <w:cantSplit/>
        </w:trPr>
        <w:tc>
          <w:tcPr>
            <w:tcW w:type="dxa" w:w="2880"/>
            <w:vAlign w:val="top"/>
            <w:tcMar>
              <w:top w:w="40" w:type="dxa"/>
              <w:left w:w="65" w:type="dxa"/>
              <w:bottom w:w="35" w:type="dxa"/>
              <w:right w:w="65" w:type="dxa"/>
            </w:tcMar>
          </w:tcPr>
          <w:p>
            <w:pPr>
              <w:pStyle w:val="TableHeader"/>
            </w:pPr>
            <w:r>
              <w:t>Field</w:t>
            </w:r>
          </w:p>
        </w:tc>
        <w:tc>
          <w:tcPr>
            <w:tcW w:type="dxa" w:w="3960"/>
            <w:vAlign w:val="top"/>
            <w:tcMar>
              <w:top w:w="40" w:type="dxa"/>
              <w:left w:w="65" w:type="dxa"/>
              <w:bottom w:w="35" w:type="dxa"/>
              <w:right w:w="65" w:type="dxa"/>
            </w:tcMar>
          </w:tcPr>
          <w:p>
            <w:pPr>
              <w:pStyle w:val="TableHeader"/>
            </w:pPr>
            <w:r>
              <w:t>Type / values</w:t>
            </w:r>
          </w:p>
        </w:tc>
        <w:tc>
          <w:tcPr>
            <w:tcW w:type="dxa" w:w="2520"/>
            <w:vAlign w:val="top"/>
            <w:tcMar>
              <w:top w:w="40" w:type="dxa"/>
              <w:left w:w="65" w:type="dxa"/>
              <w:bottom w:w="35" w:type="dxa"/>
              <w:right w:w="65" w:type="dxa"/>
            </w:tcMar>
          </w:tcPr>
          <w:p>
            <w:pPr>
              <w:pStyle w:val="TableHeader"/>
            </w:pPr>
            <w:r>
              <w:t>Presence</w:t>
            </w:r>
          </w:p>
        </w:tc>
      </w:tr>
      <w:tr>
        <w:trPr>
          <w:cantSplit/>
        </w:trPr>
        <w:tc>
          <w:tcPr>
            <w:tcW w:type="dxa" w:w="2880"/>
            <w:vAlign w:val="top"/>
            <w:tcMar>
              <w:top w:w="40" w:type="dxa"/>
              <w:left w:w="65" w:type="dxa"/>
              <w:bottom w:w="35" w:type="dxa"/>
              <w:right w:w="65" w:type="dxa"/>
            </w:tcMar>
          </w:tcPr>
          <w:p>
            <w:pPr>
              <w:pStyle w:val="TableText"/>
            </w:pPr>
            <w:r>
              <w:rPr>
                <w:rStyle w:val="CodeCharacter"/>
              </w:rPr>
              <w:t>evidence_id</w:t>
            </w:r>
          </w:p>
        </w:tc>
        <w:tc>
          <w:tcPr>
            <w:tcW w:type="dxa" w:w="3960"/>
            <w:vAlign w:val="top"/>
            <w:tcMar>
              <w:top w:w="40" w:type="dxa"/>
              <w:left w:w="65" w:type="dxa"/>
              <w:bottom w:w="35" w:type="dxa"/>
              <w:right w:w="65" w:type="dxa"/>
            </w:tcMar>
          </w:tcPr>
          <w:p>
            <w:pPr>
              <w:pStyle w:val="TableText"/>
            </w:pPr>
            <w:r>
              <w:t>string</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role</w:t>
            </w:r>
          </w:p>
        </w:tc>
        <w:tc>
          <w:tcPr>
            <w:tcW w:type="dxa" w:w="3960"/>
            <w:vAlign w:val="top"/>
            <w:tcMar>
              <w:top w:w="40" w:type="dxa"/>
              <w:left w:w="65" w:type="dxa"/>
              <w:bottom w:w="35" w:type="dxa"/>
              <w:right w:w="65" w:type="dxa"/>
            </w:tcMar>
          </w:tcPr>
          <w:p>
            <w:pPr>
              <w:pStyle w:val="TableText"/>
            </w:pPr>
            <w:r>
              <w:t>MODEL_​FEATURE/​LABEL_​SUPPORT/​ANNOTATION_​METADATA</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available_at</w:t>
            </w:r>
          </w:p>
        </w:tc>
        <w:tc>
          <w:tcPr>
            <w:tcW w:type="dxa" w:w="3960"/>
            <w:vAlign w:val="top"/>
            <w:tcMar>
              <w:top w:w="40" w:type="dxa"/>
              <w:left w:w="65" w:type="dxa"/>
              <w:bottom w:w="35" w:type="dxa"/>
              <w:right w:w="65" w:type="dxa"/>
            </w:tcMar>
          </w:tcPr>
          <w:p>
            <w:pPr>
              <w:pStyle w:val="TableText"/>
            </w:pPr>
            <w:r>
              <w:t>string/null</w:t>
            </w:r>
          </w:p>
        </w:tc>
        <w:tc>
          <w:tcPr>
            <w:tcW w:type="dxa" w:w="2520"/>
            <w:vAlign w:val="top"/>
            <w:tcMar>
              <w:top w:w="40" w:type="dxa"/>
              <w:left w:w="65" w:type="dxa"/>
              <w:bottom w:w="35" w:type="dxa"/>
              <w:right w:w="65" w:type="dxa"/>
            </w:tcMar>
          </w:tcPr>
          <w:p>
            <w:pPr>
              <w:pStyle w:val="TableText"/>
            </w:pPr>
            <w:r>
              <w:t>Required</w:t>
            </w:r>
          </w:p>
        </w:tc>
      </w:tr>
      <w:tr>
        <w:trPr>
          <w:cantSplit/>
        </w:trPr>
        <w:tc>
          <w:tcPr>
            <w:tcW w:type="dxa" w:w="2880"/>
            <w:vAlign w:val="top"/>
            <w:tcMar>
              <w:top w:w="40" w:type="dxa"/>
              <w:left w:w="65" w:type="dxa"/>
              <w:bottom w:w="35" w:type="dxa"/>
              <w:right w:w="65" w:type="dxa"/>
            </w:tcMar>
          </w:tcPr>
          <w:p>
            <w:pPr>
              <w:pStyle w:val="TableText"/>
            </w:pPr>
            <w:r>
              <w:rPr>
                <w:rStyle w:val="CodeCharacter"/>
              </w:rPr>
              <w:t>document_id</w:t>
            </w:r>
          </w:p>
        </w:tc>
        <w:tc>
          <w:tcPr>
            <w:tcW w:type="dxa" w:w="3960"/>
            <w:vAlign w:val="top"/>
            <w:tcMar>
              <w:top w:w="40" w:type="dxa"/>
              <w:left w:w="65" w:type="dxa"/>
              <w:bottom w:w="35" w:type="dxa"/>
              <w:right w:w="65" w:type="dxa"/>
            </w:tcMar>
          </w:tcPr>
          <w:p>
            <w:pPr>
              <w:pStyle w:val="TableText"/>
            </w:pPr>
            <w:r>
              <w:t>string/null</w:t>
            </w:r>
          </w:p>
        </w:tc>
        <w:tc>
          <w:tcPr>
            <w:tcW w:type="dxa" w:w="2520"/>
            <w:vAlign w:val="top"/>
            <w:tcMar>
              <w:top w:w="40" w:type="dxa"/>
              <w:left w:w="65" w:type="dxa"/>
              <w:bottom w:w="35" w:type="dxa"/>
              <w:right w:w="65" w:type="dxa"/>
            </w:tcMar>
          </w:tcPr>
          <w:p>
            <w:pPr>
              <w:pStyle w:val="TableText"/>
            </w:pPr>
            <w:r>
              <w:t>Default null</w:t>
            </w:r>
          </w:p>
        </w:tc>
      </w:tr>
      <w:tr>
        <w:trPr>
          <w:cantSplit/>
        </w:trPr>
        <w:tc>
          <w:tcPr>
            <w:tcW w:type="dxa" w:w="2880"/>
            <w:vAlign w:val="top"/>
            <w:tcMar>
              <w:top w:w="40" w:type="dxa"/>
              <w:left w:w="65" w:type="dxa"/>
              <w:bottom w:w="35" w:type="dxa"/>
              <w:right w:w="65" w:type="dxa"/>
            </w:tcMar>
          </w:tcPr>
          <w:p>
            <w:pPr>
              <w:pStyle w:val="TableText"/>
            </w:pPr>
            <w:r>
              <w:rPr>
                <w:rStyle w:val="CodeCharacter"/>
              </w:rPr>
              <w:t>dependencies</w:t>
            </w:r>
          </w:p>
        </w:tc>
        <w:tc>
          <w:tcPr>
            <w:tcW w:type="dxa" w:w="3960"/>
            <w:vAlign w:val="top"/>
            <w:tcMar>
              <w:top w:w="40" w:type="dxa"/>
              <w:left w:w="65" w:type="dxa"/>
              <w:bottom w:w="35" w:type="dxa"/>
              <w:right w:w="65" w:type="dxa"/>
            </w:tcMar>
          </w:tcPr>
          <w:p>
            <w:pPr>
              <w:pStyle w:val="TableText"/>
            </w:pPr>
            <w:r>
              <w:t>array of Evidence</w:t>
            </w:r>
          </w:p>
        </w:tc>
        <w:tc>
          <w:tcPr>
            <w:tcW w:type="dxa" w:w="2520"/>
            <w:vAlign w:val="top"/>
            <w:tcMar>
              <w:top w:w="40" w:type="dxa"/>
              <w:left w:w="65" w:type="dxa"/>
              <w:bottom w:w="35" w:type="dxa"/>
              <w:right w:w="65" w:type="dxa"/>
            </w:tcMar>
          </w:tcPr>
          <w:p>
            <w:pPr>
              <w:pStyle w:val="TableText"/>
            </w:pPr>
            <w:r>
              <w:t>Empty list (factory)</w:t>
            </w:r>
          </w:p>
        </w:tc>
      </w:tr>
    </w:tbl>
    <w:p>
      <w:pPr>
        <w:spacing w:after="0"/>
      </w:pPr>
    </w:p>
    <w:p>
      <w:pPr/>
      <w:r>
        <w:t>Clause IDs/text must be nonempty, text spans must agree with raw_text length, and document positions/IDs must be unique and ordered. Identity metadata must agree across envelope and clauses. Alignment endpoints must be unique within each side and obey Appendix F. Floating-point alignment scores must be finite. These structural rules do not establish a correct semantic correspondence.</w:t>
      </w:r>
    </w:p>
    <w:p>
      <w:pPr>
        <w:pStyle w:val="Heading3"/>
      </w:pPr>
      <w:r>
        <w:t>Derived JSONL records</w:t>
      </w:r>
    </w:p>
    <w:p>
      <w:pPr>
        <w:pStyle w:val="Caption"/>
        <w:keepNext/>
      </w:pPr>
      <w:r>
        <w:t>Derived record formats and downstream interpretation.</w:t>
      </w:r>
    </w:p>
    <w:tbl>
      <w:tblPr>
        <w:tblStyle w:val="TableGrid"/>
        <w:tblW w:type="auto" w:w="0"/>
        <w:jc w:val="center"/>
        <w:tblLayout w:type="fixed"/>
        <w:tblLook w:firstColumn="1" w:firstRow="1" w:lastColumn="0" w:lastRow="0" w:noHBand="0" w:noVBand="1" w:val="04A0"/>
      </w:tblPr>
      <w:tblGrid>
        <w:gridCol w:w="1656"/>
        <w:gridCol w:w="4392"/>
        <w:gridCol w:w="3312"/>
      </w:tblGrid>
      <w:tr>
        <w:trPr>
          <w:tblHeader w:val="true"/>
          <w:cantSplit/>
        </w:trPr>
        <w:tc>
          <w:tcPr>
            <w:tcW w:type="dxa" w:w="1656"/>
            <w:vAlign w:val="top"/>
            <w:tcMar>
              <w:top w:w="40" w:type="dxa"/>
              <w:left w:w="65" w:type="dxa"/>
              <w:bottom w:w="35" w:type="dxa"/>
              <w:right w:w="65" w:type="dxa"/>
            </w:tcMar>
          </w:tcPr>
          <w:p>
            <w:pPr>
              <w:pStyle w:val="TableHeader"/>
            </w:pPr>
            <w:r>
              <w:t>Format</w:t>
            </w:r>
          </w:p>
        </w:tc>
        <w:tc>
          <w:tcPr>
            <w:tcW w:type="dxa" w:w="4392"/>
            <w:vAlign w:val="top"/>
            <w:tcMar>
              <w:top w:w="40" w:type="dxa"/>
              <w:left w:w="65" w:type="dxa"/>
              <w:bottom w:w="35" w:type="dxa"/>
              <w:right w:w="65" w:type="dxa"/>
            </w:tcMar>
          </w:tcPr>
          <w:p>
            <w:pPr>
              <w:pStyle w:val="TableHeader"/>
            </w:pPr>
            <w:r>
              <w:t>Stored content</w:t>
            </w:r>
          </w:p>
        </w:tc>
        <w:tc>
          <w:tcPr>
            <w:tcW w:type="dxa" w:w="3312"/>
            <w:vAlign w:val="top"/>
            <w:tcMar>
              <w:top w:w="40" w:type="dxa"/>
              <w:left w:w="65" w:type="dxa"/>
              <w:bottom w:w="35" w:type="dxa"/>
              <w:right w:w="65" w:type="dxa"/>
            </w:tcMar>
          </w:tcPr>
          <w:p>
            <w:pPr>
              <w:pStyle w:val="TableHeader"/>
            </w:pPr>
            <w:r>
              <w:t>Important boundary</w:t>
            </w:r>
          </w:p>
        </w:tc>
      </w:tr>
      <w:tr>
        <w:trPr>
          <w:cantSplit/>
        </w:trPr>
        <w:tc>
          <w:tcPr>
            <w:tcW w:type="dxa" w:w="1656"/>
            <w:vAlign w:val="top"/>
            <w:tcMar>
              <w:top w:w="40" w:type="dxa"/>
              <w:left w:w="65" w:type="dxa"/>
              <w:bottom w:w="35" w:type="dxa"/>
              <w:right w:w="65" w:type="dxa"/>
            </w:tcMar>
          </w:tcPr>
          <w:p>
            <w:pPr>
              <w:pStyle w:val="TableText"/>
            </w:pPr>
            <w:r>
              <w:t>Candidates</w:t>
            </w:r>
          </w:p>
        </w:tc>
        <w:tc>
          <w:tcPr>
            <w:tcW w:type="dxa" w:w="4392"/>
            <w:vAlign w:val="top"/>
            <w:tcMar>
              <w:top w:w="40" w:type="dxa"/>
              <w:left w:w="65" w:type="dxa"/>
              <w:bottom w:w="35" w:type="dxa"/>
              <w:right w:w="65" w:type="dxa"/>
            </w:tcMar>
          </w:tcPr>
          <w:p>
            <w:pPr>
              <w:pStyle w:val="TableText"/>
            </w:pPr>
            <w:r>
              <w:t>Schema version; endpoint documents and clause-ID lists; component scores; exact/locked flags.</w:t>
            </w:r>
          </w:p>
        </w:tc>
        <w:tc>
          <w:tcPr>
            <w:tcW w:type="dxa" w:w="3312"/>
            <w:vAlign w:val="top"/>
            <w:tcMar>
              <w:top w:w="40" w:type="dxa"/>
              <w:left w:w="65" w:type="dxa"/>
              <w:bottom w:w="35" w:type="dxa"/>
              <w:right w:w="65" w:type="dxa"/>
            </w:tcMar>
          </w:tcPr>
          <w:p>
            <w:pPr>
              <w:pStyle w:val="TableText"/>
            </w:pPr>
            <w:r>
              <w:t>Candidate edges are not selected relationships.</w:t>
            </w:r>
          </w:p>
        </w:tc>
      </w:tr>
      <w:tr>
        <w:trPr>
          <w:cantSplit/>
        </w:trPr>
        <w:tc>
          <w:tcPr>
            <w:tcW w:type="dxa" w:w="1656"/>
            <w:vAlign w:val="top"/>
            <w:tcMar>
              <w:top w:w="40" w:type="dxa"/>
              <w:left w:w="65" w:type="dxa"/>
              <w:bottom w:w="35" w:type="dxa"/>
              <w:right w:w="65" w:type="dxa"/>
            </w:tcMar>
          </w:tcPr>
          <w:p>
            <w:pPr>
              <w:pStyle w:val="TableText"/>
            </w:pPr>
            <w:r>
              <w:t>Lineage</w:t>
            </w:r>
          </w:p>
        </w:tc>
        <w:tc>
          <w:tcPr>
            <w:tcW w:type="dxa" w:w="4392"/>
            <w:vAlign w:val="top"/>
            <w:tcMar>
              <w:top w:w="40" w:type="dxa"/>
              <w:left w:w="65" w:type="dxa"/>
              <w:bottom w:w="35" w:type="dxa"/>
              <w:right w:w="65" w:type="dxa"/>
            </w:tcMar>
          </w:tcPr>
          <w:p>
            <w:pPr>
              <w:pStyle w:val="TableText"/>
            </w:pPr>
            <w:r>
              <w:t>Schema/​lineage/​occurrence/​document IDs, revision and available_at, parent lineages/clauses, alignment reference, uncertainty and source hash.</w:t>
            </w:r>
          </w:p>
        </w:tc>
        <w:tc>
          <w:tcPr>
            <w:tcW w:type="dxa" w:w="3312"/>
            <w:vAlign w:val="top"/>
            <w:tcMar>
              <w:top w:w="40" w:type="dxa"/>
              <w:left w:w="65" w:type="dxa"/>
              <w:bottom w:w="35" w:type="dxa"/>
              <w:right w:w="65" w:type="dxa"/>
            </w:tcMar>
          </w:tcPr>
          <w:p>
            <w:pPr>
              <w:pStyle w:val="TableText"/>
            </w:pPr>
            <w:r>
              <w:t>Uncertain relationships do not manufacture parents.</w:t>
            </w:r>
          </w:p>
        </w:tc>
      </w:tr>
      <w:tr>
        <w:trPr>
          <w:cantSplit/>
        </w:trPr>
        <w:tc>
          <w:tcPr>
            <w:tcW w:type="dxa" w:w="1656"/>
            <w:vAlign w:val="top"/>
            <w:tcMar>
              <w:top w:w="40" w:type="dxa"/>
              <w:left w:w="65" w:type="dxa"/>
              <w:bottom w:w="35" w:type="dxa"/>
              <w:right w:w="65" w:type="dxa"/>
            </w:tcMar>
          </w:tcPr>
          <w:p>
            <w:pPr>
              <w:pStyle w:val="TableText"/>
            </w:pPr>
            <w:r>
              <w:t>Features</w:t>
            </w:r>
          </w:p>
        </w:tc>
        <w:tc>
          <w:tcPr>
            <w:tcW w:type="dxa" w:w="4392"/>
            <w:vAlign w:val="top"/>
            <w:tcMar>
              <w:top w:w="40" w:type="dxa"/>
              <w:left w:w="65" w:type="dxa"/>
              <w:bottom w:w="35" w:type="dxa"/>
              <w:right w:w="65" w:type="dxa"/>
            </w:tcMar>
          </w:tcPr>
          <w:p>
            <w:pPr>
              <w:pStyle w:val="TableText"/>
            </w:pPr>
            <w:r>
              <w:t>Schema/​family/​document/​clause IDs, MODEL_FEATURE role, available_at, observed edits, uncertainty/​completeness, age/count, distances, change flags and dependency IDs/hashes.</w:t>
            </w:r>
          </w:p>
        </w:tc>
        <w:tc>
          <w:tcPr>
            <w:tcW w:type="dxa" w:w="3312"/>
            <w:vAlign w:val="top"/>
            <w:tcMar>
              <w:top w:w="40" w:type="dxa"/>
              <w:left w:w="65" w:type="dxa"/>
              <w:bottom w:w="35" w:type="dxa"/>
              <w:right w:w="65" w:type="dxa"/>
            </w:tcMar>
          </w:tcPr>
          <w:p>
            <w:pPr>
              <w:pStyle w:val="TableText"/>
            </w:pPr>
            <w:r>
              <w:t>Draft prefixes only; identifiers are provenance fields, not unrestricted model predictors.</w:t>
            </w:r>
          </w:p>
        </w:tc>
      </w:tr>
      <w:tr>
        <w:trPr>
          <w:cantSplit/>
        </w:trPr>
        <w:tc>
          <w:tcPr>
            <w:tcW w:type="dxa" w:w="1656"/>
            <w:vAlign w:val="top"/>
            <w:tcMar>
              <w:top w:w="40" w:type="dxa"/>
              <w:left w:w="65" w:type="dxa"/>
              <w:bottom w:w="35" w:type="dxa"/>
              <w:right w:w="65" w:type="dxa"/>
            </w:tcMar>
          </w:tcPr>
          <w:p>
            <w:pPr>
              <w:pStyle w:val="TableText"/>
            </w:pPr>
            <w:r>
              <w:t>Review bundles</w:t>
            </w:r>
          </w:p>
        </w:tc>
        <w:tc>
          <w:tcPr>
            <w:tcW w:type="dxa" w:w="4392"/>
            <w:vAlign w:val="top"/>
            <w:tcMar>
              <w:top w:w="40" w:type="dxa"/>
              <w:left w:w="65" w:type="dxa"/>
              <w:bottom w:w="35" w:type="dxa"/>
              <w:right w:w="65" w:type="dxa"/>
            </w:tcMar>
          </w:tcPr>
          <w:p>
            <w:pPr>
              <w:pStyle w:val="TableText"/>
            </w:pPr>
            <w:r>
              <w:t>Alignment and complete endpoint clauses; reviewer, reviewed_relation and review_notes initially null; ANNOTATION_METADATA role and initially unknown availability.</w:t>
            </w:r>
          </w:p>
        </w:tc>
        <w:tc>
          <w:tcPr>
            <w:tcW w:type="dxa" w:w="3312"/>
            <w:vAlign w:val="top"/>
            <w:tcMar>
              <w:top w:w="40" w:type="dxa"/>
              <w:left w:w="65" w:type="dxa"/>
              <w:bottom w:w="35" w:type="dxa"/>
              <w:right w:w="65" w:type="dxa"/>
            </w:tcMar>
          </w:tcPr>
          <w:p>
            <w:pPr>
              <w:pStyle w:val="TableText"/>
            </w:pPr>
            <w:r>
              <w:t>Undated review material cannot pass the model-feature guard.</w:t>
            </w:r>
          </w:p>
        </w:tc>
      </w:tr>
      <w:tr>
        <w:trPr>
          <w:cantSplit/>
        </w:trPr>
        <w:tc>
          <w:tcPr>
            <w:tcW w:type="dxa" w:w="1656"/>
            <w:vAlign w:val="top"/>
            <w:tcMar>
              <w:top w:w="40" w:type="dxa"/>
              <w:left w:w="65" w:type="dxa"/>
              <w:bottom w:w="35" w:type="dxa"/>
              <w:right w:w="65" w:type="dxa"/>
            </w:tcMar>
          </w:tcPr>
          <w:p>
            <w:pPr>
              <w:pStyle w:val="TableText"/>
            </w:pPr>
            <w:r>
              <w:t>Window provenance</w:t>
            </w:r>
          </w:p>
        </w:tc>
        <w:tc>
          <w:tcPr>
            <w:tcW w:type="dxa" w:w="4392"/>
            <w:vAlign w:val="top"/>
            <w:tcMar>
              <w:top w:w="40" w:type="dxa"/>
              <w:left w:w="65" w:type="dxa"/>
              <w:bottom w:w="35" w:type="dxa"/>
              <w:right w:w="65" w:type="dxa"/>
            </w:tcMar>
          </w:tcPr>
          <w:p>
            <w:pPr>
              <w:pStyle w:val="TableText"/>
            </w:pPr>
            <w:r>
              <w:t>Document/clause IDs, text_index, token_​start/​token_​end, content_​token_​sha256 and encoded_tokens.</w:t>
            </w:r>
          </w:p>
        </w:tc>
        <w:tc>
          <w:tcPr>
            <w:tcW w:type="dxa" w:w="3312"/>
            <w:vAlign w:val="top"/>
            <w:tcMar>
              <w:top w:w="40" w:type="dxa"/>
              <w:left w:w="65" w:type="dxa"/>
              <w:bottom w:w="35" w:type="dxa"/>
              <w:right w:w="65" w:type="dxa"/>
            </w:tcMar>
          </w:tcPr>
          <w:p>
            <w:pPr>
              <w:pStyle w:val="TableText"/>
            </w:pPr>
            <w:r>
              <w:t>Half-open token intervals; overlap is expected; complete coverage is checked.</w:t>
            </w:r>
          </w:p>
        </w:tc>
      </w:tr>
      <w:tr>
        <w:trPr>
          <w:cantSplit/>
        </w:trPr>
        <w:tc>
          <w:tcPr>
            <w:tcW w:type="dxa" w:w="1656"/>
            <w:vAlign w:val="top"/>
            <w:tcMar>
              <w:top w:w="40" w:type="dxa"/>
              <w:left w:w="65" w:type="dxa"/>
              <w:bottom w:w="35" w:type="dxa"/>
              <w:right w:w="65" w:type="dxa"/>
            </w:tcMar>
          </w:tcPr>
          <w:p>
            <w:pPr>
              <w:pStyle w:val="TableText"/>
            </w:pPr>
            <w:r>
              <w:t>Failure record</w:t>
            </w:r>
          </w:p>
        </w:tc>
        <w:tc>
          <w:tcPr>
            <w:tcW w:type="dxa" w:w="4392"/>
            <w:vAlign w:val="top"/>
            <w:tcMar>
              <w:top w:w="40" w:type="dxa"/>
              <w:left w:w="65" w:type="dxa"/>
              <w:bottom w:w="35" w:type="dxa"/>
              <w:right w:w="65" w:type="dxa"/>
            </w:tcMar>
          </w:tcPr>
          <w:p>
            <w:pPr>
              <w:pStyle w:val="TableText"/>
            </w:pPr>
            <w:r>
              <w:t>Error type/message, stage, current document/pair, completed pairs, traceback/​configuration when available.</w:t>
            </w:r>
          </w:p>
        </w:tc>
        <w:tc>
          <w:tcPr>
            <w:tcW w:type="dxa" w:w="3312"/>
            <w:vAlign w:val="top"/>
            <w:tcMar>
              <w:top w:w="40" w:type="dxa"/>
              <w:left w:w="65" w:type="dxa"/>
              <w:bottom w:w="35" w:type="dxa"/>
              <w:right w:w="65" w:type="dxa"/>
            </w:tcMar>
          </w:tcPr>
          <w:p>
            <w:pPr>
              <w:pStyle w:val="TableText"/>
            </w:pPr>
            <w:r>
              <w:t>Externally stopped runs can have separately recorded stop evidence.</w:t>
            </w:r>
          </w:p>
        </w:tc>
      </w:tr>
      <w:tr>
        <w:trPr>
          <w:cantSplit/>
        </w:trPr>
        <w:tc>
          <w:tcPr>
            <w:tcW w:type="dxa" w:w="1656"/>
            <w:vAlign w:val="top"/>
            <w:tcMar>
              <w:top w:w="40" w:type="dxa"/>
              <w:left w:w="65" w:type="dxa"/>
              <w:bottom w:w="35" w:type="dxa"/>
              <w:right w:w="65" w:type="dxa"/>
            </w:tcMar>
          </w:tcPr>
          <w:p>
            <w:pPr>
              <w:pStyle w:val="TableText"/>
            </w:pPr>
            <w:r>
              <w:t>Manifest/report</w:t>
            </w:r>
          </w:p>
        </w:tc>
        <w:tc>
          <w:tcPr>
            <w:tcW w:type="dxa" w:w="4392"/>
            <w:vAlign w:val="top"/>
            <w:tcMar>
              <w:top w:w="40" w:type="dxa"/>
              <w:left w:w="65" w:type="dxa"/>
              <w:bottom w:w="35" w:type="dxa"/>
              <w:right w:w="65" w:type="dxa"/>
            </w:tcMar>
          </w:tcPr>
          <w:p>
            <w:pPr>
              <w:pStyle w:val="TableText"/>
            </w:pPr>
            <w:r>
              <w:t>Effective configuration, inputs, packages, code/artifact hashes, run status; counts, runtime, solver/window statistics and null gold metrics.</w:t>
            </w:r>
          </w:p>
        </w:tc>
        <w:tc>
          <w:tcPr>
            <w:tcW w:type="dxa" w:w="3312"/>
            <w:vAlign w:val="top"/>
            <w:tcMar>
              <w:top w:w="40" w:type="dxa"/>
              <w:left w:w="65" w:type="dxa"/>
              <w:bottom w:w="35" w:type="dxa"/>
              <w:right w:w="65" w:type="dxa"/>
            </w:tcMar>
          </w:tcPr>
          <w:p>
            <w:pPr>
              <w:pStyle w:val="TableText"/>
            </w:pPr>
            <w:r>
              <w:t>COMPLETE is execution status, not human accuracy certification.</w:t>
            </w:r>
          </w:p>
        </w:tc>
      </w:tr>
    </w:tbl>
    <w:p>
      <w:pPr>
        <w:spacing w:after="0"/>
      </w:pPr>
    </w:p>
    <w:p>
      <w:pPr/>
      <w:r>
        <w:t>Illustrative relationship excerpt (synthetic identifiers and placeholder scores; not a measured TLS example):</w:t>
      </w:r>
    </w:p>
    <w:p>
      <w:pPr>
        <w:pStyle w:val="Code"/>
      </w:pPr>
      <w:r>
        <w:t>{</w:t>
        <w:br/>
        <w:t xml:space="preserve">  "schema_version": "1.0",</w:t>
        <w:br/>
        <w:t xml:space="preserve">  "family_id": "draft-​ietf-​tls-​tls13",</w:t>
        <w:br/>
        <w:t xml:space="preserve">  "from_document_id": "draft-​ietf-​tls-​tls13-​00",</w:t>
        <w:br/>
        <w:t xml:space="preserve">  "to_document_id": "draft-​ietf-​tls-​tls13-​01",</w:t>
        <w:br/>
        <w:t xml:space="preserve">  "source_​clause_​ids": ["synthetic-​source-​A"],</w:t>
        <w:br/>
        <w:t xml:space="preserve">  "target_​clause_​ids": ["synthetic-​target-​B"],</w:t>
        <w:br/>
        <w:t xml:space="preserve">  "relation": "MODIFIED",</w:t>
        <w:br/>
        <w:t xml:space="preserve">  "confidence": "MEDIUM",</w:t>
        <w:br/>
        <w:t xml:space="preserve">  "calibrated_​probability": null,</w:t>
        <w:br/>
        <w:t xml:space="preserve">  "review_required": true,</w:t>
        <w:br/>
        <w:t xml:space="preserve">  "review_status": "NOT_REVIEWED"</w:t>
        <w:br/>
        <w:t>}</w:t>
      </w:r>
    </w:p>
    <w:p>
      <w:pPr/>
      <w:r>
        <w:t>This is a partial explanatory excerpt, not a standalone schema-valid Alignment object; the complete required fields appear above and in the existing schema. Real records are supplied in the retained run. Reviewer corrections should add a separate annotation record with original record ID, corrected endpoints/relation, reviewer, date and rationale; automatic correction application is pending.</w:t>
      </w:r>
    </w:p>
    <w:p>
      <w:pPr>
        <w:pStyle w:val="Heading2"/>
      </w:pPr>
      <w:r>
        <w:t>Appendix F: Relationship cardinality rules</w:t>
      </w:r>
    </w:p>
    <w:p>
      <w:pPr>
        <w:pStyle w:val="Caption"/>
        <w:keepNext/>
      </w:pPr>
      <w:r>
        <w:t>Endpoint cardinality and interpretation enforced by the Alignment contract.</w:t>
      </w:r>
    </w:p>
    <w:tbl>
      <w:tblPr>
        <w:tblStyle w:val="TableGrid"/>
        <w:tblW w:type="auto" w:w="0"/>
        <w:jc w:val="center"/>
        <w:tblLayout w:type="fixed"/>
        <w:tblLook w:firstColumn="1" w:firstRow="1" w:lastColumn="0" w:lastRow="0" w:noHBand="0" w:noVBand="1" w:val="04A0"/>
      </w:tblPr>
      <w:tblGrid>
        <w:gridCol w:w="2952"/>
        <w:gridCol w:w="2016"/>
        <w:gridCol w:w="4392"/>
      </w:tblGrid>
      <w:tr>
        <w:trPr>
          <w:tblHeader w:val="true"/>
          <w:cantSplit/>
        </w:trPr>
        <w:tc>
          <w:tcPr>
            <w:tcW w:type="dxa" w:w="2952"/>
            <w:vAlign w:val="top"/>
            <w:tcMar>
              <w:top w:w="40" w:type="dxa"/>
              <w:left w:w="65" w:type="dxa"/>
              <w:bottom w:w="35" w:type="dxa"/>
              <w:right w:w="65" w:type="dxa"/>
            </w:tcMar>
          </w:tcPr>
          <w:p>
            <w:pPr>
              <w:pStyle w:val="TableHeader"/>
            </w:pPr>
            <w:r>
              <w:t>Relation</w:t>
            </w:r>
          </w:p>
        </w:tc>
        <w:tc>
          <w:tcPr>
            <w:tcW w:type="dxa" w:w="2016"/>
            <w:vAlign w:val="top"/>
            <w:tcMar>
              <w:top w:w="40" w:type="dxa"/>
              <w:left w:w="65" w:type="dxa"/>
              <w:bottom w:w="35" w:type="dxa"/>
              <w:right w:w="65" w:type="dxa"/>
            </w:tcMar>
          </w:tcPr>
          <w:p>
            <w:pPr>
              <w:pStyle w:val="TableHeader"/>
            </w:pPr>
            <w:r>
              <w:t>Source : target</w:t>
            </w:r>
          </w:p>
        </w:tc>
        <w:tc>
          <w:tcPr>
            <w:tcW w:type="dxa" w:w="4392"/>
            <w:vAlign w:val="top"/>
            <w:tcMar>
              <w:top w:w="40" w:type="dxa"/>
              <w:left w:w="65" w:type="dxa"/>
              <w:bottom w:w="35" w:type="dxa"/>
              <w:right w:w="65" w:type="dxa"/>
            </w:tcMar>
          </w:tcPr>
          <w:p>
            <w:pPr>
              <w:pStyle w:val="TableHeader"/>
            </w:pPr>
            <w:r>
              <w:t>Meaning</w:t>
            </w:r>
          </w:p>
        </w:tc>
      </w:tr>
      <w:tr>
        <w:trPr>
          <w:cantSplit/>
        </w:trPr>
        <w:tc>
          <w:tcPr>
            <w:tcW w:type="dxa" w:w="2952"/>
            <w:vAlign w:val="top"/>
            <w:tcMar>
              <w:top w:w="40" w:type="dxa"/>
              <w:left w:w="65" w:type="dxa"/>
              <w:bottom w:w="35" w:type="dxa"/>
              <w:right w:w="65" w:type="dxa"/>
            </w:tcMar>
          </w:tcPr>
          <w:p>
            <w:pPr>
              <w:pStyle w:val="TableText"/>
            </w:pPr>
            <w:r>
              <w:t>UNCHANGED</w:t>
            </w:r>
          </w:p>
        </w:tc>
        <w:tc>
          <w:tcPr>
            <w:tcW w:type="dxa" w:w="2016"/>
            <w:vAlign w:val="top"/>
            <w:tcMar>
              <w:top w:w="40" w:type="dxa"/>
              <w:left w:w="65" w:type="dxa"/>
              <w:bottom w:w="35" w:type="dxa"/>
              <w:right w:w="65" w:type="dxa"/>
            </w:tcMar>
          </w:tcPr>
          <w:p>
            <w:pPr>
              <w:pStyle w:val="TableText"/>
            </w:pPr>
            <w:r>
              <w:t>1 : 1</w:t>
            </w:r>
          </w:p>
        </w:tc>
        <w:tc>
          <w:tcPr>
            <w:tcW w:type="dxa" w:w="4392"/>
            <w:vAlign w:val="top"/>
            <w:tcMar>
              <w:top w:w="40" w:type="dxa"/>
              <w:left w:w="65" w:type="dxa"/>
              <w:bottom w:w="35" w:type="dxa"/>
              <w:right w:w="65" w:type="dxa"/>
            </w:tcMar>
          </w:tcPr>
          <w:p>
            <w:pPr>
              <w:pStyle w:val="TableText"/>
            </w:pPr>
            <w:r>
              <w:t>Effectively unchanged correspondence after conservative normalization.</w:t>
            </w:r>
          </w:p>
        </w:tc>
      </w:tr>
      <w:tr>
        <w:trPr>
          <w:cantSplit/>
        </w:trPr>
        <w:tc>
          <w:tcPr>
            <w:tcW w:type="dxa" w:w="2952"/>
            <w:vAlign w:val="top"/>
            <w:tcMar>
              <w:top w:w="40" w:type="dxa"/>
              <w:left w:w="65" w:type="dxa"/>
              <w:bottom w:w="35" w:type="dxa"/>
              <w:right w:w="65" w:type="dxa"/>
            </w:tcMar>
          </w:tcPr>
          <w:p>
            <w:pPr>
              <w:pStyle w:val="TableText"/>
            </w:pPr>
            <w:r>
              <w:t>MODIFIED</w:t>
            </w:r>
          </w:p>
        </w:tc>
        <w:tc>
          <w:tcPr>
            <w:tcW w:type="dxa" w:w="2016"/>
            <w:vAlign w:val="top"/>
            <w:tcMar>
              <w:top w:w="40" w:type="dxa"/>
              <w:left w:w="65" w:type="dxa"/>
              <w:bottom w:w="35" w:type="dxa"/>
              <w:right w:w="65" w:type="dxa"/>
            </w:tcMar>
          </w:tcPr>
          <w:p>
            <w:pPr>
              <w:pStyle w:val="TableText"/>
            </w:pPr>
            <w:r>
              <w:t>1 : 1</w:t>
            </w:r>
          </w:p>
        </w:tc>
        <w:tc>
          <w:tcPr>
            <w:tcW w:type="dxa" w:w="4392"/>
            <w:vAlign w:val="top"/>
            <w:tcMar>
              <w:top w:w="40" w:type="dxa"/>
              <w:left w:w="65" w:type="dxa"/>
              <w:bottom w:w="35" w:type="dxa"/>
              <w:right w:w="65" w:type="dxa"/>
            </w:tcMar>
          </w:tcPr>
          <w:p>
            <w:pPr>
              <w:pStyle w:val="TableText"/>
            </w:pPr>
            <w:r>
              <w:t>Corresponding revised text.</w:t>
            </w:r>
          </w:p>
        </w:tc>
      </w:tr>
      <w:tr>
        <w:trPr>
          <w:cantSplit/>
        </w:trPr>
        <w:tc>
          <w:tcPr>
            <w:tcW w:type="dxa" w:w="2952"/>
            <w:vAlign w:val="top"/>
            <w:tcMar>
              <w:top w:w="40" w:type="dxa"/>
              <w:left w:w="65" w:type="dxa"/>
              <w:bottom w:w="35" w:type="dxa"/>
              <w:right w:w="65" w:type="dxa"/>
            </w:tcMar>
          </w:tcPr>
          <w:p>
            <w:pPr>
              <w:pStyle w:val="TableText"/>
            </w:pPr>
            <w:r>
              <w:t>INSERTED</w:t>
            </w:r>
          </w:p>
        </w:tc>
        <w:tc>
          <w:tcPr>
            <w:tcW w:type="dxa" w:w="2016"/>
            <w:vAlign w:val="top"/>
            <w:tcMar>
              <w:top w:w="40" w:type="dxa"/>
              <w:left w:w="65" w:type="dxa"/>
              <w:bottom w:w="35" w:type="dxa"/>
              <w:right w:w="65" w:type="dxa"/>
            </w:tcMar>
          </w:tcPr>
          <w:p>
            <w:pPr>
              <w:pStyle w:val="TableText"/>
            </w:pPr>
            <w:r>
              <w:t>0 : 1</w:t>
            </w:r>
          </w:p>
        </w:tc>
        <w:tc>
          <w:tcPr>
            <w:tcW w:type="dxa" w:w="4392"/>
            <w:vAlign w:val="top"/>
            <w:tcMar>
              <w:top w:w="40" w:type="dxa"/>
              <w:left w:w="65" w:type="dxa"/>
              <w:bottom w:w="35" w:type="dxa"/>
              <w:right w:w="65" w:type="dxa"/>
            </w:tcMar>
          </w:tcPr>
          <w:p>
            <w:pPr>
              <w:pStyle w:val="TableText"/>
            </w:pPr>
            <w:r>
              <w:t>Target occurrence without accepted correspondence.</w:t>
            </w:r>
          </w:p>
        </w:tc>
      </w:tr>
      <w:tr>
        <w:trPr>
          <w:cantSplit/>
        </w:trPr>
        <w:tc>
          <w:tcPr>
            <w:tcW w:type="dxa" w:w="2952"/>
            <w:vAlign w:val="top"/>
            <w:tcMar>
              <w:top w:w="40" w:type="dxa"/>
              <w:left w:w="65" w:type="dxa"/>
              <w:bottom w:w="35" w:type="dxa"/>
              <w:right w:w="65" w:type="dxa"/>
            </w:tcMar>
          </w:tcPr>
          <w:p>
            <w:pPr>
              <w:pStyle w:val="TableText"/>
            </w:pPr>
            <w:r>
              <w:t>DELETED</w:t>
            </w:r>
          </w:p>
        </w:tc>
        <w:tc>
          <w:tcPr>
            <w:tcW w:type="dxa" w:w="2016"/>
            <w:vAlign w:val="top"/>
            <w:tcMar>
              <w:top w:w="40" w:type="dxa"/>
              <w:left w:w="65" w:type="dxa"/>
              <w:bottom w:w="35" w:type="dxa"/>
              <w:right w:w="65" w:type="dxa"/>
            </w:tcMar>
          </w:tcPr>
          <w:p>
            <w:pPr>
              <w:pStyle w:val="TableText"/>
            </w:pPr>
            <w:r>
              <w:t>1 : 0</w:t>
            </w:r>
          </w:p>
        </w:tc>
        <w:tc>
          <w:tcPr>
            <w:tcW w:type="dxa" w:w="4392"/>
            <w:vAlign w:val="top"/>
            <w:tcMar>
              <w:top w:w="40" w:type="dxa"/>
              <w:left w:w="65" w:type="dxa"/>
              <w:bottom w:w="35" w:type="dxa"/>
              <w:right w:w="65" w:type="dxa"/>
            </w:tcMar>
          </w:tcPr>
          <w:p>
            <w:pPr>
              <w:pStyle w:val="TableText"/>
            </w:pPr>
            <w:r>
              <w:t>Source occurrence without accepted correspondence.</w:t>
            </w:r>
          </w:p>
        </w:tc>
      </w:tr>
      <w:tr>
        <w:trPr>
          <w:cantSplit/>
        </w:trPr>
        <w:tc>
          <w:tcPr>
            <w:tcW w:type="dxa" w:w="2952"/>
            <w:vAlign w:val="top"/>
            <w:tcMar>
              <w:top w:w="40" w:type="dxa"/>
              <w:left w:w="65" w:type="dxa"/>
              <w:bottom w:w="35" w:type="dxa"/>
              <w:right w:w="65" w:type="dxa"/>
            </w:tcMar>
          </w:tcPr>
          <w:p>
            <w:pPr>
              <w:pStyle w:val="TableText"/>
            </w:pPr>
            <w:r>
              <w:t>SPLIT</w:t>
            </w:r>
          </w:p>
        </w:tc>
        <w:tc>
          <w:tcPr>
            <w:tcW w:type="dxa" w:w="2016"/>
            <w:vAlign w:val="top"/>
            <w:tcMar>
              <w:top w:w="40" w:type="dxa"/>
              <w:left w:w="65" w:type="dxa"/>
              <w:bottom w:w="35" w:type="dxa"/>
              <w:right w:w="65" w:type="dxa"/>
            </w:tcMar>
          </w:tcPr>
          <w:p>
            <w:pPr>
              <w:pStyle w:val="TableText"/>
            </w:pPr>
            <w:r>
              <w:t>1 : at least 2</w:t>
            </w:r>
          </w:p>
        </w:tc>
        <w:tc>
          <w:tcPr>
            <w:tcW w:type="dxa" w:w="4392"/>
            <w:vAlign w:val="top"/>
            <w:tcMar>
              <w:top w:w="40" w:type="dxa"/>
              <w:left w:w="65" w:type="dxa"/>
              <w:bottom w:w="35" w:type="dxa"/>
              <w:right w:w="65" w:type="dxa"/>
            </w:tcMar>
          </w:tcPr>
          <w:p>
            <w:pPr>
              <w:pStyle w:val="TableText"/>
            </w:pPr>
            <w:r>
              <w:t>One occurrence corresponds to multiple adjacent target occurrences.</w:t>
            </w:r>
          </w:p>
        </w:tc>
      </w:tr>
      <w:tr>
        <w:trPr>
          <w:cantSplit/>
        </w:trPr>
        <w:tc>
          <w:tcPr>
            <w:tcW w:type="dxa" w:w="2952"/>
            <w:vAlign w:val="top"/>
            <w:tcMar>
              <w:top w:w="40" w:type="dxa"/>
              <w:left w:w="65" w:type="dxa"/>
              <w:bottom w:w="35" w:type="dxa"/>
              <w:right w:w="65" w:type="dxa"/>
            </w:tcMar>
          </w:tcPr>
          <w:p>
            <w:pPr>
              <w:pStyle w:val="TableText"/>
            </w:pPr>
            <w:r>
              <w:t>MERGED</w:t>
            </w:r>
          </w:p>
        </w:tc>
        <w:tc>
          <w:tcPr>
            <w:tcW w:type="dxa" w:w="2016"/>
            <w:vAlign w:val="top"/>
            <w:tcMar>
              <w:top w:w="40" w:type="dxa"/>
              <w:left w:w="65" w:type="dxa"/>
              <w:bottom w:w="35" w:type="dxa"/>
              <w:right w:w="65" w:type="dxa"/>
            </w:tcMar>
          </w:tcPr>
          <w:p>
            <w:pPr>
              <w:pStyle w:val="TableText"/>
            </w:pPr>
            <w:r>
              <w:t>at least 2 : 1</w:t>
            </w:r>
          </w:p>
        </w:tc>
        <w:tc>
          <w:tcPr>
            <w:tcW w:type="dxa" w:w="4392"/>
            <w:vAlign w:val="top"/>
            <w:tcMar>
              <w:top w:w="40" w:type="dxa"/>
              <w:left w:w="65" w:type="dxa"/>
              <w:bottom w:w="35" w:type="dxa"/>
              <w:right w:w="65" w:type="dxa"/>
            </w:tcMar>
          </w:tcPr>
          <w:p>
            <w:pPr>
              <w:pStyle w:val="TableText"/>
            </w:pPr>
            <w:r>
              <w:t>Adjacent source occurrences correspond to one target.</w:t>
            </w:r>
          </w:p>
        </w:tc>
      </w:tr>
      <w:tr>
        <w:trPr>
          <w:cantSplit/>
        </w:trPr>
        <w:tc>
          <w:tcPr>
            <w:tcW w:type="dxa" w:w="2952"/>
            <w:vAlign w:val="top"/>
            <w:tcMar>
              <w:top w:w="40" w:type="dxa"/>
              <w:left w:w="65" w:type="dxa"/>
              <w:bottom w:w="35" w:type="dxa"/>
              <w:right w:w="65" w:type="dxa"/>
            </w:tcMar>
          </w:tcPr>
          <w:p>
            <w:pPr>
              <w:pStyle w:val="TableText"/>
            </w:pPr>
            <w:r>
              <w:t>MOVED</w:t>
            </w:r>
          </w:p>
        </w:tc>
        <w:tc>
          <w:tcPr>
            <w:tcW w:type="dxa" w:w="2016"/>
            <w:vAlign w:val="top"/>
            <w:tcMar>
              <w:top w:w="40" w:type="dxa"/>
              <w:left w:w="65" w:type="dxa"/>
              <w:bottom w:w="35" w:type="dxa"/>
              <w:right w:w="65" w:type="dxa"/>
            </w:tcMar>
          </w:tcPr>
          <w:p>
            <w:pPr>
              <w:pStyle w:val="TableText"/>
            </w:pPr>
            <w:r>
              <w:t>1 : 1</w:t>
            </w:r>
          </w:p>
        </w:tc>
        <w:tc>
          <w:tcPr>
            <w:tcW w:type="dxa" w:w="4392"/>
            <w:vAlign w:val="top"/>
            <w:tcMar>
              <w:top w:w="40" w:type="dxa"/>
              <w:left w:w="65" w:type="dxa"/>
              <w:bottom w:w="35" w:type="dxa"/>
              <w:right w:w="65" w:type="dxa"/>
            </w:tcMar>
          </w:tcPr>
          <w:p>
            <w:pPr>
              <w:pStyle w:val="TableText"/>
            </w:pPr>
            <w:r>
              <w:t>Correspondence with structural movement evidence.</w:t>
            </w:r>
          </w:p>
        </w:tc>
      </w:tr>
      <w:tr>
        <w:trPr>
          <w:cantSplit/>
        </w:trPr>
        <w:tc>
          <w:tcPr>
            <w:tcW w:type="dxa" w:w="2952"/>
            <w:vAlign w:val="top"/>
            <w:tcMar>
              <w:top w:w="40" w:type="dxa"/>
              <w:left w:w="65" w:type="dxa"/>
              <w:bottom w:w="35" w:type="dxa"/>
              <w:right w:w="65" w:type="dxa"/>
            </w:tcMar>
          </w:tcPr>
          <w:p>
            <w:pPr>
              <w:pStyle w:val="TableText"/>
            </w:pPr>
            <w:r>
              <w:t>UNCERTAIN</w:t>
            </w:r>
          </w:p>
        </w:tc>
        <w:tc>
          <w:tcPr>
            <w:tcW w:type="dxa" w:w="2016"/>
            <w:vAlign w:val="top"/>
            <w:tcMar>
              <w:top w:w="40" w:type="dxa"/>
              <w:left w:w="65" w:type="dxa"/>
              <w:bottom w:w="35" w:type="dxa"/>
              <w:right w:w="65" w:type="dxa"/>
            </w:tcMar>
          </w:tcPr>
          <w:p>
            <w:pPr>
              <w:pStyle w:val="TableText"/>
            </w:pPr>
            <w:r>
              <w:t>Any nonempty union of endpoints</w:t>
            </w:r>
          </w:p>
        </w:tc>
        <w:tc>
          <w:tcPr>
            <w:tcW w:type="dxa" w:w="4392"/>
            <w:vAlign w:val="top"/>
            <w:tcMar>
              <w:top w:w="40" w:type="dxa"/>
              <w:left w:w="65" w:type="dxa"/>
              <w:bottom w:w="35" w:type="dxa"/>
              <w:right w:w="65" w:type="dxa"/>
            </w:tcMar>
          </w:tcPr>
          <w:p>
            <w:pPr>
              <w:pStyle w:val="TableText"/>
            </w:pPr>
            <w:r>
              <w:t>Unresolved disposition; does not assert the endpoint Cartesian product.</w:t>
            </w:r>
          </w:p>
        </w:tc>
      </w:tr>
    </w:tbl>
    <w:p>
      <w:pPr>
        <w:spacing w:after="0"/>
      </w:pPr>
    </w:p>
    <w:p>
      <w:pPr/>
      <w:r>
        <w:t>The schema permits larger split/merge cardinalities; candidate generation is bounded by max_group (three in the run). Movement and text change are separate metadata, so a moved split remains SPLIT. Alternatives may refer to occurrences selected elsewhere; they are not additional accepted relationships. Complete endpoint accounting is checked at the pair level.</w:t>
      </w:r>
    </w:p>
    <w:p>
      <w:pPr>
        <w:pStyle w:val="Heading2"/>
      </w:pPr>
      <w:r>
        <w:t>Appendix G: Evidence-role and temporal rules</w:t>
      </w:r>
    </w:p>
    <w:p>
      <w:pPr>
        <w:pStyle w:val="Caption"/>
        <w:keepNext/>
      </w:pPr>
      <w:r>
        <w:t>Role-based admission for prediction and annotation.</w:t>
      </w:r>
    </w:p>
    <w:tbl>
      <w:tblPr>
        <w:tblStyle w:val="TableGrid"/>
        <w:tblW w:type="auto" w:w="0"/>
        <w:jc w:val="center"/>
        <w:tblLayout w:type="fixed"/>
        <w:tblLook w:firstColumn="1" w:firstRow="1" w:lastColumn="0" w:lastRow="0" w:noHBand="0" w:noVBand="1" w:val="04A0"/>
      </w:tblPr>
      <w:tblGrid>
        <w:gridCol w:w="2952"/>
        <w:gridCol w:w="2016"/>
        <w:gridCol w:w="4392"/>
      </w:tblGrid>
      <w:tr>
        <w:trPr>
          <w:tblHeader w:val="true"/>
          <w:cantSplit/>
        </w:trPr>
        <w:tc>
          <w:tcPr>
            <w:tcW w:type="dxa" w:w="2952"/>
            <w:vAlign w:val="top"/>
            <w:tcMar>
              <w:top w:w="40" w:type="dxa"/>
              <w:left w:w="65" w:type="dxa"/>
              <w:bottom w:w="35" w:type="dxa"/>
              <w:right w:w="65" w:type="dxa"/>
            </w:tcMar>
          </w:tcPr>
          <w:p>
            <w:pPr>
              <w:pStyle w:val="TableHeader"/>
            </w:pPr>
            <w:r>
              <w:t>Evidence role / condition</w:t>
            </w:r>
          </w:p>
        </w:tc>
        <w:tc>
          <w:tcPr>
            <w:tcW w:type="dxa" w:w="2016"/>
            <w:vAlign w:val="top"/>
            <w:tcMar>
              <w:top w:w="40" w:type="dxa"/>
              <w:left w:w="65" w:type="dxa"/>
              <w:bottom w:w="35" w:type="dxa"/>
              <w:right w:w="65" w:type="dxa"/>
            </w:tcMar>
          </w:tcPr>
          <w:p>
            <w:pPr>
              <w:pStyle w:val="TableHeader"/>
            </w:pPr>
            <w:r>
              <w:t>Feature admission</w:t>
            </w:r>
          </w:p>
        </w:tc>
        <w:tc>
          <w:tcPr>
            <w:tcW w:type="dxa" w:w="4392"/>
            <w:vAlign w:val="top"/>
            <w:tcMar>
              <w:top w:w="40" w:type="dxa"/>
              <w:left w:w="65" w:type="dxa"/>
              <w:bottom w:w="35" w:type="dxa"/>
              <w:right w:w="65" w:type="dxa"/>
            </w:tcMar>
          </w:tcPr>
          <w:p>
            <w:pPr>
              <w:pStyle w:val="TableHeader"/>
            </w:pPr>
            <w:r>
              <w:t>Required handling</w:t>
            </w:r>
          </w:p>
        </w:tc>
      </w:tr>
      <w:tr>
        <w:trPr>
          <w:cantSplit/>
        </w:trPr>
        <w:tc>
          <w:tcPr>
            <w:tcW w:type="dxa" w:w="2952"/>
            <w:vAlign w:val="top"/>
            <w:tcMar>
              <w:top w:w="40" w:type="dxa"/>
              <w:left w:w="65" w:type="dxa"/>
              <w:bottom w:w="35" w:type="dxa"/>
              <w:right w:w="65" w:type="dxa"/>
            </w:tcMar>
          </w:tcPr>
          <w:p>
            <w:pPr>
              <w:pStyle w:val="TableText"/>
            </w:pPr>
            <w:r>
              <w:t>MODEL_FEATURE with known date before target</w:t>
            </w:r>
          </w:p>
        </w:tc>
        <w:tc>
          <w:tcPr>
            <w:tcW w:type="dxa" w:w="2016"/>
            <w:vAlign w:val="top"/>
            <w:tcMar>
              <w:top w:w="40" w:type="dxa"/>
              <w:left w:w="65" w:type="dxa"/>
              <w:bottom w:w="35" w:type="dxa"/>
              <w:right w:w="65" w:type="dxa"/>
            </w:tcMar>
          </w:tcPr>
          <w:p>
            <w:pPr>
              <w:pStyle w:val="TableText"/>
            </w:pPr>
            <w:r>
              <w:t>Admissible if dependencies also pass</w:t>
            </w:r>
          </w:p>
        </w:tc>
        <w:tc>
          <w:tcPr>
            <w:tcW w:type="dxa" w:w="4392"/>
            <w:vAlign w:val="top"/>
            <w:tcMar>
              <w:top w:w="40" w:type="dxa"/>
              <w:left w:w="65" w:type="dxa"/>
              <w:bottom w:w="35" w:type="dxa"/>
              <w:right w:w="65" w:type="dxa"/>
            </w:tcMar>
          </w:tcPr>
          <w:p>
            <w:pPr>
              <w:pStyle w:val="TableText"/>
            </w:pPr>
            <w:r>
              <w:t>Retain evidence/document IDs and available_at.</w:t>
            </w:r>
          </w:p>
        </w:tc>
      </w:tr>
      <w:tr>
        <w:trPr>
          <w:cantSplit/>
        </w:trPr>
        <w:tc>
          <w:tcPr>
            <w:tcW w:type="dxa" w:w="2952"/>
            <w:vAlign w:val="top"/>
            <w:tcMar>
              <w:top w:w="40" w:type="dxa"/>
              <w:left w:w="65" w:type="dxa"/>
              <w:bottom w:w="35" w:type="dxa"/>
              <w:right w:w="65" w:type="dxa"/>
            </w:tcMar>
          </w:tcPr>
          <w:p>
            <w:pPr>
              <w:pStyle w:val="TableText"/>
            </w:pPr>
            <w:r>
              <w:t>Target document itself</w:t>
            </w:r>
          </w:p>
        </w:tc>
        <w:tc>
          <w:tcPr>
            <w:tcW w:type="dxa" w:w="2016"/>
            <w:vAlign w:val="top"/>
            <w:tcMar>
              <w:top w:w="40" w:type="dxa"/>
              <w:left w:w="65" w:type="dxa"/>
              <w:bottom w:w="35" w:type="dxa"/>
              <w:right w:w="65" w:type="dxa"/>
            </w:tcMar>
          </w:tcPr>
          <w:p>
            <w:pPr>
              <w:pStyle w:val="TableText"/>
            </w:pPr>
            <w:r>
              <w:t>Admissible at its date</w:t>
            </w:r>
          </w:p>
        </w:tc>
        <w:tc>
          <w:tcPr>
            <w:tcW w:type="dxa" w:w="4392"/>
            <w:vAlign w:val="top"/>
            <w:tcMar>
              <w:top w:w="40" w:type="dxa"/>
              <w:left w:w="65" w:type="dxa"/>
              <w:bottom w:w="35" w:type="dxa"/>
              <w:right w:w="65" w:type="dxa"/>
            </w:tcMar>
          </w:tcPr>
          <w:p>
            <w:pPr>
              <w:pStyle w:val="TableText"/>
            </w:pPr>
            <w:r>
              <w:t>Use the target occurrence and validated metadata.</w:t>
            </w:r>
          </w:p>
        </w:tc>
      </w:tr>
      <w:tr>
        <w:trPr>
          <w:cantSplit/>
        </w:trPr>
        <w:tc>
          <w:tcPr>
            <w:tcW w:type="dxa" w:w="2952"/>
            <w:vAlign w:val="top"/>
            <w:tcMar>
              <w:top w:w="40" w:type="dxa"/>
              <w:left w:w="65" w:type="dxa"/>
              <w:bottom w:w="35" w:type="dxa"/>
              <w:right w:w="65" w:type="dxa"/>
            </w:tcMar>
          </w:tcPr>
          <w:p>
            <w:pPr>
              <w:pStyle w:val="TableText"/>
            </w:pPr>
            <w:r>
              <w:t>Same-day numerical predecessor, same family</w:t>
            </w:r>
          </w:p>
        </w:tc>
        <w:tc>
          <w:tcPr>
            <w:tcW w:type="dxa" w:w="2016"/>
            <w:vAlign w:val="top"/>
            <w:tcMar>
              <w:top w:w="40" w:type="dxa"/>
              <w:left w:w="65" w:type="dxa"/>
              <w:bottom w:w="35" w:type="dxa"/>
              <w:right w:w="65" w:type="dxa"/>
            </w:tcMar>
          </w:tcPr>
          <w:p>
            <w:pPr>
              <w:pStyle w:val="TableText"/>
            </w:pPr>
            <w:r>
              <w:t>Admissible under the validated predecessor policy</w:t>
            </w:r>
          </w:p>
        </w:tc>
        <w:tc>
          <w:tcPr>
            <w:tcW w:type="dxa" w:w="4392"/>
            <w:vAlign w:val="top"/>
            <w:tcMar>
              <w:top w:w="40" w:type="dxa"/>
              <w:left w:w="65" w:type="dxa"/>
              <w:bottom w:w="35" w:type="dxa"/>
              <w:right w:w="65" w:type="dxa"/>
            </w:tcMar>
          </w:tcPr>
          <w:p>
            <w:pPr>
              <w:pStyle w:val="TableText"/>
            </w:pPr>
            <w:r>
              <w:t>No invented timestamps; later numerical revisions remain excluded.</w:t>
            </w:r>
          </w:p>
        </w:tc>
      </w:tr>
      <w:tr>
        <w:trPr>
          <w:cantSplit/>
        </w:trPr>
        <w:tc>
          <w:tcPr>
            <w:tcW w:type="dxa" w:w="2952"/>
            <w:vAlign w:val="top"/>
            <w:tcMar>
              <w:top w:w="40" w:type="dxa"/>
              <w:left w:w="65" w:type="dxa"/>
              <w:bottom w:w="35" w:type="dxa"/>
              <w:right w:w="65" w:type="dxa"/>
            </w:tcMar>
          </w:tcPr>
          <w:p>
            <w:pPr>
              <w:pStyle w:val="TableText"/>
            </w:pPr>
            <w:r>
              <w:t>Same-day external evidence, ordering unknown</w:t>
            </w:r>
          </w:p>
        </w:tc>
        <w:tc>
          <w:tcPr>
            <w:tcW w:type="dxa" w:w="2016"/>
            <w:vAlign w:val="top"/>
            <w:tcMar>
              <w:top w:w="40" w:type="dxa"/>
              <w:left w:w="65" w:type="dxa"/>
              <w:bottom w:w="35" w:type="dxa"/>
              <w:right w:w="65" w:type="dxa"/>
            </w:tcMar>
          </w:tcPr>
          <w:p>
            <w:pPr>
              <w:pStyle w:val="TableText"/>
            </w:pPr>
            <w:r>
              <w:t>Rejected</w:t>
            </w:r>
          </w:p>
        </w:tc>
        <w:tc>
          <w:tcPr>
            <w:tcW w:type="dxa" w:w="4392"/>
            <w:vAlign w:val="top"/>
            <w:tcMar>
              <w:top w:w="40" w:type="dxa"/>
              <w:left w:w="65" w:type="dxa"/>
              <w:bottom w:w="35" w:type="dxa"/>
              <w:right w:w="65" w:type="dxa"/>
            </w:tcMar>
          </w:tcPr>
          <w:p>
            <w:pPr>
              <w:pStyle w:val="TableText"/>
            </w:pPr>
            <w:r>
              <w:t>Obtain precise ordering or reserve for label support.</w:t>
            </w:r>
          </w:p>
        </w:tc>
      </w:tr>
      <w:tr>
        <w:trPr>
          <w:cantSplit/>
        </w:trPr>
        <w:tc>
          <w:tcPr>
            <w:tcW w:type="dxa" w:w="2952"/>
            <w:vAlign w:val="top"/>
            <w:tcMar>
              <w:top w:w="40" w:type="dxa"/>
              <w:left w:w="65" w:type="dxa"/>
              <w:bottom w:w="35" w:type="dxa"/>
              <w:right w:w="65" w:type="dxa"/>
            </w:tcMar>
          </w:tcPr>
          <w:p>
            <w:pPr>
              <w:pStyle w:val="TableText"/>
            </w:pPr>
            <w:r>
              <w:t>Future or undated evidence</w:t>
            </w:r>
          </w:p>
        </w:tc>
        <w:tc>
          <w:tcPr>
            <w:tcW w:type="dxa" w:w="2016"/>
            <w:vAlign w:val="top"/>
            <w:tcMar>
              <w:top w:w="40" w:type="dxa"/>
              <w:left w:w="65" w:type="dxa"/>
              <w:bottom w:w="35" w:type="dxa"/>
              <w:right w:w="65" w:type="dxa"/>
            </w:tcMar>
          </w:tcPr>
          <w:p>
            <w:pPr>
              <w:pStyle w:val="TableText"/>
            </w:pPr>
            <w:r>
              <w:t>Rejected</w:t>
            </w:r>
          </w:p>
        </w:tc>
        <w:tc>
          <w:tcPr>
            <w:tcW w:type="dxa" w:w="4392"/>
            <w:vAlign w:val="top"/>
            <w:tcMar>
              <w:top w:w="40" w:type="dxa"/>
              <w:left w:w="65" w:type="dxa"/>
              <w:bottom w:w="35" w:type="dxa"/>
              <w:right w:w="65" w:type="dxa"/>
            </w:tcMar>
          </w:tcPr>
          <w:p>
            <w:pPr>
              <w:pStyle w:val="TableText"/>
            </w:pPr>
            <w:r>
              <w:t>Unknown availability is not assumed safe.</w:t>
            </w:r>
          </w:p>
        </w:tc>
      </w:tr>
      <w:tr>
        <w:trPr>
          <w:cantSplit/>
        </w:trPr>
        <w:tc>
          <w:tcPr>
            <w:tcW w:type="dxa" w:w="2952"/>
            <w:vAlign w:val="top"/>
            <w:tcMar>
              <w:top w:w="40" w:type="dxa"/>
              <w:left w:w="65" w:type="dxa"/>
              <w:bottom w:w="35" w:type="dxa"/>
              <w:right w:w="65" w:type="dxa"/>
            </w:tcMar>
          </w:tcPr>
          <w:p>
            <w:pPr>
              <w:pStyle w:val="TableText"/>
            </w:pPr>
            <w:r>
              <w:t>LABEL_SUPPORT</w:t>
            </w:r>
          </w:p>
        </w:tc>
        <w:tc>
          <w:tcPr>
            <w:tcW w:type="dxa" w:w="2016"/>
            <w:vAlign w:val="top"/>
            <w:tcMar>
              <w:top w:w="40" w:type="dxa"/>
              <w:left w:w="65" w:type="dxa"/>
              <w:bottom w:w="35" w:type="dxa"/>
              <w:right w:w="65" w:type="dxa"/>
            </w:tcMar>
          </w:tcPr>
          <w:p>
            <w:pPr>
              <w:pStyle w:val="TableText"/>
            </w:pPr>
            <w:r>
              <w:t>Rejected from features</w:t>
            </w:r>
          </w:p>
        </w:tc>
        <w:tc>
          <w:tcPr>
            <w:tcW w:type="dxa" w:w="4392"/>
            <w:vAlign w:val="top"/>
            <w:tcMar>
              <w:top w:w="40" w:type="dxa"/>
              <w:left w:w="65" w:type="dxa"/>
              <w:bottom w:w="35" w:type="dxa"/>
              <w:right w:w="65" w:type="dxa"/>
            </w:tcMar>
          </w:tcPr>
          <w:p>
            <w:pPr>
              <w:pStyle w:val="TableText"/>
            </w:pPr>
            <w:r>
              <w:t>May support retrospective label adjudication.</w:t>
            </w:r>
          </w:p>
        </w:tc>
      </w:tr>
      <w:tr>
        <w:trPr>
          <w:cantSplit/>
        </w:trPr>
        <w:tc>
          <w:tcPr>
            <w:tcW w:type="dxa" w:w="2952"/>
            <w:vAlign w:val="top"/>
            <w:tcMar>
              <w:top w:w="40" w:type="dxa"/>
              <w:left w:w="65" w:type="dxa"/>
              <w:bottom w:w="35" w:type="dxa"/>
              <w:right w:w="65" w:type="dxa"/>
            </w:tcMar>
          </w:tcPr>
          <w:p>
            <w:pPr>
              <w:pStyle w:val="TableText"/>
            </w:pPr>
            <w:r>
              <w:t>ANNOTATION_METADATA</w:t>
            </w:r>
          </w:p>
        </w:tc>
        <w:tc>
          <w:tcPr>
            <w:tcW w:type="dxa" w:w="2016"/>
            <w:vAlign w:val="top"/>
            <w:tcMar>
              <w:top w:w="40" w:type="dxa"/>
              <w:left w:w="65" w:type="dxa"/>
              <w:bottom w:w="35" w:type="dxa"/>
              <w:right w:w="65" w:type="dxa"/>
            </w:tcMar>
          </w:tcPr>
          <w:p>
            <w:pPr>
              <w:pStyle w:val="TableText"/>
            </w:pPr>
            <w:r>
              <w:t>Rejected from features</w:t>
            </w:r>
          </w:p>
        </w:tc>
        <w:tc>
          <w:tcPr>
            <w:tcW w:type="dxa" w:w="4392"/>
            <w:vAlign w:val="top"/>
            <w:tcMar>
              <w:top w:w="40" w:type="dxa"/>
              <w:left w:w="65" w:type="dxa"/>
              <w:bottom w:w="35" w:type="dxa"/>
              <w:right w:w="65" w:type="dxa"/>
            </w:tcMar>
          </w:tcPr>
          <w:p>
            <w:pPr>
              <w:pStyle w:val="TableText"/>
            </w:pPr>
            <w:r>
              <w:t>Reviewer decisions and annotations remain separate.</w:t>
            </w:r>
          </w:p>
        </w:tc>
      </w:tr>
      <w:tr>
        <w:trPr>
          <w:cantSplit/>
        </w:trPr>
        <w:tc>
          <w:tcPr>
            <w:tcW w:type="dxa" w:w="2952"/>
            <w:vAlign w:val="top"/>
            <w:tcMar>
              <w:top w:w="40" w:type="dxa"/>
              <w:left w:w="65" w:type="dxa"/>
              <w:bottom w:w="35" w:type="dxa"/>
              <w:right w:w="65" w:type="dxa"/>
            </w:tcMar>
          </w:tcPr>
          <w:p>
            <w:pPr>
              <w:pStyle w:val="TableText"/>
            </w:pPr>
            <w:r>
              <w:t>Reviewed offline alignment in automatic history</w:t>
            </w:r>
          </w:p>
        </w:tc>
        <w:tc>
          <w:tcPr>
            <w:tcW w:type="dxa" w:w="2016"/>
            <w:vAlign w:val="top"/>
            <w:tcMar>
              <w:top w:w="40" w:type="dxa"/>
              <w:left w:w="65" w:type="dxa"/>
              <w:bottom w:w="35" w:type="dxa"/>
              <w:right w:w="65" w:type="dxa"/>
            </w:tcMar>
          </w:tcPr>
          <w:p>
            <w:pPr>
              <w:pStyle w:val="TableText"/>
            </w:pPr>
            <w:r>
              <w:t>Rejected by current prefix view</w:t>
            </w:r>
          </w:p>
        </w:tc>
        <w:tc>
          <w:tcPr>
            <w:tcW w:type="dxa" w:w="4392"/>
            <w:vAlign w:val="top"/>
            <w:tcMar>
              <w:top w:w="40" w:type="dxa"/>
              <w:left w:w="65" w:type="dxa"/>
              <w:bottom w:w="35" w:type="dxa"/>
              <w:right w:w="65" w:type="dxa"/>
            </w:tcMar>
          </w:tcPr>
          <w:p>
            <w:pPr>
              <w:pStyle w:val="TableText"/>
            </w:pPr>
            <w:r>
              <w:t>Requires an explicit future correction/evidence policy.</w:t>
            </w:r>
          </w:p>
        </w:tc>
      </w:tr>
    </w:tbl>
    <w:p>
      <w:pPr>
        <w:spacing w:after="0"/>
      </w:pPr>
    </w:p>
    <w:p>
      <w:pPr>
        <w:pStyle w:val="Code"/>
      </w:pPr>
      <w:r>
        <w:t>if evidence.role != "MODEL_FEATURE":</w:t>
        <w:br/>
        <w:t xml:space="preserve">    raise ValueError("non-​feature evidence")</w:t>
        <w:br/>
        <w:t>if evidence.​available_​at is None:</w:t>
        <w:br/>
        <w:t xml:space="preserve">    raise ValueError("unknown availability")</w:t>
        <w:br/>
        <w:t>if evidence.​available_​at &gt; target.​publication_​date:</w:t>
        <w:br/>
        <w:t xml:space="preserve">    raise ValueError("future evidence")</w:t>
        <w:br/>
        <w:t># Apply same-day policy and recursively guard dependencies.</w:t>
      </w:r>
    </w:p>
    <w:p>
      <w:pPr/>
      <w:r>
        <w:t>This pseudocode summarizes admission, not the complete implementation. The implemented guard also handles unknown same-day external ordering. Reference resolution selects from the supplied local catalog, returning None if no admissible candidate exists. RFC month-only metadata uses a conservative month-end availability bound. No current-latest network lookup is performed by the resolver.</w:t>
      </w:r>
    </w:p>
    <w:p>
      <w:pPr>
        <w:pStyle w:val="Heading2"/>
      </w:pPr>
      <w:r>
        <w:t>Appendix H: Full 29-pair results and runtime table</w:t>
      </w:r>
    </w:p>
    <w:p>
      <w:pPr/>
      <w:r>
        <w:t>Abbreviations in the first table: U = UNCHANGED; M = MODIFIED; I = INSERTED; D = DELETED; S = SPLIT; G = MERGED; V = MOVED; ? = UNCERTAIN. Pair labels abbreviate the common draft-​ietf-​tls-​tls13 family prefix. RFC denotes RFC8446. All values below are generated from retained pair reports, and their column sums agree with the final aggregate report.</w:t>
      </w:r>
    </w:p>
    <w:p>
      <w:pPr>
        <w:pStyle w:val="Caption"/>
        <w:keepNext/>
      </w:pPr>
      <w:r>
        <w:t>Every consecutive pair: provisional relation counts; no count is an ambiguity label.</w:t>
      </w:r>
    </w:p>
    <w:tbl>
      <w:tblPr>
        <w:tblStyle w:val="TableGrid"/>
        <w:tblW w:type="auto" w:w="0"/>
        <w:jc w:val="center"/>
        <w:tblLayout w:type="fixed"/>
        <w:tblLook w:firstColumn="1" w:firstRow="1" w:lastColumn="0" w:lastRow="0" w:noHBand="0" w:noVBand="1" w:val="04A0"/>
      </w:tblPr>
      <w:tblGrid>
        <w:gridCol w:w="1008"/>
        <w:gridCol w:w="893"/>
        <w:gridCol w:w="893"/>
        <w:gridCol w:w="893"/>
        <w:gridCol w:w="893"/>
        <w:gridCol w:w="893"/>
        <w:gridCol w:w="893"/>
        <w:gridCol w:w="893"/>
        <w:gridCol w:w="893"/>
        <w:gridCol w:w="1210"/>
      </w:tblGrid>
      <w:tr>
        <w:trPr>
          <w:tblHeader w:val="true"/>
          <w:cantSplit/>
        </w:trPr>
        <w:tc>
          <w:tcPr>
            <w:tcW w:type="dxa" w:w="1008"/>
            <w:vAlign w:val="top"/>
            <w:tcMar>
              <w:top w:w="40" w:type="dxa"/>
              <w:left w:w="65" w:type="dxa"/>
              <w:bottom w:w="35" w:type="dxa"/>
              <w:right w:w="65" w:type="dxa"/>
            </w:tcMar>
          </w:tcPr>
          <w:p>
            <w:pPr>
              <w:pStyle w:val="TableCompactHeader"/>
            </w:pPr>
            <w:r>
              <w:t>Pair</w:t>
            </w:r>
          </w:p>
        </w:tc>
        <w:tc>
          <w:tcPr>
            <w:tcW w:type="dxa" w:w="893"/>
            <w:vAlign w:val="top"/>
            <w:tcMar>
              <w:top w:w="40" w:type="dxa"/>
              <w:left w:w="65" w:type="dxa"/>
              <w:bottom w:w="35" w:type="dxa"/>
              <w:right w:w="65" w:type="dxa"/>
            </w:tcMar>
          </w:tcPr>
          <w:p>
            <w:pPr>
              <w:pStyle w:val="TableCompactHeader"/>
            </w:pPr>
            <w:r>
              <w:t>U</w:t>
            </w:r>
          </w:p>
        </w:tc>
        <w:tc>
          <w:tcPr>
            <w:tcW w:type="dxa" w:w="893"/>
            <w:vAlign w:val="top"/>
            <w:tcMar>
              <w:top w:w="40" w:type="dxa"/>
              <w:left w:w="65" w:type="dxa"/>
              <w:bottom w:w="35" w:type="dxa"/>
              <w:right w:w="65" w:type="dxa"/>
            </w:tcMar>
          </w:tcPr>
          <w:p>
            <w:pPr>
              <w:pStyle w:val="TableCompactHeader"/>
            </w:pPr>
            <w:r>
              <w:t>M</w:t>
            </w:r>
          </w:p>
        </w:tc>
        <w:tc>
          <w:tcPr>
            <w:tcW w:type="dxa" w:w="893"/>
            <w:vAlign w:val="top"/>
            <w:tcMar>
              <w:top w:w="40" w:type="dxa"/>
              <w:left w:w="65" w:type="dxa"/>
              <w:bottom w:w="35" w:type="dxa"/>
              <w:right w:w="65" w:type="dxa"/>
            </w:tcMar>
          </w:tcPr>
          <w:p>
            <w:pPr>
              <w:pStyle w:val="TableCompactHeader"/>
            </w:pPr>
            <w:r>
              <w:t>I</w:t>
            </w:r>
          </w:p>
        </w:tc>
        <w:tc>
          <w:tcPr>
            <w:tcW w:type="dxa" w:w="893"/>
            <w:vAlign w:val="top"/>
            <w:tcMar>
              <w:top w:w="40" w:type="dxa"/>
              <w:left w:w="65" w:type="dxa"/>
              <w:bottom w:w="35" w:type="dxa"/>
              <w:right w:w="65" w:type="dxa"/>
            </w:tcMar>
          </w:tcPr>
          <w:p>
            <w:pPr>
              <w:pStyle w:val="TableCompactHeader"/>
            </w:pPr>
            <w:r>
              <w:t>D</w:t>
            </w:r>
          </w:p>
        </w:tc>
        <w:tc>
          <w:tcPr>
            <w:tcW w:type="dxa" w:w="893"/>
            <w:vAlign w:val="top"/>
            <w:tcMar>
              <w:top w:w="40" w:type="dxa"/>
              <w:left w:w="65" w:type="dxa"/>
              <w:bottom w:w="35" w:type="dxa"/>
              <w:right w:w="65" w:type="dxa"/>
            </w:tcMar>
          </w:tcPr>
          <w:p>
            <w:pPr>
              <w:pStyle w:val="TableCompactHeader"/>
            </w:pPr>
            <w:r>
              <w:t>S</w:t>
            </w:r>
          </w:p>
        </w:tc>
        <w:tc>
          <w:tcPr>
            <w:tcW w:type="dxa" w:w="893"/>
            <w:vAlign w:val="top"/>
            <w:tcMar>
              <w:top w:w="40" w:type="dxa"/>
              <w:left w:w="65" w:type="dxa"/>
              <w:bottom w:w="35" w:type="dxa"/>
              <w:right w:w="65" w:type="dxa"/>
            </w:tcMar>
          </w:tcPr>
          <w:p>
            <w:pPr>
              <w:pStyle w:val="TableCompactHeader"/>
            </w:pPr>
            <w:r>
              <w:t>G</w:t>
            </w:r>
          </w:p>
        </w:tc>
        <w:tc>
          <w:tcPr>
            <w:tcW w:type="dxa" w:w="893"/>
            <w:vAlign w:val="top"/>
            <w:tcMar>
              <w:top w:w="40" w:type="dxa"/>
              <w:left w:w="65" w:type="dxa"/>
              <w:bottom w:w="35" w:type="dxa"/>
              <w:right w:w="65" w:type="dxa"/>
            </w:tcMar>
          </w:tcPr>
          <w:p>
            <w:pPr>
              <w:pStyle w:val="TableCompactHeader"/>
            </w:pPr>
            <w:r>
              <w:t>V</w:t>
            </w:r>
          </w:p>
        </w:tc>
        <w:tc>
          <w:tcPr>
            <w:tcW w:type="dxa" w:w="893"/>
            <w:vAlign w:val="top"/>
            <w:tcMar>
              <w:top w:w="40" w:type="dxa"/>
              <w:left w:w="65" w:type="dxa"/>
              <w:bottom w:w="35" w:type="dxa"/>
              <w:right w:w="65" w:type="dxa"/>
            </w:tcMar>
          </w:tcPr>
          <w:p>
            <w:pPr>
              <w:pStyle w:val="TableCompactHeader"/>
            </w:pPr>
            <w:r>
              <w:t>?</w:t>
            </w:r>
          </w:p>
        </w:tc>
        <w:tc>
          <w:tcPr>
            <w:tcW w:type="dxa" w:w="1210"/>
            <w:vAlign w:val="top"/>
            <w:tcMar>
              <w:top w:w="40" w:type="dxa"/>
              <w:left w:w="65" w:type="dxa"/>
              <w:bottom w:w="35" w:type="dxa"/>
              <w:right w:w="65" w:type="dxa"/>
            </w:tcMar>
          </w:tcPr>
          <w:p>
            <w:pPr>
              <w:pStyle w:val="TableCompactHeader"/>
            </w:pPr>
            <w:r>
              <w:t>Total</w:t>
            </w:r>
          </w:p>
        </w:tc>
      </w:tr>
      <w:tr>
        <w:trPr>
          <w:cantSplit/>
        </w:trPr>
        <w:tc>
          <w:tcPr>
            <w:tcW w:type="dxa" w:w="1008"/>
            <w:vAlign w:val="top"/>
            <w:tcMar>
              <w:top w:w="40" w:type="dxa"/>
              <w:left w:w="65" w:type="dxa"/>
              <w:bottom w:w="35" w:type="dxa"/>
              <w:right w:w="65" w:type="dxa"/>
            </w:tcMar>
          </w:tcPr>
          <w:p>
            <w:pPr>
              <w:pStyle w:val="TableCompact"/>
            </w:pPr>
            <w:r>
              <w:t>00 → 01</w:t>
            </w:r>
          </w:p>
        </w:tc>
        <w:tc>
          <w:tcPr>
            <w:tcW w:type="dxa" w:w="893"/>
            <w:vAlign w:val="top"/>
            <w:tcMar>
              <w:top w:w="40" w:type="dxa"/>
              <w:left w:w="65" w:type="dxa"/>
              <w:bottom w:w="35" w:type="dxa"/>
              <w:right w:w="65" w:type="dxa"/>
            </w:tcMar>
          </w:tcPr>
          <w:p>
            <w:pPr>
              <w:pStyle w:val="TableCompact"/>
            </w:pPr>
            <w:r>
              <w:t>1415</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112</w:t>
            </w:r>
          </w:p>
        </w:tc>
        <w:tc>
          <w:tcPr>
            <w:tcW w:type="dxa" w:w="1210"/>
            <w:vAlign w:val="top"/>
            <w:tcMar>
              <w:top w:w="40" w:type="dxa"/>
              <w:left w:w="65" w:type="dxa"/>
              <w:bottom w:w="35" w:type="dxa"/>
              <w:right w:w="65" w:type="dxa"/>
            </w:tcMar>
          </w:tcPr>
          <w:p>
            <w:pPr>
              <w:pStyle w:val="TableCompact"/>
            </w:pPr>
            <w:r>
              <w:t>1527</w:t>
            </w:r>
          </w:p>
        </w:tc>
      </w:tr>
      <w:tr>
        <w:trPr>
          <w:cantSplit/>
        </w:trPr>
        <w:tc>
          <w:tcPr>
            <w:tcW w:type="dxa" w:w="1008"/>
            <w:vAlign w:val="top"/>
            <w:tcMar>
              <w:top w:w="40" w:type="dxa"/>
              <w:left w:w="65" w:type="dxa"/>
              <w:bottom w:w="35" w:type="dxa"/>
              <w:right w:w="65" w:type="dxa"/>
            </w:tcMar>
          </w:tcPr>
          <w:p>
            <w:pPr>
              <w:pStyle w:val="TableCompact"/>
            </w:pPr>
            <w:r>
              <w:t>01 → 02</w:t>
            </w:r>
          </w:p>
        </w:tc>
        <w:tc>
          <w:tcPr>
            <w:tcW w:type="dxa" w:w="893"/>
            <w:vAlign w:val="top"/>
            <w:tcMar>
              <w:top w:w="40" w:type="dxa"/>
              <w:left w:w="65" w:type="dxa"/>
              <w:bottom w:w="35" w:type="dxa"/>
              <w:right w:w="65" w:type="dxa"/>
            </w:tcMar>
          </w:tcPr>
          <w:p>
            <w:pPr>
              <w:pStyle w:val="TableCompact"/>
            </w:pPr>
            <w:r>
              <w:t>850</w:t>
            </w:r>
          </w:p>
        </w:tc>
        <w:tc>
          <w:tcPr>
            <w:tcW w:type="dxa" w:w="893"/>
            <w:vAlign w:val="top"/>
            <w:tcMar>
              <w:top w:w="40" w:type="dxa"/>
              <w:left w:w="65" w:type="dxa"/>
              <w:bottom w:w="35" w:type="dxa"/>
              <w:right w:w="65" w:type="dxa"/>
            </w:tcMar>
          </w:tcPr>
          <w:p>
            <w:pPr>
              <w:pStyle w:val="TableCompact"/>
            </w:pPr>
            <w:r>
              <w:t>148</w:t>
            </w:r>
          </w:p>
        </w:tc>
        <w:tc>
          <w:tcPr>
            <w:tcW w:type="dxa" w:w="893"/>
            <w:vAlign w:val="top"/>
            <w:tcMar>
              <w:top w:w="40" w:type="dxa"/>
              <w:left w:w="65" w:type="dxa"/>
              <w:bottom w:w="35" w:type="dxa"/>
              <w:right w:w="65" w:type="dxa"/>
            </w:tcMar>
          </w:tcPr>
          <w:p>
            <w:pPr>
              <w:pStyle w:val="TableCompact"/>
            </w:pPr>
            <w:r>
              <w:t>105</w:t>
            </w:r>
          </w:p>
        </w:tc>
        <w:tc>
          <w:tcPr>
            <w:tcW w:type="dxa" w:w="893"/>
            <w:vAlign w:val="top"/>
            <w:tcMar>
              <w:top w:w="40" w:type="dxa"/>
              <w:left w:w="65" w:type="dxa"/>
              <w:bottom w:w="35" w:type="dxa"/>
              <w:right w:w="65" w:type="dxa"/>
            </w:tcMar>
          </w:tcPr>
          <w:p>
            <w:pPr>
              <w:pStyle w:val="TableCompact"/>
            </w:pPr>
            <w:r>
              <w:t>238</w:t>
            </w:r>
          </w:p>
        </w:tc>
        <w:tc>
          <w:tcPr>
            <w:tcW w:type="dxa" w:w="893"/>
            <w:vAlign w:val="top"/>
            <w:tcMar>
              <w:top w:w="40" w:type="dxa"/>
              <w:left w:w="65" w:type="dxa"/>
              <w:bottom w:w="35" w:type="dxa"/>
              <w:right w:w="65" w:type="dxa"/>
            </w:tcMar>
          </w:tcPr>
          <w:p>
            <w:pPr>
              <w:pStyle w:val="TableCompact"/>
            </w:pPr>
            <w:r>
              <w:t>8</w:t>
            </w:r>
          </w:p>
        </w:tc>
        <w:tc>
          <w:tcPr>
            <w:tcW w:type="dxa" w:w="893"/>
            <w:vAlign w:val="top"/>
            <w:tcMar>
              <w:top w:w="40" w:type="dxa"/>
              <w:left w:w="65" w:type="dxa"/>
              <w:bottom w:w="35" w:type="dxa"/>
              <w:right w:w="65" w:type="dxa"/>
            </w:tcMar>
          </w:tcPr>
          <w:p>
            <w:pPr>
              <w:pStyle w:val="TableCompact"/>
            </w:pPr>
            <w:r>
              <w:t>13</w:t>
            </w:r>
          </w:p>
        </w:tc>
        <w:tc>
          <w:tcPr>
            <w:tcW w:type="dxa" w:w="893"/>
            <w:vAlign w:val="top"/>
            <w:tcMar>
              <w:top w:w="40" w:type="dxa"/>
              <w:left w:w="65" w:type="dxa"/>
              <w:bottom w:w="35" w:type="dxa"/>
              <w:right w:w="65" w:type="dxa"/>
            </w:tcMar>
          </w:tcPr>
          <w:p>
            <w:pPr>
              <w:pStyle w:val="TableCompact"/>
            </w:pPr>
            <w:r>
              <w:t>74</w:t>
            </w:r>
          </w:p>
        </w:tc>
        <w:tc>
          <w:tcPr>
            <w:tcW w:type="dxa" w:w="893"/>
            <w:vAlign w:val="top"/>
            <w:tcMar>
              <w:top w:w="40" w:type="dxa"/>
              <w:left w:w="65" w:type="dxa"/>
              <w:bottom w:w="35" w:type="dxa"/>
              <w:right w:w="65" w:type="dxa"/>
            </w:tcMar>
          </w:tcPr>
          <w:p>
            <w:pPr>
              <w:pStyle w:val="TableCompact"/>
            </w:pPr>
            <w:r>
              <w:t>207</w:t>
            </w:r>
          </w:p>
        </w:tc>
        <w:tc>
          <w:tcPr>
            <w:tcW w:type="dxa" w:w="1210"/>
            <w:vAlign w:val="top"/>
            <w:tcMar>
              <w:top w:w="40" w:type="dxa"/>
              <w:left w:w="65" w:type="dxa"/>
              <w:bottom w:w="35" w:type="dxa"/>
              <w:right w:w="65" w:type="dxa"/>
            </w:tcMar>
          </w:tcPr>
          <w:p>
            <w:pPr>
              <w:pStyle w:val="TableCompact"/>
            </w:pPr>
            <w:r>
              <w:t>1643</w:t>
            </w:r>
          </w:p>
        </w:tc>
      </w:tr>
      <w:tr>
        <w:trPr>
          <w:cantSplit/>
        </w:trPr>
        <w:tc>
          <w:tcPr>
            <w:tcW w:type="dxa" w:w="1008"/>
            <w:vAlign w:val="top"/>
            <w:tcMar>
              <w:top w:w="40" w:type="dxa"/>
              <w:left w:w="65" w:type="dxa"/>
              <w:bottom w:w="35" w:type="dxa"/>
              <w:right w:w="65" w:type="dxa"/>
            </w:tcMar>
          </w:tcPr>
          <w:p>
            <w:pPr>
              <w:pStyle w:val="TableCompact"/>
            </w:pPr>
            <w:r>
              <w:t>02 → 03</w:t>
            </w:r>
          </w:p>
        </w:tc>
        <w:tc>
          <w:tcPr>
            <w:tcW w:type="dxa" w:w="893"/>
            <w:vAlign w:val="top"/>
            <w:tcMar>
              <w:top w:w="40" w:type="dxa"/>
              <w:left w:w="65" w:type="dxa"/>
              <w:bottom w:w="35" w:type="dxa"/>
              <w:right w:w="65" w:type="dxa"/>
            </w:tcMar>
          </w:tcPr>
          <w:p>
            <w:pPr>
              <w:pStyle w:val="TableCompact"/>
            </w:pPr>
            <w:r>
              <w:t>1071</w:t>
            </w:r>
          </w:p>
        </w:tc>
        <w:tc>
          <w:tcPr>
            <w:tcW w:type="dxa" w:w="893"/>
            <w:vAlign w:val="top"/>
            <w:tcMar>
              <w:top w:w="40" w:type="dxa"/>
              <w:left w:w="65" w:type="dxa"/>
              <w:bottom w:w="35" w:type="dxa"/>
              <w:right w:w="65" w:type="dxa"/>
            </w:tcMar>
          </w:tcPr>
          <w:p>
            <w:pPr>
              <w:pStyle w:val="TableCompact"/>
            </w:pPr>
            <w:r>
              <w:t>74</w:t>
            </w:r>
          </w:p>
        </w:tc>
        <w:tc>
          <w:tcPr>
            <w:tcW w:type="dxa" w:w="893"/>
            <w:vAlign w:val="top"/>
            <w:tcMar>
              <w:top w:w="40" w:type="dxa"/>
              <w:left w:w="65" w:type="dxa"/>
              <w:bottom w:w="35" w:type="dxa"/>
              <w:right w:w="65" w:type="dxa"/>
            </w:tcMar>
          </w:tcPr>
          <w:p>
            <w:pPr>
              <w:pStyle w:val="TableCompact"/>
            </w:pPr>
            <w:r>
              <w:t>111</w:t>
            </w:r>
          </w:p>
        </w:tc>
        <w:tc>
          <w:tcPr>
            <w:tcW w:type="dxa" w:w="893"/>
            <w:vAlign w:val="top"/>
            <w:tcMar>
              <w:top w:w="40" w:type="dxa"/>
              <w:left w:w="65" w:type="dxa"/>
              <w:bottom w:w="35" w:type="dxa"/>
              <w:right w:w="65" w:type="dxa"/>
            </w:tcMar>
          </w:tcPr>
          <w:p>
            <w:pPr>
              <w:pStyle w:val="TableCompact"/>
            </w:pPr>
            <w:r>
              <w:t>49</w:t>
            </w:r>
          </w:p>
        </w:tc>
        <w:tc>
          <w:tcPr>
            <w:tcW w:type="dxa" w:w="893"/>
            <w:vAlign w:val="top"/>
            <w:tcMar>
              <w:top w:w="40" w:type="dxa"/>
              <w:left w:w="65" w:type="dxa"/>
              <w:bottom w:w="35" w:type="dxa"/>
              <w:right w:w="65" w:type="dxa"/>
            </w:tcMar>
          </w:tcPr>
          <w:p>
            <w:pPr>
              <w:pStyle w:val="TableCompact"/>
            </w:pPr>
            <w:r>
              <w:t>14</w:t>
            </w:r>
          </w:p>
        </w:tc>
        <w:tc>
          <w:tcPr>
            <w:tcW w:type="dxa" w:w="893"/>
            <w:vAlign w:val="top"/>
            <w:tcMar>
              <w:top w:w="40" w:type="dxa"/>
              <w:left w:w="65" w:type="dxa"/>
              <w:bottom w:w="35" w:type="dxa"/>
              <w:right w:w="65" w:type="dxa"/>
            </w:tcMar>
          </w:tcPr>
          <w:p>
            <w:pPr>
              <w:pStyle w:val="TableCompact"/>
            </w:pPr>
            <w:r>
              <w:t>10</w:t>
            </w:r>
          </w:p>
        </w:tc>
        <w:tc>
          <w:tcPr>
            <w:tcW w:type="dxa" w:w="893"/>
            <w:vAlign w:val="top"/>
            <w:tcMar>
              <w:top w:w="40" w:type="dxa"/>
              <w:left w:w="65" w:type="dxa"/>
              <w:bottom w:w="35" w:type="dxa"/>
              <w:right w:w="65" w:type="dxa"/>
            </w:tcMar>
          </w:tcPr>
          <w:p>
            <w:pPr>
              <w:pStyle w:val="TableCompact"/>
            </w:pPr>
            <w:r>
              <w:t>4</w:t>
            </w:r>
          </w:p>
        </w:tc>
        <w:tc>
          <w:tcPr>
            <w:tcW w:type="dxa" w:w="893"/>
            <w:vAlign w:val="top"/>
            <w:tcMar>
              <w:top w:w="40" w:type="dxa"/>
              <w:left w:w="65" w:type="dxa"/>
              <w:bottom w:w="35" w:type="dxa"/>
              <w:right w:w="65" w:type="dxa"/>
            </w:tcMar>
          </w:tcPr>
          <w:p>
            <w:pPr>
              <w:pStyle w:val="TableCompact"/>
            </w:pPr>
            <w:r>
              <w:t>141</w:t>
            </w:r>
          </w:p>
        </w:tc>
        <w:tc>
          <w:tcPr>
            <w:tcW w:type="dxa" w:w="1210"/>
            <w:vAlign w:val="top"/>
            <w:tcMar>
              <w:top w:w="40" w:type="dxa"/>
              <w:left w:w="65" w:type="dxa"/>
              <w:bottom w:w="35" w:type="dxa"/>
              <w:right w:w="65" w:type="dxa"/>
            </w:tcMar>
          </w:tcPr>
          <w:p>
            <w:pPr>
              <w:pStyle w:val="TableCompact"/>
            </w:pPr>
            <w:r>
              <w:t>1474</w:t>
            </w:r>
          </w:p>
        </w:tc>
      </w:tr>
      <w:tr>
        <w:trPr>
          <w:cantSplit/>
        </w:trPr>
        <w:tc>
          <w:tcPr>
            <w:tcW w:type="dxa" w:w="1008"/>
            <w:vAlign w:val="top"/>
            <w:tcMar>
              <w:top w:w="40" w:type="dxa"/>
              <w:left w:w="65" w:type="dxa"/>
              <w:bottom w:w="35" w:type="dxa"/>
              <w:right w:w="65" w:type="dxa"/>
            </w:tcMar>
          </w:tcPr>
          <w:p>
            <w:pPr>
              <w:pStyle w:val="TableCompact"/>
            </w:pPr>
            <w:r>
              <w:t>03 → 04</w:t>
            </w:r>
          </w:p>
        </w:tc>
        <w:tc>
          <w:tcPr>
            <w:tcW w:type="dxa" w:w="893"/>
            <w:vAlign w:val="top"/>
            <w:tcMar>
              <w:top w:w="40" w:type="dxa"/>
              <w:left w:w="65" w:type="dxa"/>
              <w:bottom w:w="35" w:type="dxa"/>
              <w:right w:w="65" w:type="dxa"/>
            </w:tcMar>
          </w:tcPr>
          <w:p>
            <w:pPr>
              <w:pStyle w:val="TableCompact"/>
            </w:pPr>
            <w:r>
              <w:t>1085</w:t>
            </w:r>
          </w:p>
        </w:tc>
        <w:tc>
          <w:tcPr>
            <w:tcW w:type="dxa" w:w="893"/>
            <w:vAlign w:val="top"/>
            <w:tcMar>
              <w:top w:w="40" w:type="dxa"/>
              <w:left w:w="65" w:type="dxa"/>
              <w:bottom w:w="35" w:type="dxa"/>
              <w:right w:w="65" w:type="dxa"/>
            </w:tcMar>
          </w:tcPr>
          <w:p>
            <w:pPr>
              <w:pStyle w:val="TableCompact"/>
            </w:pPr>
            <w:r>
              <w:t>79</w:t>
            </w:r>
          </w:p>
        </w:tc>
        <w:tc>
          <w:tcPr>
            <w:tcW w:type="dxa" w:w="893"/>
            <w:vAlign w:val="top"/>
            <w:tcMar>
              <w:top w:w="40" w:type="dxa"/>
              <w:left w:w="65" w:type="dxa"/>
              <w:bottom w:w="35" w:type="dxa"/>
              <w:right w:w="65" w:type="dxa"/>
            </w:tcMar>
          </w:tcPr>
          <w:p>
            <w:pPr>
              <w:pStyle w:val="TableCompact"/>
            </w:pPr>
            <w:r>
              <w:t>62</w:t>
            </w:r>
          </w:p>
        </w:tc>
        <w:tc>
          <w:tcPr>
            <w:tcW w:type="dxa" w:w="893"/>
            <w:vAlign w:val="top"/>
            <w:tcMar>
              <w:top w:w="40" w:type="dxa"/>
              <w:left w:w="65" w:type="dxa"/>
              <w:bottom w:w="35" w:type="dxa"/>
              <w:right w:w="65" w:type="dxa"/>
            </w:tcMar>
          </w:tcPr>
          <w:p>
            <w:pPr>
              <w:pStyle w:val="TableCompact"/>
            </w:pPr>
            <w:r>
              <w:t>101</w:t>
            </w:r>
          </w:p>
        </w:tc>
        <w:tc>
          <w:tcPr>
            <w:tcW w:type="dxa" w:w="893"/>
            <w:vAlign w:val="top"/>
            <w:tcMar>
              <w:top w:w="40" w:type="dxa"/>
              <w:left w:w="65" w:type="dxa"/>
              <w:bottom w:w="35" w:type="dxa"/>
              <w:right w:w="65" w:type="dxa"/>
            </w:tcMar>
          </w:tcPr>
          <w:p>
            <w:pPr>
              <w:pStyle w:val="TableCompact"/>
            </w:pPr>
            <w:r>
              <w:t>12</w:t>
            </w:r>
          </w:p>
        </w:tc>
        <w:tc>
          <w:tcPr>
            <w:tcW w:type="dxa" w:w="893"/>
            <w:vAlign w:val="top"/>
            <w:tcMar>
              <w:top w:w="40" w:type="dxa"/>
              <w:left w:w="65" w:type="dxa"/>
              <w:bottom w:w="35" w:type="dxa"/>
              <w:right w:w="65" w:type="dxa"/>
            </w:tcMar>
          </w:tcPr>
          <w:p>
            <w:pPr>
              <w:pStyle w:val="TableCompact"/>
            </w:pPr>
            <w:r>
              <w:t>13</w:t>
            </w:r>
          </w:p>
        </w:tc>
        <w:tc>
          <w:tcPr>
            <w:tcW w:type="dxa" w:w="893"/>
            <w:vAlign w:val="top"/>
            <w:tcMar>
              <w:top w:w="40" w:type="dxa"/>
              <w:left w:w="65" w:type="dxa"/>
              <w:bottom w:w="35" w:type="dxa"/>
              <w:right w:w="65" w:type="dxa"/>
            </w:tcMar>
          </w:tcPr>
          <w:p>
            <w:pPr>
              <w:pStyle w:val="TableCompact"/>
            </w:pPr>
            <w:r>
              <w:t>2</w:t>
            </w:r>
          </w:p>
        </w:tc>
        <w:tc>
          <w:tcPr>
            <w:tcW w:type="dxa" w:w="893"/>
            <w:vAlign w:val="top"/>
            <w:tcMar>
              <w:top w:w="40" w:type="dxa"/>
              <w:left w:w="65" w:type="dxa"/>
              <w:bottom w:w="35" w:type="dxa"/>
              <w:right w:w="65" w:type="dxa"/>
            </w:tcMar>
          </w:tcPr>
          <w:p>
            <w:pPr>
              <w:pStyle w:val="TableCompact"/>
            </w:pPr>
            <w:r>
              <w:t>146</w:t>
            </w:r>
          </w:p>
        </w:tc>
        <w:tc>
          <w:tcPr>
            <w:tcW w:type="dxa" w:w="1210"/>
            <w:vAlign w:val="top"/>
            <w:tcMar>
              <w:top w:w="40" w:type="dxa"/>
              <w:left w:w="65" w:type="dxa"/>
              <w:bottom w:w="35" w:type="dxa"/>
              <w:right w:w="65" w:type="dxa"/>
            </w:tcMar>
          </w:tcPr>
          <w:p>
            <w:pPr>
              <w:pStyle w:val="TableCompact"/>
            </w:pPr>
            <w:r>
              <w:t>1500</w:t>
            </w:r>
          </w:p>
        </w:tc>
      </w:tr>
      <w:tr>
        <w:trPr>
          <w:cantSplit/>
        </w:trPr>
        <w:tc>
          <w:tcPr>
            <w:tcW w:type="dxa" w:w="1008"/>
            <w:vAlign w:val="top"/>
            <w:tcMar>
              <w:top w:w="40" w:type="dxa"/>
              <w:left w:w="65" w:type="dxa"/>
              <w:bottom w:w="35" w:type="dxa"/>
              <w:right w:w="65" w:type="dxa"/>
            </w:tcMar>
          </w:tcPr>
          <w:p>
            <w:pPr>
              <w:pStyle w:val="TableCompact"/>
            </w:pPr>
            <w:r>
              <w:t>04 → 05</w:t>
            </w:r>
          </w:p>
        </w:tc>
        <w:tc>
          <w:tcPr>
            <w:tcW w:type="dxa" w:w="893"/>
            <w:vAlign w:val="top"/>
            <w:tcMar>
              <w:top w:w="40" w:type="dxa"/>
              <w:left w:w="65" w:type="dxa"/>
              <w:bottom w:w="35" w:type="dxa"/>
              <w:right w:w="65" w:type="dxa"/>
            </w:tcMar>
          </w:tcPr>
          <w:p>
            <w:pPr>
              <w:pStyle w:val="TableCompact"/>
            </w:pPr>
            <w:r>
              <w:t>1117</w:t>
            </w:r>
          </w:p>
        </w:tc>
        <w:tc>
          <w:tcPr>
            <w:tcW w:type="dxa" w:w="893"/>
            <w:vAlign w:val="top"/>
            <w:tcMar>
              <w:top w:w="40" w:type="dxa"/>
              <w:left w:w="65" w:type="dxa"/>
              <w:bottom w:w="35" w:type="dxa"/>
              <w:right w:w="65" w:type="dxa"/>
            </w:tcMar>
          </w:tcPr>
          <w:p>
            <w:pPr>
              <w:pStyle w:val="TableCompact"/>
            </w:pPr>
            <w:r>
              <w:t>34</w:t>
            </w:r>
          </w:p>
        </w:tc>
        <w:tc>
          <w:tcPr>
            <w:tcW w:type="dxa" w:w="893"/>
            <w:vAlign w:val="top"/>
            <w:tcMar>
              <w:top w:w="40" w:type="dxa"/>
              <w:left w:w="65" w:type="dxa"/>
              <w:bottom w:w="35" w:type="dxa"/>
              <w:right w:w="65" w:type="dxa"/>
            </w:tcMar>
          </w:tcPr>
          <w:p>
            <w:pPr>
              <w:pStyle w:val="TableCompact"/>
            </w:pPr>
            <w:r>
              <w:t>16</w:t>
            </w:r>
          </w:p>
        </w:tc>
        <w:tc>
          <w:tcPr>
            <w:tcW w:type="dxa" w:w="893"/>
            <w:vAlign w:val="top"/>
            <w:tcMar>
              <w:top w:w="40" w:type="dxa"/>
              <w:left w:w="65" w:type="dxa"/>
              <w:bottom w:w="35" w:type="dxa"/>
              <w:right w:w="65" w:type="dxa"/>
            </w:tcMar>
          </w:tcPr>
          <w:p>
            <w:pPr>
              <w:pStyle w:val="TableCompact"/>
            </w:pPr>
            <w:r>
              <w:t>60</w:t>
            </w:r>
          </w:p>
        </w:tc>
        <w:tc>
          <w:tcPr>
            <w:tcW w:type="dxa" w:w="893"/>
            <w:vAlign w:val="top"/>
            <w:tcMar>
              <w:top w:w="40" w:type="dxa"/>
              <w:left w:w="65" w:type="dxa"/>
              <w:bottom w:w="35" w:type="dxa"/>
              <w:right w:w="65" w:type="dxa"/>
            </w:tcMar>
          </w:tcPr>
          <w:p>
            <w:pPr>
              <w:pStyle w:val="TableCompact"/>
            </w:pPr>
            <w:r>
              <w:t>8</w:t>
            </w:r>
          </w:p>
        </w:tc>
        <w:tc>
          <w:tcPr>
            <w:tcW w:type="dxa" w:w="893"/>
            <w:vAlign w:val="top"/>
            <w:tcMar>
              <w:top w:w="40" w:type="dxa"/>
              <w:left w:w="65" w:type="dxa"/>
              <w:bottom w:w="35" w:type="dxa"/>
              <w:right w:w="65" w:type="dxa"/>
            </w:tcMar>
          </w:tcPr>
          <w:p>
            <w:pPr>
              <w:pStyle w:val="TableCompact"/>
            </w:pPr>
            <w:r>
              <w:t>10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187</w:t>
            </w:r>
          </w:p>
        </w:tc>
        <w:tc>
          <w:tcPr>
            <w:tcW w:type="dxa" w:w="1210"/>
            <w:vAlign w:val="top"/>
            <w:tcMar>
              <w:top w:w="40" w:type="dxa"/>
              <w:left w:w="65" w:type="dxa"/>
              <w:bottom w:w="35" w:type="dxa"/>
              <w:right w:w="65" w:type="dxa"/>
            </w:tcMar>
          </w:tcPr>
          <w:p>
            <w:pPr>
              <w:pStyle w:val="TableCompact"/>
            </w:pPr>
            <w:r>
              <w:t>1432</w:t>
            </w:r>
          </w:p>
        </w:tc>
      </w:tr>
      <w:tr>
        <w:trPr>
          <w:cantSplit/>
        </w:trPr>
        <w:tc>
          <w:tcPr>
            <w:tcW w:type="dxa" w:w="1008"/>
            <w:vAlign w:val="top"/>
            <w:tcMar>
              <w:top w:w="40" w:type="dxa"/>
              <w:left w:w="65" w:type="dxa"/>
              <w:bottom w:w="35" w:type="dxa"/>
              <w:right w:w="65" w:type="dxa"/>
            </w:tcMar>
          </w:tcPr>
          <w:p>
            <w:pPr>
              <w:pStyle w:val="TableCompact"/>
            </w:pPr>
            <w:r>
              <w:t>05 → 06</w:t>
            </w:r>
          </w:p>
        </w:tc>
        <w:tc>
          <w:tcPr>
            <w:tcW w:type="dxa" w:w="893"/>
            <w:vAlign w:val="top"/>
            <w:tcMar>
              <w:top w:w="40" w:type="dxa"/>
              <w:left w:w="65" w:type="dxa"/>
              <w:bottom w:w="35" w:type="dxa"/>
              <w:right w:w="65" w:type="dxa"/>
            </w:tcMar>
          </w:tcPr>
          <w:p>
            <w:pPr>
              <w:pStyle w:val="TableCompact"/>
            </w:pPr>
            <w:r>
              <w:t>971</w:t>
            </w:r>
          </w:p>
        </w:tc>
        <w:tc>
          <w:tcPr>
            <w:tcW w:type="dxa" w:w="893"/>
            <w:vAlign w:val="top"/>
            <w:tcMar>
              <w:top w:w="40" w:type="dxa"/>
              <w:left w:w="65" w:type="dxa"/>
              <w:bottom w:w="35" w:type="dxa"/>
              <w:right w:w="65" w:type="dxa"/>
            </w:tcMar>
          </w:tcPr>
          <w:p>
            <w:pPr>
              <w:pStyle w:val="TableCompact"/>
            </w:pPr>
            <w:r>
              <w:t>123</w:t>
            </w:r>
          </w:p>
        </w:tc>
        <w:tc>
          <w:tcPr>
            <w:tcW w:type="dxa" w:w="893"/>
            <w:vAlign w:val="top"/>
            <w:tcMar>
              <w:top w:w="40" w:type="dxa"/>
              <w:left w:w="65" w:type="dxa"/>
              <w:bottom w:w="35" w:type="dxa"/>
              <w:right w:w="65" w:type="dxa"/>
            </w:tcMar>
          </w:tcPr>
          <w:p>
            <w:pPr>
              <w:pStyle w:val="TableCompact"/>
            </w:pPr>
            <w:r>
              <w:t>40</w:t>
            </w:r>
          </w:p>
        </w:tc>
        <w:tc>
          <w:tcPr>
            <w:tcW w:type="dxa" w:w="893"/>
            <w:vAlign w:val="top"/>
            <w:tcMar>
              <w:top w:w="40" w:type="dxa"/>
              <w:left w:w="65" w:type="dxa"/>
              <w:bottom w:w="35" w:type="dxa"/>
              <w:right w:w="65" w:type="dxa"/>
            </w:tcMar>
          </w:tcPr>
          <w:p>
            <w:pPr>
              <w:pStyle w:val="TableCompact"/>
            </w:pPr>
            <w:r>
              <w:t>88</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8</w:t>
            </w:r>
          </w:p>
        </w:tc>
        <w:tc>
          <w:tcPr>
            <w:tcW w:type="dxa" w:w="893"/>
            <w:vAlign w:val="top"/>
            <w:tcMar>
              <w:top w:w="40" w:type="dxa"/>
              <w:left w:w="65" w:type="dxa"/>
              <w:bottom w:w="35" w:type="dxa"/>
              <w:right w:w="65" w:type="dxa"/>
            </w:tcMar>
          </w:tcPr>
          <w:p>
            <w:pPr>
              <w:pStyle w:val="TableCompact"/>
            </w:pPr>
            <w:r>
              <w:t>5</w:t>
            </w:r>
          </w:p>
        </w:tc>
        <w:tc>
          <w:tcPr>
            <w:tcW w:type="dxa" w:w="893"/>
            <w:vAlign w:val="top"/>
            <w:tcMar>
              <w:top w:w="40" w:type="dxa"/>
              <w:left w:w="65" w:type="dxa"/>
              <w:bottom w:w="35" w:type="dxa"/>
              <w:right w:w="65" w:type="dxa"/>
            </w:tcMar>
          </w:tcPr>
          <w:p>
            <w:pPr>
              <w:pStyle w:val="TableCompact"/>
            </w:pPr>
            <w:r>
              <w:t>172</w:t>
            </w:r>
          </w:p>
        </w:tc>
        <w:tc>
          <w:tcPr>
            <w:tcW w:type="dxa" w:w="1210"/>
            <w:vAlign w:val="top"/>
            <w:tcMar>
              <w:top w:w="40" w:type="dxa"/>
              <w:left w:w="65" w:type="dxa"/>
              <w:bottom w:w="35" w:type="dxa"/>
              <w:right w:w="65" w:type="dxa"/>
            </w:tcMar>
          </w:tcPr>
          <w:p>
            <w:pPr>
              <w:pStyle w:val="TableCompact"/>
            </w:pPr>
            <w:r>
              <w:t>1416</w:t>
            </w:r>
          </w:p>
        </w:tc>
      </w:tr>
      <w:tr>
        <w:trPr>
          <w:cantSplit/>
        </w:trPr>
        <w:tc>
          <w:tcPr>
            <w:tcW w:type="dxa" w:w="1008"/>
            <w:vAlign w:val="top"/>
            <w:tcMar>
              <w:top w:w="40" w:type="dxa"/>
              <w:left w:w="65" w:type="dxa"/>
              <w:bottom w:w="35" w:type="dxa"/>
              <w:right w:w="65" w:type="dxa"/>
            </w:tcMar>
          </w:tcPr>
          <w:p>
            <w:pPr>
              <w:pStyle w:val="TableCompact"/>
            </w:pPr>
            <w:r>
              <w:t>06 → 07</w:t>
            </w:r>
          </w:p>
        </w:tc>
        <w:tc>
          <w:tcPr>
            <w:tcW w:type="dxa" w:w="893"/>
            <w:vAlign w:val="top"/>
            <w:tcMar>
              <w:top w:w="40" w:type="dxa"/>
              <w:left w:w="65" w:type="dxa"/>
              <w:bottom w:w="35" w:type="dxa"/>
              <w:right w:w="65" w:type="dxa"/>
            </w:tcMar>
          </w:tcPr>
          <w:p>
            <w:pPr>
              <w:pStyle w:val="TableCompact"/>
            </w:pPr>
            <w:r>
              <w:t>707</w:t>
            </w:r>
          </w:p>
        </w:tc>
        <w:tc>
          <w:tcPr>
            <w:tcW w:type="dxa" w:w="893"/>
            <w:vAlign w:val="top"/>
            <w:tcMar>
              <w:top w:w="40" w:type="dxa"/>
              <w:left w:w="65" w:type="dxa"/>
              <w:bottom w:w="35" w:type="dxa"/>
              <w:right w:w="65" w:type="dxa"/>
            </w:tcMar>
          </w:tcPr>
          <w:p>
            <w:pPr>
              <w:pStyle w:val="TableCompact"/>
            </w:pPr>
            <w:r>
              <w:t>88</w:t>
            </w:r>
          </w:p>
        </w:tc>
        <w:tc>
          <w:tcPr>
            <w:tcW w:type="dxa" w:w="893"/>
            <w:vAlign w:val="top"/>
            <w:tcMar>
              <w:top w:w="40" w:type="dxa"/>
              <w:left w:w="65" w:type="dxa"/>
              <w:bottom w:w="35" w:type="dxa"/>
              <w:right w:w="65" w:type="dxa"/>
            </w:tcMar>
          </w:tcPr>
          <w:p>
            <w:pPr>
              <w:pStyle w:val="TableCompact"/>
            </w:pPr>
            <w:r>
              <w:t>228</w:t>
            </w:r>
          </w:p>
        </w:tc>
        <w:tc>
          <w:tcPr>
            <w:tcW w:type="dxa" w:w="893"/>
            <w:vAlign w:val="top"/>
            <w:tcMar>
              <w:top w:w="40" w:type="dxa"/>
              <w:left w:w="65" w:type="dxa"/>
              <w:bottom w:w="35" w:type="dxa"/>
              <w:right w:w="65" w:type="dxa"/>
            </w:tcMar>
          </w:tcPr>
          <w:p>
            <w:pPr>
              <w:pStyle w:val="TableCompact"/>
            </w:pPr>
            <w:r>
              <w:t>138</w:t>
            </w:r>
          </w:p>
        </w:tc>
        <w:tc>
          <w:tcPr>
            <w:tcW w:type="dxa" w:w="893"/>
            <w:vAlign w:val="top"/>
            <w:tcMar>
              <w:top w:w="40" w:type="dxa"/>
              <w:left w:w="65" w:type="dxa"/>
              <w:bottom w:w="35" w:type="dxa"/>
              <w:right w:w="65" w:type="dxa"/>
            </w:tcMar>
          </w:tcPr>
          <w:p>
            <w:pPr>
              <w:pStyle w:val="TableCompact"/>
            </w:pPr>
            <w:r>
              <w:t>3</w:t>
            </w:r>
          </w:p>
        </w:tc>
        <w:tc>
          <w:tcPr>
            <w:tcW w:type="dxa" w:w="893"/>
            <w:vAlign w:val="top"/>
            <w:tcMar>
              <w:top w:w="40" w:type="dxa"/>
              <w:left w:w="65" w:type="dxa"/>
              <w:bottom w:w="35" w:type="dxa"/>
              <w:right w:w="65" w:type="dxa"/>
            </w:tcMar>
          </w:tcPr>
          <w:p>
            <w:pPr>
              <w:pStyle w:val="TableCompact"/>
            </w:pPr>
            <w:r>
              <w:t>7</w:t>
            </w:r>
          </w:p>
        </w:tc>
        <w:tc>
          <w:tcPr>
            <w:tcW w:type="dxa" w:w="893"/>
            <w:vAlign w:val="top"/>
            <w:tcMar>
              <w:top w:w="40" w:type="dxa"/>
              <w:left w:w="65" w:type="dxa"/>
              <w:bottom w:w="35" w:type="dxa"/>
              <w:right w:w="65" w:type="dxa"/>
            </w:tcMar>
          </w:tcPr>
          <w:p>
            <w:pPr>
              <w:pStyle w:val="TableCompact"/>
            </w:pPr>
            <w:r>
              <w:t>191</w:t>
            </w:r>
          </w:p>
        </w:tc>
        <w:tc>
          <w:tcPr>
            <w:tcW w:type="dxa" w:w="893"/>
            <w:vAlign w:val="top"/>
            <w:tcMar>
              <w:top w:w="40" w:type="dxa"/>
              <w:left w:w="65" w:type="dxa"/>
              <w:bottom w:w="35" w:type="dxa"/>
              <w:right w:w="65" w:type="dxa"/>
            </w:tcMar>
          </w:tcPr>
          <w:p>
            <w:pPr>
              <w:pStyle w:val="TableCompact"/>
            </w:pPr>
            <w:r>
              <w:t>214</w:t>
            </w:r>
          </w:p>
        </w:tc>
        <w:tc>
          <w:tcPr>
            <w:tcW w:type="dxa" w:w="1210"/>
            <w:vAlign w:val="top"/>
            <w:tcMar>
              <w:top w:w="40" w:type="dxa"/>
              <w:left w:w="65" w:type="dxa"/>
              <w:bottom w:w="35" w:type="dxa"/>
              <w:right w:w="65" w:type="dxa"/>
            </w:tcMar>
          </w:tcPr>
          <w:p>
            <w:pPr>
              <w:pStyle w:val="TableCompact"/>
            </w:pPr>
            <w:r>
              <w:t>1576</w:t>
            </w:r>
          </w:p>
        </w:tc>
      </w:tr>
      <w:tr>
        <w:trPr>
          <w:cantSplit/>
        </w:trPr>
        <w:tc>
          <w:tcPr>
            <w:tcW w:type="dxa" w:w="1008"/>
            <w:vAlign w:val="top"/>
            <w:tcMar>
              <w:top w:w="40" w:type="dxa"/>
              <w:left w:w="65" w:type="dxa"/>
              <w:bottom w:w="35" w:type="dxa"/>
              <w:right w:w="65" w:type="dxa"/>
            </w:tcMar>
          </w:tcPr>
          <w:p>
            <w:pPr>
              <w:pStyle w:val="TableCompact"/>
            </w:pPr>
            <w:r>
              <w:t>07 → 08</w:t>
            </w:r>
          </w:p>
        </w:tc>
        <w:tc>
          <w:tcPr>
            <w:tcW w:type="dxa" w:w="893"/>
            <w:vAlign w:val="top"/>
            <w:tcMar>
              <w:top w:w="40" w:type="dxa"/>
              <w:left w:w="65" w:type="dxa"/>
              <w:bottom w:w="35" w:type="dxa"/>
              <w:right w:w="65" w:type="dxa"/>
            </w:tcMar>
          </w:tcPr>
          <w:p>
            <w:pPr>
              <w:pStyle w:val="TableCompact"/>
            </w:pPr>
            <w:r>
              <w:t>941</w:t>
            </w:r>
          </w:p>
        </w:tc>
        <w:tc>
          <w:tcPr>
            <w:tcW w:type="dxa" w:w="893"/>
            <w:vAlign w:val="top"/>
            <w:tcMar>
              <w:top w:w="40" w:type="dxa"/>
              <w:left w:w="65" w:type="dxa"/>
              <w:bottom w:w="35" w:type="dxa"/>
              <w:right w:w="65" w:type="dxa"/>
            </w:tcMar>
          </w:tcPr>
          <w:p>
            <w:pPr>
              <w:pStyle w:val="TableCompact"/>
            </w:pPr>
            <w:r>
              <w:t>173</w:t>
            </w:r>
          </w:p>
        </w:tc>
        <w:tc>
          <w:tcPr>
            <w:tcW w:type="dxa" w:w="893"/>
            <w:vAlign w:val="top"/>
            <w:tcMar>
              <w:top w:w="40" w:type="dxa"/>
              <w:left w:w="65" w:type="dxa"/>
              <w:bottom w:w="35" w:type="dxa"/>
              <w:right w:w="65" w:type="dxa"/>
            </w:tcMar>
          </w:tcPr>
          <w:p>
            <w:pPr>
              <w:pStyle w:val="TableCompact"/>
            </w:pPr>
            <w:r>
              <w:t>107</w:t>
            </w:r>
          </w:p>
        </w:tc>
        <w:tc>
          <w:tcPr>
            <w:tcW w:type="dxa" w:w="893"/>
            <w:vAlign w:val="top"/>
            <w:tcMar>
              <w:top w:w="40" w:type="dxa"/>
              <w:left w:w="65" w:type="dxa"/>
              <w:bottom w:w="35" w:type="dxa"/>
              <w:right w:w="65" w:type="dxa"/>
            </w:tcMar>
          </w:tcPr>
          <w:p>
            <w:pPr>
              <w:pStyle w:val="TableCompact"/>
            </w:pPr>
            <w:r>
              <w:t>65</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5</w:t>
            </w:r>
          </w:p>
        </w:tc>
        <w:tc>
          <w:tcPr>
            <w:tcW w:type="dxa" w:w="893"/>
            <w:vAlign w:val="top"/>
            <w:tcMar>
              <w:top w:w="40" w:type="dxa"/>
              <w:left w:w="65" w:type="dxa"/>
              <w:bottom w:w="35" w:type="dxa"/>
              <w:right w:w="65" w:type="dxa"/>
            </w:tcMar>
          </w:tcPr>
          <w:p>
            <w:pPr>
              <w:pStyle w:val="TableCompact"/>
            </w:pPr>
            <w:r>
              <w:t>28</w:t>
            </w:r>
          </w:p>
        </w:tc>
        <w:tc>
          <w:tcPr>
            <w:tcW w:type="dxa" w:w="893"/>
            <w:vAlign w:val="top"/>
            <w:tcMar>
              <w:top w:w="40" w:type="dxa"/>
              <w:left w:w="65" w:type="dxa"/>
              <w:bottom w:w="35" w:type="dxa"/>
              <w:right w:w="65" w:type="dxa"/>
            </w:tcMar>
          </w:tcPr>
          <w:p>
            <w:pPr>
              <w:pStyle w:val="TableCompact"/>
            </w:pPr>
            <w:r>
              <w:t>239</w:t>
            </w:r>
          </w:p>
        </w:tc>
        <w:tc>
          <w:tcPr>
            <w:tcW w:type="dxa" w:w="1210"/>
            <w:vAlign w:val="top"/>
            <w:tcMar>
              <w:top w:w="40" w:type="dxa"/>
              <w:left w:w="65" w:type="dxa"/>
              <w:bottom w:w="35" w:type="dxa"/>
              <w:right w:w="65" w:type="dxa"/>
            </w:tcMar>
          </w:tcPr>
          <w:p>
            <w:pPr>
              <w:pStyle w:val="TableCompact"/>
            </w:pPr>
            <w:r>
              <w:t>1567</w:t>
            </w:r>
          </w:p>
        </w:tc>
      </w:tr>
      <w:tr>
        <w:trPr>
          <w:cantSplit/>
        </w:trPr>
        <w:tc>
          <w:tcPr>
            <w:tcW w:type="dxa" w:w="1008"/>
            <w:vAlign w:val="top"/>
            <w:tcMar>
              <w:top w:w="40" w:type="dxa"/>
              <w:left w:w="65" w:type="dxa"/>
              <w:bottom w:w="35" w:type="dxa"/>
              <w:right w:w="65" w:type="dxa"/>
            </w:tcMar>
          </w:tcPr>
          <w:p>
            <w:pPr>
              <w:pStyle w:val="TableCompact"/>
            </w:pPr>
            <w:r>
              <w:t>08 → 09</w:t>
            </w:r>
          </w:p>
        </w:tc>
        <w:tc>
          <w:tcPr>
            <w:tcW w:type="dxa" w:w="893"/>
            <w:vAlign w:val="top"/>
            <w:tcMar>
              <w:top w:w="40" w:type="dxa"/>
              <w:left w:w="65" w:type="dxa"/>
              <w:bottom w:w="35" w:type="dxa"/>
              <w:right w:w="65" w:type="dxa"/>
            </w:tcMar>
          </w:tcPr>
          <w:p>
            <w:pPr>
              <w:pStyle w:val="TableCompact"/>
            </w:pPr>
            <w:r>
              <w:t>1071</w:t>
            </w:r>
          </w:p>
        </w:tc>
        <w:tc>
          <w:tcPr>
            <w:tcW w:type="dxa" w:w="893"/>
            <w:vAlign w:val="top"/>
            <w:tcMar>
              <w:top w:w="40" w:type="dxa"/>
              <w:left w:w="65" w:type="dxa"/>
              <w:bottom w:w="35" w:type="dxa"/>
              <w:right w:w="65" w:type="dxa"/>
            </w:tcMar>
          </w:tcPr>
          <w:p>
            <w:pPr>
              <w:pStyle w:val="TableCompact"/>
            </w:pPr>
            <w:r>
              <w:t>109</w:t>
            </w:r>
          </w:p>
        </w:tc>
        <w:tc>
          <w:tcPr>
            <w:tcW w:type="dxa" w:w="893"/>
            <w:vAlign w:val="top"/>
            <w:tcMar>
              <w:top w:w="40" w:type="dxa"/>
              <w:left w:w="65" w:type="dxa"/>
              <w:bottom w:w="35" w:type="dxa"/>
              <w:right w:w="65" w:type="dxa"/>
            </w:tcMar>
          </w:tcPr>
          <w:p>
            <w:pPr>
              <w:pStyle w:val="TableCompact"/>
            </w:pPr>
            <w:r>
              <w:t>87</w:t>
            </w:r>
          </w:p>
        </w:tc>
        <w:tc>
          <w:tcPr>
            <w:tcW w:type="dxa" w:w="893"/>
            <w:vAlign w:val="top"/>
            <w:tcMar>
              <w:top w:w="40" w:type="dxa"/>
              <w:left w:w="65" w:type="dxa"/>
              <w:bottom w:w="35" w:type="dxa"/>
              <w:right w:w="65" w:type="dxa"/>
            </w:tcMar>
          </w:tcPr>
          <w:p>
            <w:pPr>
              <w:pStyle w:val="TableCompact"/>
            </w:pPr>
            <w:r>
              <w:t>64</w:t>
            </w:r>
          </w:p>
        </w:tc>
        <w:tc>
          <w:tcPr>
            <w:tcW w:type="dxa" w:w="893"/>
            <w:vAlign w:val="top"/>
            <w:tcMar>
              <w:top w:w="40" w:type="dxa"/>
              <w:left w:w="65" w:type="dxa"/>
              <w:bottom w:w="35" w:type="dxa"/>
              <w:right w:w="65" w:type="dxa"/>
            </w:tcMar>
          </w:tcPr>
          <w:p>
            <w:pPr>
              <w:pStyle w:val="TableCompact"/>
            </w:pPr>
            <w:r>
              <w:t>8</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17</w:t>
            </w:r>
          </w:p>
        </w:tc>
        <w:tc>
          <w:tcPr>
            <w:tcW w:type="dxa" w:w="893"/>
            <w:vAlign w:val="top"/>
            <w:tcMar>
              <w:top w:w="40" w:type="dxa"/>
              <w:left w:w="65" w:type="dxa"/>
              <w:bottom w:w="35" w:type="dxa"/>
              <w:right w:w="65" w:type="dxa"/>
            </w:tcMar>
          </w:tcPr>
          <w:p>
            <w:pPr>
              <w:pStyle w:val="TableCompact"/>
            </w:pPr>
            <w:r>
              <w:t>231</w:t>
            </w:r>
          </w:p>
        </w:tc>
        <w:tc>
          <w:tcPr>
            <w:tcW w:type="dxa" w:w="1210"/>
            <w:vAlign w:val="top"/>
            <w:tcMar>
              <w:top w:w="40" w:type="dxa"/>
              <w:left w:w="65" w:type="dxa"/>
              <w:bottom w:w="35" w:type="dxa"/>
              <w:right w:w="65" w:type="dxa"/>
            </w:tcMar>
          </w:tcPr>
          <w:p>
            <w:pPr>
              <w:pStyle w:val="TableCompact"/>
            </w:pPr>
            <w:r>
              <w:t>1596</w:t>
            </w:r>
          </w:p>
        </w:tc>
      </w:tr>
      <w:tr>
        <w:trPr>
          <w:cantSplit/>
        </w:trPr>
        <w:tc>
          <w:tcPr>
            <w:tcW w:type="dxa" w:w="1008"/>
            <w:vAlign w:val="top"/>
            <w:tcMar>
              <w:top w:w="40" w:type="dxa"/>
              <w:left w:w="65" w:type="dxa"/>
              <w:bottom w:w="35" w:type="dxa"/>
              <w:right w:w="65" w:type="dxa"/>
            </w:tcMar>
          </w:tcPr>
          <w:p>
            <w:pPr>
              <w:pStyle w:val="TableCompact"/>
            </w:pPr>
            <w:r>
              <w:t>09 → 10</w:t>
            </w:r>
          </w:p>
        </w:tc>
        <w:tc>
          <w:tcPr>
            <w:tcW w:type="dxa" w:w="893"/>
            <w:vAlign w:val="top"/>
            <w:tcMar>
              <w:top w:w="40" w:type="dxa"/>
              <w:left w:w="65" w:type="dxa"/>
              <w:bottom w:w="35" w:type="dxa"/>
              <w:right w:w="65" w:type="dxa"/>
            </w:tcMar>
          </w:tcPr>
          <w:p>
            <w:pPr>
              <w:pStyle w:val="TableCompact"/>
            </w:pPr>
            <w:r>
              <w:t>1176</w:t>
            </w:r>
          </w:p>
        </w:tc>
        <w:tc>
          <w:tcPr>
            <w:tcW w:type="dxa" w:w="893"/>
            <w:vAlign w:val="top"/>
            <w:tcMar>
              <w:top w:w="40" w:type="dxa"/>
              <w:left w:w="65" w:type="dxa"/>
              <w:bottom w:w="35" w:type="dxa"/>
              <w:right w:w="65" w:type="dxa"/>
            </w:tcMar>
          </w:tcPr>
          <w:p>
            <w:pPr>
              <w:pStyle w:val="TableCompact"/>
            </w:pPr>
            <w:r>
              <w:t>92</w:t>
            </w:r>
          </w:p>
        </w:tc>
        <w:tc>
          <w:tcPr>
            <w:tcW w:type="dxa" w:w="893"/>
            <w:vAlign w:val="top"/>
            <w:tcMar>
              <w:top w:w="40" w:type="dxa"/>
              <w:left w:w="65" w:type="dxa"/>
              <w:bottom w:w="35" w:type="dxa"/>
              <w:right w:w="65" w:type="dxa"/>
            </w:tcMar>
          </w:tcPr>
          <w:p>
            <w:pPr>
              <w:pStyle w:val="TableCompact"/>
            </w:pPr>
            <w:r>
              <w:t>34</w:t>
            </w:r>
          </w:p>
        </w:tc>
        <w:tc>
          <w:tcPr>
            <w:tcW w:type="dxa" w:w="893"/>
            <w:vAlign w:val="top"/>
            <w:tcMar>
              <w:top w:w="40" w:type="dxa"/>
              <w:left w:w="65" w:type="dxa"/>
              <w:bottom w:w="35" w:type="dxa"/>
              <w:right w:w="65" w:type="dxa"/>
            </w:tcMar>
          </w:tcPr>
          <w:p>
            <w:pPr>
              <w:pStyle w:val="TableCompact"/>
            </w:pPr>
            <w:r>
              <w:t>26</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8</w:t>
            </w:r>
          </w:p>
        </w:tc>
        <w:tc>
          <w:tcPr>
            <w:tcW w:type="dxa" w:w="893"/>
            <w:vAlign w:val="top"/>
            <w:tcMar>
              <w:top w:w="40" w:type="dxa"/>
              <w:left w:w="65" w:type="dxa"/>
              <w:bottom w:w="35" w:type="dxa"/>
              <w:right w:w="65" w:type="dxa"/>
            </w:tcMar>
          </w:tcPr>
          <w:p>
            <w:pPr>
              <w:pStyle w:val="TableCompact"/>
            </w:pPr>
            <w:r>
              <w:t>5</w:t>
            </w:r>
          </w:p>
        </w:tc>
        <w:tc>
          <w:tcPr>
            <w:tcW w:type="dxa" w:w="893"/>
            <w:vAlign w:val="top"/>
            <w:tcMar>
              <w:top w:w="40" w:type="dxa"/>
              <w:left w:w="65" w:type="dxa"/>
              <w:bottom w:w="35" w:type="dxa"/>
              <w:right w:w="65" w:type="dxa"/>
            </w:tcMar>
          </w:tcPr>
          <w:p>
            <w:pPr>
              <w:pStyle w:val="TableCompact"/>
            </w:pPr>
            <w:r>
              <w:t>208</w:t>
            </w:r>
          </w:p>
        </w:tc>
        <w:tc>
          <w:tcPr>
            <w:tcW w:type="dxa" w:w="1210"/>
            <w:vAlign w:val="top"/>
            <w:tcMar>
              <w:top w:w="40" w:type="dxa"/>
              <w:left w:w="65" w:type="dxa"/>
              <w:bottom w:w="35" w:type="dxa"/>
              <w:right w:w="65" w:type="dxa"/>
            </w:tcMar>
          </w:tcPr>
          <w:p>
            <w:pPr>
              <w:pStyle w:val="TableCompact"/>
            </w:pPr>
            <w:r>
              <w:t>1558</w:t>
            </w:r>
          </w:p>
        </w:tc>
      </w:tr>
      <w:tr>
        <w:trPr>
          <w:cantSplit/>
        </w:trPr>
        <w:tc>
          <w:tcPr>
            <w:tcW w:type="dxa" w:w="1008"/>
            <w:vAlign w:val="top"/>
            <w:tcMar>
              <w:top w:w="40" w:type="dxa"/>
              <w:left w:w="65" w:type="dxa"/>
              <w:bottom w:w="35" w:type="dxa"/>
              <w:right w:w="65" w:type="dxa"/>
            </w:tcMar>
          </w:tcPr>
          <w:p>
            <w:pPr>
              <w:pStyle w:val="TableCompact"/>
            </w:pPr>
            <w:r>
              <w:t>10 → 11</w:t>
            </w:r>
          </w:p>
        </w:tc>
        <w:tc>
          <w:tcPr>
            <w:tcW w:type="dxa" w:w="893"/>
            <w:vAlign w:val="top"/>
            <w:tcMar>
              <w:top w:w="40" w:type="dxa"/>
              <w:left w:w="65" w:type="dxa"/>
              <w:bottom w:w="35" w:type="dxa"/>
              <w:right w:w="65" w:type="dxa"/>
            </w:tcMar>
          </w:tcPr>
          <w:p>
            <w:pPr>
              <w:pStyle w:val="TableCompact"/>
            </w:pPr>
            <w:r>
              <w:t>983</w:t>
            </w:r>
          </w:p>
        </w:tc>
        <w:tc>
          <w:tcPr>
            <w:tcW w:type="dxa" w:w="893"/>
            <w:vAlign w:val="top"/>
            <w:tcMar>
              <w:top w:w="40" w:type="dxa"/>
              <w:left w:w="65" w:type="dxa"/>
              <w:bottom w:w="35" w:type="dxa"/>
              <w:right w:w="65" w:type="dxa"/>
            </w:tcMar>
          </w:tcPr>
          <w:p>
            <w:pPr>
              <w:pStyle w:val="TableCompact"/>
            </w:pPr>
            <w:r>
              <w:t>158</w:t>
            </w:r>
          </w:p>
        </w:tc>
        <w:tc>
          <w:tcPr>
            <w:tcW w:type="dxa" w:w="893"/>
            <w:vAlign w:val="top"/>
            <w:tcMar>
              <w:top w:w="40" w:type="dxa"/>
              <w:left w:w="65" w:type="dxa"/>
              <w:bottom w:w="35" w:type="dxa"/>
              <w:right w:w="65" w:type="dxa"/>
            </w:tcMar>
          </w:tcPr>
          <w:p>
            <w:pPr>
              <w:pStyle w:val="TableCompact"/>
            </w:pPr>
            <w:r>
              <w:t>152</w:t>
            </w:r>
          </w:p>
        </w:tc>
        <w:tc>
          <w:tcPr>
            <w:tcW w:type="dxa" w:w="893"/>
            <w:vAlign w:val="top"/>
            <w:tcMar>
              <w:top w:w="40" w:type="dxa"/>
              <w:left w:w="65" w:type="dxa"/>
              <w:bottom w:w="35" w:type="dxa"/>
              <w:right w:w="65" w:type="dxa"/>
            </w:tcMar>
          </w:tcPr>
          <w:p>
            <w:pPr>
              <w:pStyle w:val="TableCompact"/>
            </w:pPr>
            <w:r>
              <w:t>80</w:t>
            </w:r>
          </w:p>
        </w:tc>
        <w:tc>
          <w:tcPr>
            <w:tcW w:type="dxa" w:w="893"/>
            <w:vAlign w:val="top"/>
            <w:tcMar>
              <w:top w:w="40" w:type="dxa"/>
              <w:left w:w="65" w:type="dxa"/>
              <w:bottom w:w="35" w:type="dxa"/>
              <w:right w:w="65" w:type="dxa"/>
            </w:tcMar>
          </w:tcPr>
          <w:p>
            <w:pPr>
              <w:pStyle w:val="TableCompact"/>
            </w:pPr>
            <w:r>
              <w:t>14</w:t>
            </w:r>
          </w:p>
        </w:tc>
        <w:tc>
          <w:tcPr>
            <w:tcW w:type="dxa" w:w="893"/>
            <w:vAlign w:val="top"/>
            <w:tcMar>
              <w:top w:w="40" w:type="dxa"/>
              <w:left w:w="65" w:type="dxa"/>
              <w:bottom w:w="35" w:type="dxa"/>
              <w:right w:w="65" w:type="dxa"/>
            </w:tcMar>
          </w:tcPr>
          <w:p>
            <w:pPr>
              <w:pStyle w:val="TableCompact"/>
            </w:pPr>
            <w:r>
              <w:t>11</w:t>
            </w:r>
          </w:p>
        </w:tc>
        <w:tc>
          <w:tcPr>
            <w:tcW w:type="dxa" w:w="893"/>
            <w:vAlign w:val="top"/>
            <w:tcMar>
              <w:top w:w="40" w:type="dxa"/>
              <w:left w:w="65" w:type="dxa"/>
              <w:bottom w:w="35" w:type="dxa"/>
              <w:right w:w="65" w:type="dxa"/>
            </w:tcMar>
          </w:tcPr>
          <w:p>
            <w:pPr>
              <w:pStyle w:val="TableCompact"/>
            </w:pPr>
            <w:r>
              <w:t>36</w:t>
            </w:r>
          </w:p>
        </w:tc>
        <w:tc>
          <w:tcPr>
            <w:tcW w:type="dxa" w:w="893"/>
            <w:vAlign w:val="top"/>
            <w:tcMar>
              <w:top w:w="40" w:type="dxa"/>
              <w:left w:w="65" w:type="dxa"/>
              <w:bottom w:w="35" w:type="dxa"/>
              <w:right w:w="65" w:type="dxa"/>
            </w:tcMar>
          </w:tcPr>
          <w:p>
            <w:pPr>
              <w:pStyle w:val="TableCompact"/>
            </w:pPr>
            <w:r>
              <w:t>274</w:t>
            </w:r>
          </w:p>
        </w:tc>
        <w:tc>
          <w:tcPr>
            <w:tcW w:type="dxa" w:w="1210"/>
            <w:vAlign w:val="top"/>
            <w:tcMar>
              <w:top w:w="40" w:type="dxa"/>
              <w:left w:w="65" w:type="dxa"/>
              <w:bottom w:w="35" w:type="dxa"/>
              <w:right w:w="65" w:type="dxa"/>
            </w:tcMar>
          </w:tcPr>
          <w:p>
            <w:pPr>
              <w:pStyle w:val="TableCompact"/>
            </w:pPr>
            <w:r>
              <w:t>1708</w:t>
            </w:r>
          </w:p>
        </w:tc>
      </w:tr>
      <w:tr>
        <w:trPr>
          <w:cantSplit/>
        </w:trPr>
        <w:tc>
          <w:tcPr>
            <w:tcW w:type="dxa" w:w="1008"/>
            <w:vAlign w:val="top"/>
            <w:tcMar>
              <w:top w:w="40" w:type="dxa"/>
              <w:left w:w="65" w:type="dxa"/>
              <w:bottom w:w="35" w:type="dxa"/>
              <w:right w:w="65" w:type="dxa"/>
            </w:tcMar>
          </w:tcPr>
          <w:p>
            <w:pPr>
              <w:pStyle w:val="TableCompact"/>
            </w:pPr>
            <w:r>
              <w:t>11 → 12</w:t>
            </w:r>
          </w:p>
        </w:tc>
        <w:tc>
          <w:tcPr>
            <w:tcW w:type="dxa" w:w="893"/>
            <w:vAlign w:val="top"/>
            <w:tcMar>
              <w:top w:w="40" w:type="dxa"/>
              <w:left w:w="65" w:type="dxa"/>
              <w:bottom w:w="35" w:type="dxa"/>
              <w:right w:w="65" w:type="dxa"/>
            </w:tcMar>
          </w:tcPr>
          <w:p>
            <w:pPr>
              <w:pStyle w:val="TableCompact"/>
            </w:pPr>
            <w:r>
              <w:t>1284</w:t>
            </w:r>
          </w:p>
        </w:tc>
        <w:tc>
          <w:tcPr>
            <w:tcW w:type="dxa" w:w="893"/>
            <w:vAlign w:val="top"/>
            <w:tcMar>
              <w:top w:w="40" w:type="dxa"/>
              <w:left w:w="65" w:type="dxa"/>
              <w:bottom w:w="35" w:type="dxa"/>
              <w:right w:w="65" w:type="dxa"/>
            </w:tcMar>
          </w:tcPr>
          <w:p>
            <w:pPr>
              <w:pStyle w:val="TableCompact"/>
            </w:pPr>
            <w:r>
              <w:t>84</w:t>
            </w:r>
          </w:p>
        </w:tc>
        <w:tc>
          <w:tcPr>
            <w:tcW w:type="dxa" w:w="893"/>
            <w:vAlign w:val="top"/>
            <w:tcMar>
              <w:top w:w="40" w:type="dxa"/>
              <w:left w:w="65" w:type="dxa"/>
              <w:bottom w:w="35" w:type="dxa"/>
              <w:right w:w="65" w:type="dxa"/>
            </w:tcMar>
          </w:tcPr>
          <w:p>
            <w:pPr>
              <w:pStyle w:val="TableCompact"/>
            </w:pPr>
            <w:r>
              <w:t>73</w:t>
            </w:r>
          </w:p>
        </w:tc>
        <w:tc>
          <w:tcPr>
            <w:tcW w:type="dxa" w:w="893"/>
            <w:vAlign w:val="top"/>
            <w:tcMar>
              <w:top w:w="40" w:type="dxa"/>
              <w:left w:w="65" w:type="dxa"/>
              <w:bottom w:w="35" w:type="dxa"/>
              <w:right w:w="65" w:type="dxa"/>
            </w:tcMar>
          </w:tcPr>
          <w:p>
            <w:pPr>
              <w:pStyle w:val="TableCompact"/>
            </w:pPr>
            <w:r>
              <w:t>38</w:t>
            </w:r>
          </w:p>
        </w:tc>
        <w:tc>
          <w:tcPr>
            <w:tcW w:type="dxa" w:w="893"/>
            <w:vAlign w:val="top"/>
            <w:tcMar>
              <w:top w:w="40" w:type="dxa"/>
              <w:left w:w="65" w:type="dxa"/>
              <w:bottom w:w="35" w:type="dxa"/>
              <w:right w:w="65" w:type="dxa"/>
            </w:tcMar>
          </w:tcPr>
          <w:p>
            <w:pPr>
              <w:pStyle w:val="TableCompact"/>
            </w:pPr>
            <w:r>
              <w:t>13</w:t>
            </w:r>
          </w:p>
        </w:tc>
        <w:tc>
          <w:tcPr>
            <w:tcW w:type="dxa" w:w="893"/>
            <w:vAlign w:val="top"/>
            <w:tcMar>
              <w:top w:w="40" w:type="dxa"/>
              <w:left w:w="65" w:type="dxa"/>
              <w:bottom w:w="35" w:type="dxa"/>
              <w:right w:w="65" w:type="dxa"/>
            </w:tcMar>
          </w:tcPr>
          <w:p>
            <w:pPr>
              <w:pStyle w:val="TableCompact"/>
            </w:pPr>
            <w:r>
              <w:t>12</w:t>
            </w:r>
          </w:p>
        </w:tc>
        <w:tc>
          <w:tcPr>
            <w:tcW w:type="dxa" w:w="893"/>
            <w:vAlign w:val="top"/>
            <w:tcMar>
              <w:top w:w="40" w:type="dxa"/>
              <w:left w:w="65" w:type="dxa"/>
              <w:bottom w:w="35" w:type="dxa"/>
              <w:right w:w="65" w:type="dxa"/>
            </w:tcMar>
          </w:tcPr>
          <w:p>
            <w:pPr>
              <w:pStyle w:val="TableCompact"/>
            </w:pPr>
            <w:r>
              <w:t>3</w:t>
            </w:r>
          </w:p>
        </w:tc>
        <w:tc>
          <w:tcPr>
            <w:tcW w:type="dxa" w:w="893"/>
            <w:vAlign w:val="top"/>
            <w:tcMar>
              <w:top w:w="40" w:type="dxa"/>
              <w:left w:w="65" w:type="dxa"/>
              <w:bottom w:w="35" w:type="dxa"/>
              <w:right w:w="65" w:type="dxa"/>
            </w:tcMar>
          </w:tcPr>
          <w:p>
            <w:pPr>
              <w:pStyle w:val="TableCompact"/>
            </w:pPr>
            <w:r>
              <w:t>180</w:t>
            </w:r>
          </w:p>
        </w:tc>
        <w:tc>
          <w:tcPr>
            <w:tcW w:type="dxa" w:w="1210"/>
            <w:vAlign w:val="top"/>
            <w:tcMar>
              <w:top w:w="40" w:type="dxa"/>
              <w:left w:w="65" w:type="dxa"/>
              <w:bottom w:w="35" w:type="dxa"/>
              <w:right w:w="65" w:type="dxa"/>
            </w:tcMar>
          </w:tcPr>
          <w:p>
            <w:pPr>
              <w:pStyle w:val="TableCompact"/>
            </w:pPr>
            <w:r>
              <w:t>1687</w:t>
            </w:r>
          </w:p>
        </w:tc>
      </w:tr>
      <w:tr>
        <w:trPr>
          <w:cantSplit/>
        </w:trPr>
        <w:tc>
          <w:tcPr>
            <w:tcW w:type="dxa" w:w="1008"/>
            <w:vAlign w:val="top"/>
            <w:tcMar>
              <w:top w:w="40" w:type="dxa"/>
              <w:left w:w="65" w:type="dxa"/>
              <w:bottom w:w="35" w:type="dxa"/>
              <w:right w:w="65" w:type="dxa"/>
            </w:tcMar>
          </w:tcPr>
          <w:p>
            <w:pPr>
              <w:pStyle w:val="TableCompact"/>
            </w:pPr>
            <w:r>
              <w:t>12 → 13</w:t>
            </w:r>
          </w:p>
        </w:tc>
        <w:tc>
          <w:tcPr>
            <w:tcW w:type="dxa" w:w="893"/>
            <w:vAlign w:val="top"/>
            <w:tcMar>
              <w:top w:w="40" w:type="dxa"/>
              <w:left w:w="65" w:type="dxa"/>
              <w:bottom w:w="35" w:type="dxa"/>
              <w:right w:w="65" w:type="dxa"/>
            </w:tcMar>
          </w:tcPr>
          <w:p>
            <w:pPr>
              <w:pStyle w:val="TableCompact"/>
            </w:pPr>
            <w:r>
              <w:t>1161</w:t>
            </w:r>
          </w:p>
        </w:tc>
        <w:tc>
          <w:tcPr>
            <w:tcW w:type="dxa" w:w="893"/>
            <w:vAlign w:val="top"/>
            <w:tcMar>
              <w:top w:w="40" w:type="dxa"/>
              <w:left w:w="65" w:type="dxa"/>
              <w:bottom w:w="35" w:type="dxa"/>
              <w:right w:w="65" w:type="dxa"/>
            </w:tcMar>
          </w:tcPr>
          <w:p>
            <w:pPr>
              <w:pStyle w:val="TableCompact"/>
            </w:pPr>
            <w:r>
              <w:t>143</w:t>
            </w:r>
          </w:p>
        </w:tc>
        <w:tc>
          <w:tcPr>
            <w:tcW w:type="dxa" w:w="893"/>
            <w:vAlign w:val="top"/>
            <w:tcMar>
              <w:top w:w="40" w:type="dxa"/>
              <w:left w:w="65" w:type="dxa"/>
              <w:bottom w:w="35" w:type="dxa"/>
              <w:right w:w="65" w:type="dxa"/>
            </w:tcMar>
          </w:tcPr>
          <w:p>
            <w:pPr>
              <w:pStyle w:val="TableCompact"/>
            </w:pPr>
            <w:r>
              <w:t>124</w:t>
            </w:r>
          </w:p>
        </w:tc>
        <w:tc>
          <w:tcPr>
            <w:tcW w:type="dxa" w:w="893"/>
            <w:vAlign w:val="top"/>
            <w:tcMar>
              <w:top w:w="40" w:type="dxa"/>
              <w:left w:w="65" w:type="dxa"/>
              <w:bottom w:w="35" w:type="dxa"/>
              <w:right w:w="65" w:type="dxa"/>
            </w:tcMar>
          </w:tcPr>
          <w:p>
            <w:pPr>
              <w:pStyle w:val="TableCompact"/>
            </w:pPr>
            <w:r>
              <w:t>105</w:t>
            </w:r>
          </w:p>
        </w:tc>
        <w:tc>
          <w:tcPr>
            <w:tcW w:type="dxa" w:w="893"/>
            <w:vAlign w:val="top"/>
            <w:tcMar>
              <w:top w:w="40" w:type="dxa"/>
              <w:left w:w="65" w:type="dxa"/>
              <w:bottom w:w="35" w:type="dxa"/>
              <w:right w:w="65" w:type="dxa"/>
            </w:tcMar>
          </w:tcPr>
          <w:p>
            <w:pPr>
              <w:pStyle w:val="TableCompact"/>
            </w:pPr>
            <w:r>
              <w:t>7</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32</w:t>
            </w:r>
          </w:p>
        </w:tc>
        <w:tc>
          <w:tcPr>
            <w:tcW w:type="dxa" w:w="893"/>
            <w:vAlign w:val="top"/>
            <w:tcMar>
              <w:top w:w="40" w:type="dxa"/>
              <w:left w:w="65" w:type="dxa"/>
              <w:bottom w:w="35" w:type="dxa"/>
              <w:right w:w="65" w:type="dxa"/>
            </w:tcMar>
          </w:tcPr>
          <w:p>
            <w:pPr>
              <w:pStyle w:val="TableCompact"/>
            </w:pPr>
            <w:r>
              <w:t>202</w:t>
            </w:r>
          </w:p>
        </w:tc>
        <w:tc>
          <w:tcPr>
            <w:tcW w:type="dxa" w:w="1210"/>
            <w:vAlign w:val="top"/>
            <w:tcMar>
              <w:top w:w="40" w:type="dxa"/>
              <w:left w:w="65" w:type="dxa"/>
              <w:bottom w:w="35" w:type="dxa"/>
              <w:right w:w="65" w:type="dxa"/>
            </w:tcMar>
          </w:tcPr>
          <w:p>
            <w:pPr>
              <w:pStyle w:val="TableCompact"/>
            </w:pPr>
            <w:r>
              <w:t>1783</w:t>
            </w:r>
          </w:p>
        </w:tc>
      </w:tr>
      <w:tr>
        <w:trPr>
          <w:cantSplit/>
        </w:trPr>
        <w:tc>
          <w:tcPr>
            <w:tcW w:type="dxa" w:w="1008"/>
            <w:vAlign w:val="top"/>
            <w:tcMar>
              <w:top w:w="40" w:type="dxa"/>
              <w:left w:w="65" w:type="dxa"/>
              <w:bottom w:w="35" w:type="dxa"/>
              <w:right w:w="65" w:type="dxa"/>
            </w:tcMar>
          </w:tcPr>
          <w:p>
            <w:pPr>
              <w:pStyle w:val="TableCompact"/>
            </w:pPr>
            <w:r>
              <w:t>13 → 14</w:t>
            </w:r>
          </w:p>
        </w:tc>
        <w:tc>
          <w:tcPr>
            <w:tcW w:type="dxa" w:w="893"/>
            <w:vAlign w:val="top"/>
            <w:tcMar>
              <w:top w:w="40" w:type="dxa"/>
              <w:left w:w="65" w:type="dxa"/>
              <w:bottom w:w="35" w:type="dxa"/>
              <w:right w:w="65" w:type="dxa"/>
            </w:tcMar>
          </w:tcPr>
          <w:p>
            <w:pPr>
              <w:pStyle w:val="TableCompact"/>
            </w:pPr>
            <w:r>
              <w:t>436</w:t>
            </w:r>
          </w:p>
        </w:tc>
        <w:tc>
          <w:tcPr>
            <w:tcW w:type="dxa" w:w="893"/>
            <w:vAlign w:val="top"/>
            <w:tcMar>
              <w:top w:w="40" w:type="dxa"/>
              <w:left w:w="65" w:type="dxa"/>
              <w:bottom w:w="35" w:type="dxa"/>
              <w:right w:w="65" w:type="dxa"/>
            </w:tcMar>
          </w:tcPr>
          <w:p>
            <w:pPr>
              <w:pStyle w:val="TableCompact"/>
            </w:pPr>
            <w:r>
              <w:t>67</w:t>
            </w:r>
          </w:p>
        </w:tc>
        <w:tc>
          <w:tcPr>
            <w:tcW w:type="dxa" w:w="893"/>
            <w:vAlign w:val="top"/>
            <w:tcMar>
              <w:top w:w="40" w:type="dxa"/>
              <w:left w:w="65" w:type="dxa"/>
              <w:bottom w:w="35" w:type="dxa"/>
              <w:right w:w="65" w:type="dxa"/>
            </w:tcMar>
          </w:tcPr>
          <w:p>
            <w:pPr>
              <w:pStyle w:val="TableCompact"/>
            </w:pPr>
            <w:r>
              <w:t>161</w:t>
            </w:r>
          </w:p>
        </w:tc>
        <w:tc>
          <w:tcPr>
            <w:tcW w:type="dxa" w:w="893"/>
            <w:vAlign w:val="top"/>
            <w:tcMar>
              <w:top w:w="40" w:type="dxa"/>
              <w:left w:w="65" w:type="dxa"/>
              <w:bottom w:w="35" w:type="dxa"/>
              <w:right w:w="65" w:type="dxa"/>
            </w:tcMar>
          </w:tcPr>
          <w:p>
            <w:pPr>
              <w:pStyle w:val="TableCompact"/>
            </w:pPr>
            <w:r>
              <w:t>211</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738</w:t>
            </w:r>
          </w:p>
        </w:tc>
        <w:tc>
          <w:tcPr>
            <w:tcW w:type="dxa" w:w="893"/>
            <w:vAlign w:val="top"/>
            <w:tcMar>
              <w:top w:w="40" w:type="dxa"/>
              <w:left w:w="65" w:type="dxa"/>
              <w:bottom w:w="35" w:type="dxa"/>
              <w:right w:w="65" w:type="dxa"/>
            </w:tcMar>
          </w:tcPr>
          <w:p>
            <w:pPr>
              <w:pStyle w:val="TableCompact"/>
            </w:pPr>
            <w:r>
              <w:t>191</w:t>
            </w:r>
          </w:p>
        </w:tc>
        <w:tc>
          <w:tcPr>
            <w:tcW w:type="dxa" w:w="1210"/>
            <w:vAlign w:val="top"/>
            <w:tcMar>
              <w:top w:w="40" w:type="dxa"/>
              <w:left w:w="65" w:type="dxa"/>
              <w:bottom w:w="35" w:type="dxa"/>
              <w:right w:w="65" w:type="dxa"/>
            </w:tcMar>
          </w:tcPr>
          <w:p>
            <w:pPr>
              <w:pStyle w:val="TableCompact"/>
            </w:pPr>
            <w:r>
              <w:t>1822</w:t>
            </w:r>
          </w:p>
        </w:tc>
      </w:tr>
      <w:tr>
        <w:trPr>
          <w:cantSplit/>
        </w:trPr>
        <w:tc>
          <w:tcPr>
            <w:tcW w:type="dxa" w:w="1008"/>
            <w:vAlign w:val="top"/>
            <w:tcMar>
              <w:top w:w="40" w:type="dxa"/>
              <w:left w:w="65" w:type="dxa"/>
              <w:bottom w:w="35" w:type="dxa"/>
              <w:right w:w="65" w:type="dxa"/>
            </w:tcMar>
          </w:tcPr>
          <w:p>
            <w:pPr>
              <w:pStyle w:val="TableCompact"/>
            </w:pPr>
            <w:r>
              <w:t>14 → 15</w:t>
            </w:r>
          </w:p>
        </w:tc>
        <w:tc>
          <w:tcPr>
            <w:tcW w:type="dxa" w:w="893"/>
            <w:vAlign w:val="top"/>
            <w:tcMar>
              <w:top w:w="40" w:type="dxa"/>
              <w:left w:w="65" w:type="dxa"/>
              <w:bottom w:w="35" w:type="dxa"/>
              <w:right w:w="65" w:type="dxa"/>
            </w:tcMar>
          </w:tcPr>
          <w:p>
            <w:pPr>
              <w:pStyle w:val="TableCompact"/>
            </w:pPr>
            <w:r>
              <w:t>1259</w:t>
            </w:r>
          </w:p>
        </w:tc>
        <w:tc>
          <w:tcPr>
            <w:tcW w:type="dxa" w:w="893"/>
            <w:vAlign w:val="top"/>
            <w:tcMar>
              <w:top w:w="40" w:type="dxa"/>
              <w:left w:w="65" w:type="dxa"/>
              <w:bottom w:w="35" w:type="dxa"/>
              <w:right w:w="65" w:type="dxa"/>
            </w:tcMar>
          </w:tcPr>
          <w:p>
            <w:pPr>
              <w:pStyle w:val="TableCompact"/>
            </w:pPr>
            <w:r>
              <w:t>85</w:t>
            </w:r>
          </w:p>
        </w:tc>
        <w:tc>
          <w:tcPr>
            <w:tcW w:type="dxa" w:w="893"/>
            <w:vAlign w:val="top"/>
            <w:tcMar>
              <w:top w:w="40" w:type="dxa"/>
              <w:left w:w="65" w:type="dxa"/>
              <w:bottom w:w="35" w:type="dxa"/>
              <w:right w:w="65" w:type="dxa"/>
            </w:tcMar>
          </w:tcPr>
          <w:p>
            <w:pPr>
              <w:pStyle w:val="TableCompact"/>
            </w:pPr>
            <w:r>
              <w:t>76</w:t>
            </w:r>
          </w:p>
        </w:tc>
        <w:tc>
          <w:tcPr>
            <w:tcW w:type="dxa" w:w="893"/>
            <w:vAlign w:val="top"/>
            <w:tcMar>
              <w:top w:w="40" w:type="dxa"/>
              <w:left w:w="65" w:type="dxa"/>
              <w:bottom w:w="35" w:type="dxa"/>
              <w:right w:w="65" w:type="dxa"/>
            </w:tcMar>
          </w:tcPr>
          <w:p>
            <w:pPr>
              <w:pStyle w:val="TableCompact"/>
            </w:pPr>
            <w:r>
              <w:t>61</w:t>
            </w:r>
          </w:p>
        </w:tc>
        <w:tc>
          <w:tcPr>
            <w:tcW w:type="dxa" w:w="893"/>
            <w:vAlign w:val="top"/>
            <w:tcMar>
              <w:top w:w="40" w:type="dxa"/>
              <w:left w:w="65" w:type="dxa"/>
              <w:bottom w:w="35" w:type="dxa"/>
              <w:right w:w="65" w:type="dxa"/>
            </w:tcMar>
          </w:tcPr>
          <w:p>
            <w:pPr>
              <w:pStyle w:val="TableCompact"/>
            </w:pPr>
            <w:r>
              <w:t>8</w:t>
            </w:r>
          </w:p>
        </w:tc>
        <w:tc>
          <w:tcPr>
            <w:tcW w:type="dxa" w:w="893"/>
            <w:vAlign w:val="top"/>
            <w:tcMar>
              <w:top w:w="40" w:type="dxa"/>
              <w:left w:w="65" w:type="dxa"/>
              <w:bottom w:w="35" w:type="dxa"/>
              <w:right w:w="65" w:type="dxa"/>
            </w:tcMar>
          </w:tcPr>
          <w:p>
            <w:pPr>
              <w:pStyle w:val="TableCompact"/>
            </w:pPr>
            <w:r>
              <w:t>6</w:t>
            </w:r>
          </w:p>
        </w:tc>
        <w:tc>
          <w:tcPr>
            <w:tcW w:type="dxa" w:w="893"/>
            <w:vAlign w:val="top"/>
            <w:tcMar>
              <w:top w:w="40" w:type="dxa"/>
              <w:left w:w="65" w:type="dxa"/>
              <w:bottom w:w="35" w:type="dxa"/>
              <w:right w:w="65" w:type="dxa"/>
            </w:tcMar>
          </w:tcPr>
          <w:p>
            <w:pPr>
              <w:pStyle w:val="TableCompact"/>
            </w:pPr>
            <w:r>
              <w:t>5</w:t>
            </w:r>
          </w:p>
        </w:tc>
        <w:tc>
          <w:tcPr>
            <w:tcW w:type="dxa" w:w="893"/>
            <w:vAlign w:val="top"/>
            <w:tcMar>
              <w:top w:w="40" w:type="dxa"/>
              <w:left w:w="65" w:type="dxa"/>
              <w:bottom w:w="35" w:type="dxa"/>
              <w:right w:w="65" w:type="dxa"/>
            </w:tcMar>
          </w:tcPr>
          <w:p>
            <w:pPr>
              <w:pStyle w:val="TableCompact"/>
            </w:pPr>
            <w:r>
              <w:t>175</w:t>
            </w:r>
          </w:p>
        </w:tc>
        <w:tc>
          <w:tcPr>
            <w:tcW w:type="dxa" w:w="1210"/>
            <w:vAlign w:val="top"/>
            <w:tcMar>
              <w:top w:w="40" w:type="dxa"/>
              <w:left w:w="65" w:type="dxa"/>
              <w:bottom w:w="35" w:type="dxa"/>
              <w:right w:w="65" w:type="dxa"/>
            </w:tcMar>
          </w:tcPr>
          <w:p>
            <w:pPr>
              <w:pStyle w:val="TableCompact"/>
            </w:pPr>
            <w:r>
              <w:t>1675</w:t>
            </w:r>
          </w:p>
        </w:tc>
      </w:tr>
      <w:tr>
        <w:trPr>
          <w:cantSplit/>
        </w:trPr>
        <w:tc>
          <w:tcPr>
            <w:tcW w:type="dxa" w:w="1008"/>
            <w:vAlign w:val="top"/>
            <w:tcMar>
              <w:top w:w="40" w:type="dxa"/>
              <w:left w:w="65" w:type="dxa"/>
              <w:bottom w:w="35" w:type="dxa"/>
              <w:right w:w="65" w:type="dxa"/>
            </w:tcMar>
          </w:tcPr>
          <w:p>
            <w:pPr>
              <w:pStyle w:val="TableCompact"/>
            </w:pPr>
            <w:r>
              <w:t>15 → 16</w:t>
            </w:r>
          </w:p>
        </w:tc>
        <w:tc>
          <w:tcPr>
            <w:tcW w:type="dxa" w:w="893"/>
            <w:vAlign w:val="top"/>
            <w:tcMar>
              <w:top w:w="40" w:type="dxa"/>
              <w:left w:w="65" w:type="dxa"/>
              <w:bottom w:w="35" w:type="dxa"/>
              <w:right w:w="65" w:type="dxa"/>
            </w:tcMar>
          </w:tcPr>
          <w:p>
            <w:pPr>
              <w:pStyle w:val="TableCompact"/>
            </w:pPr>
            <w:r>
              <w:t>1138</w:t>
            </w:r>
          </w:p>
        </w:tc>
        <w:tc>
          <w:tcPr>
            <w:tcW w:type="dxa" w:w="893"/>
            <w:vAlign w:val="top"/>
            <w:tcMar>
              <w:top w:w="40" w:type="dxa"/>
              <w:left w:w="65" w:type="dxa"/>
              <w:bottom w:w="35" w:type="dxa"/>
              <w:right w:w="65" w:type="dxa"/>
            </w:tcMar>
          </w:tcPr>
          <w:p>
            <w:pPr>
              <w:pStyle w:val="TableCompact"/>
            </w:pPr>
            <w:r>
              <w:t>218</w:t>
            </w:r>
          </w:p>
        </w:tc>
        <w:tc>
          <w:tcPr>
            <w:tcW w:type="dxa" w:w="893"/>
            <w:vAlign w:val="top"/>
            <w:tcMar>
              <w:top w:w="40" w:type="dxa"/>
              <w:left w:w="65" w:type="dxa"/>
              <w:bottom w:w="35" w:type="dxa"/>
              <w:right w:w="65" w:type="dxa"/>
            </w:tcMar>
          </w:tcPr>
          <w:p>
            <w:pPr>
              <w:pStyle w:val="TableCompact"/>
            </w:pPr>
            <w:r>
              <w:t>76</w:t>
            </w:r>
          </w:p>
        </w:tc>
        <w:tc>
          <w:tcPr>
            <w:tcW w:type="dxa" w:w="893"/>
            <w:vAlign w:val="top"/>
            <w:tcMar>
              <w:top w:w="40" w:type="dxa"/>
              <w:left w:w="65" w:type="dxa"/>
              <w:bottom w:w="35" w:type="dxa"/>
              <w:right w:w="65" w:type="dxa"/>
            </w:tcMar>
          </w:tcPr>
          <w:p>
            <w:pPr>
              <w:pStyle w:val="TableCompact"/>
            </w:pPr>
            <w:r>
              <w:t>20</w:t>
            </w:r>
          </w:p>
        </w:tc>
        <w:tc>
          <w:tcPr>
            <w:tcW w:type="dxa" w:w="893"/>
            <w:vAlign w:val="top"/>
            <w:tcMar>
              <w:top w:w="40" w:type="dxa"/>
              <w:left w:w="65" w:type="dxa"/>
              <w:bottom w:w="35" w:type="dxa"/>
              <w:right w:w="65" w:type="dxa"/>
            </w:tcMar>
          </w:tcPr>
          <w:p>
            <w:pPr>
              <w:pStyle w:val="TableCompact"/>
            </w:pPr>
            <w:r>
              <w:t>13</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67</w:t>
            </w:r>
          </w:p>
        </w:tc>
        <w:tc>
          <w:tcPr>
            <w:tcW w:type="dxa" w:w="893"/>
            <w:vAlign w:val="top"/>
            <w:tcMar>
              <w:top w:w="40" w:type="dxa"/>
              <w:left w:w="65" w:type="dxa"/>
              <w:bottom w:w="35" w:type="dxa"/>
              <w:right w:w="65" w:type="dxa"/>
            </w:tcMar>
          </w:tcPr>
          <w:p>
            <w:pPr>
              <w:pStyle w:val="TableCompact"/>
            </w:pPr>
            <w:r>
              <w:t>170</w:t>
            </w:r>
          </w:p>
        </w:tc>
        <w:tc>
          <w:tcPr>
            <w:tcW w:type="dxa" w:w="1210"/>
            <w:vAlign w:val="top"/>
            <w:tcMar>
              <w:top w:w="40" w:type="dxa"/>
              <w:left w:w="65" w:type="dxa"/>
              <w:bottom w:w="35" w:type="dxa"/>
              <w:right w:w="65" w:type="dxa"/>
            </w:tcMar>
          </w:tcPr>
          <w:p>
            <w:pPr>
              <w:pStyle w:val="TableCompact"/>
            </w:pPr>
            <w:r>
              <w:t>1711</w:t>
            </w:r>
          </w:p>
        </w:tc>
      </w:tr>
      <w:tr>
        <w:trPr>
          <w:cantSplit/>
        </w:trPr>
        <w:tc>
          <w:tcPr>
            <w:tcW w:type="dxa" w:w="1008"/>
            <w:vAlign w:val="top"/>
            <w:tcMar>
              <w:top w:w="40" w:type="dxa"/>
              <w:left w:w="65" w:type="dxa"/>
              <w:bottom w:w="35" w:type="dxa"/>
              <w:right w:w="65" w:type="dxa"/>
            </w:tcMar>
          </w:tcPr>
          <w:p>
            <w:pPr>
              <w:pStyle w:val="TableCompact"/>
            </w:pPr>
            <w:r>
              <w:t>16 → 17</w:t>
            </w:r>
          </w:p>
        </w:tc>
        <w:tc>
          <w:tcPr>
            <w:tcW w:type="dxa" w:w="893"/>
            <w:vAlign w:val="top"/>
            <w:tcMar>
              <w:top w:w="40" w:type="dxa"/>
              <w:left w:w="65" w:type="dxa"/>
              <w:bottom w:w="35" w:type="dxa"/>
              <w:right w:w="65" w:type="dxa"/>
            </w:tcMar>
          </w:tcPr>
          <w:p>
            <w:pPr>
              <w:pStyle w:val="TableCompact"/>
            </w:pPr>
            <w:r>
              <w:t>1219</w:t>
            </w:r>
          </w:p>
        </w:tc>
        <w:tc>
          <w:tcPr>
            <w:tcW w:type="dxa" w:w="893"/>
            <w:vAlign w:val="top"/>
            <w:tcMar>
              <w:top w:w="40" w:type="dxa"/>
              <w:left w:w="65" w:type="dxa"/>
              <w:bottom w:w="35" w:type="dxa"/>
              <w:right w:w="65" w:type="dxa"/>
            </w:tcMar>
          </w:tcPr>
          <w:p>
            <w:pPr>
              <w:pStyle w:val="TableCompact"/>
            </w:pPr>
            <w:r>
              <w:t>167</w:t>
            </w:r>
          </w:p>
        </w:tc>
        <w:tc>
          <w:tcPr>
            <w:tcW w:type="dxa" w:w="893"/>
            <w:vAlign w:val="top"/>
            <w:tcMar>
              <w:top w:w="40" w:type="dxa"/>
              <w:left w:w="65" w:type="dxa"/>
              <w:bottom w:w="35" w:type="dxa"/>
              <w:right w:w="65" w:type="dxa"/>
            </w:tcMar>
          </w:tcPr>
          <w:p>
            <w:pPr>
              <w:pStyle w:val="TableCompact"/>
            </w:pPr>
            <w:r>
              <w:t>107</w:t>
            </w:r>
          </w:p>
        </w:tc>
        <w:tc>
          <w:tcPr>
            <w:tcW w:type="dxa" w:w="893"/>
            <w:vAlign w:val="top"/>
            <w:tcMar>
              <w:top w:w="40" w:type="dxa"/>
              <w:left w:w="65" w:type="dxa"/>
              <w:bottom w:w="35" w:type="dxa"/>
              <w:right w:w="65" w:type="dxa"/>
            </w:tcMar>
          </w:tcPr>
          <w:p>
            <w:pPr>
              <w:pStyle w:val="TableCompact"/>
            </w:pPr>
            <w:r>
              <w:t>80</w:t>
            </w:r>
          </w:p>
        </w:tc>
        <w:tc>
          <w:tcPr>
            <w:tcW w:type="dxa" w:w="893"/>
            <w:vAlign w:val="top"/>
            <w:tcMar>
              <w:top w:w="40" w:type="dxa"/>
              <w:left w:w="65" w:type="dxa"/>
              <w:bottom w:w="35" w:type="dxa"/>
              <w:right w:w="65" w:type="dxa"/>
            </w:tcMar>
          </w:tcPr>
          <w:p>
            <w:pPr>
              <w:pStyle w:val="TableCompact"/>
            </w:pPr>
            <w:r>
              <w:t>7</w:t>
            </w:r>
          </w:p>
        </w:tc>
        <w:tc>
          <w:tcPr>
            <w:tcW w:type="dxa" w:w="893"/>
            <w:vAlign w:val="top"/>
            <w:tcMar>
              <w:top w:w="40" w:type="dxa"/>
              <w:left w:w="65" w:type="dxa"/>
              <w:bottom w:w="35" w:type="dxa"/>
              <w:right w:w="65" w:type="dxa"/>
            </w:tcMar>
          </w:tcPr>
          <w:p>
            <w:pPr>
              <w:pStyle w:val="TableCompact"/>
            </w:pPr>
            <w:r>
              <w:t>10</w:t>
            </w:r>
          </w:p>
        </w:tc>
        <w:tc>
          <w:tcPr>
            <w:tcW w:type="dxa" w:w="893"/>
            <w:vAlign w:val="top"/>
            <w:tcMar>
              <w:top w:w="40" w:type="dxa"/>
              <w:left w:w="65" w:type="dxa"/>
              <w:bottom w:w="35" w:type="dxa"/>
              <w:right w:w="65" w:type="dxa"/>
            </w:tcMar>
          </w:tcPr>
          <w:p>
            <w:pPr>
              <w:pStyle w:val="TableCompact"/>
            </w:pPr>
            <w:r>
              <w:t>29</w:t>
            </w:r>
          </w:p>
        </w:tc>
        <w:tc>
          <w:tcPr>
            <w:tcW w:type="dxa" w:w="893"/>
            <w:vAlign w:val="top"/>
            <w:tcMar>
              <w:top w:w="40" w:type="dxa"/>
              <w:left w:w="65" w:type="dxa"/>
              <w:bottom w:w="35" w:type="dxa"/>
              <w:right w:w="65" w:type="dxa"/>
            </w:tcMar>
          </w:tcPr>
          <w:p>
            <w:pPr>
              <w:pStyle w:val="TableCompact"/>
            </w:pPr>
            <w:r>
              <w:t>200</w:t>
            </w:r>
          </w:p>
        </w:tc>
        <w:tc>
          <w:tcPr>
            <w:tcW w:type="dxa" w:w="1210"/>
            <w:vAlign w:val="top"/>
            <w:tcMar>
              <w:top w:w="40" w:type="dxa"/>
              <w:left w:w="65" w:type="dxa"/>
              <w:bottom w:w="35" w:type="dxa"/>
              <w:right w:w="65" w:type="dxa"/>
            </w:tcMar>
          </w:tcPr>
          <w:p>
            <w:pPr>
              <w:pStyle w:val="TableCompact"/>
            </w:pPr>
            <w:r>
              <w:t>1819</w:t>
            </w:r>
          </w:p>
        </w:tc>
      </w:tr>
      <w:tr>
        <w:trPr>
          <w:cantSplit/>
        </w:trPr>
        <w:tc>
          <w:tcPr>
            <w:tcW w:type="dxa" w:w="1008"/>
            <w:vAlign w:val="top"/>
            <w:tcMar>
              <w:top w:w="40" w:type="dxa"/>
              <w:left w:w="65" w:type="dxa"/>
              <w:bottom w:w="35" w:type="dxa"/>
              <w:right w:w="65" w:type="dxa"/>
            </w:tcMar>
          </w:tcPr>
          <w:p>
            <w:pPr>
              <w:pStyle w:val="TableCompact"/>
            </w:pPr>
            <w:r>
              <w:t>17 → 18</w:t>
            </w:r>
          </w:p>
        </w:tc>
        <w:tc>
          <w:tcPr>
            <w:tcW w:type="dxa" w:w="893"/>
            <w:vAlign w:val="top"/>
            <w:tcMar>
              <w:top w:w="40" w:type="dxa"/>
              <w:left w:w="65" w:type="dxa"/>
              <w:bottom w:w="35" w:type="dxa"/>
              <w:right w:w="65" w:type="dxa"/>
            </w:tcMar>
          </w:tcPr>
          <w:p>
            <w:pPr>
              <w:pStyle w:val="TableCompact"/>
            </w:pPr>
            <w:r>
              <w:t>1522</w:t>
            </w:r>
          </w:p>
        </w:tc>
        <w:tc>
          <w:tcPr>
            <w:tcW w:type="dxa" w:w="893"/>
            <w:vAlign w:val="top"/>
            <w:tcMar>
              <w:top w:w="40" w:type="dxa"/>
              <w:left w:w="65" w:type="dxa"/>
              <w:bottom w:w="35" w:type="dxa"/>
              <w:right w:w="65" w:type="dxa"/>
            </w:tcMar>
          </w:tcPr>
          <w:p>
            <w:pPr>
              <w:pStyle w:val="TableCompact"/>
            </w:pPr>
            <w:r>
              <w:t>26</w:t>
            </w:r>
          </w:p>
        </w:tc>
        <w:tc>
          <w:tcPr>
            <w:tcW w:type="dxa" w:w="893"/>
            <w:vAlign w:val="top"/>
            <w:tcMar>
              <w:top w:w="40" w:type="dxa"/>
              <w:left w:w="65" w:type="dxa"/>
              <w:bottom w:w="35" w:type="dxa"/>
              <w:right w:w="65" w:type="dxa"/>
            </w:tcMar>
          </w:tcPr>
          <w:p>
            <w:pPr>
              <w:pStyle w:val="TableCompact"/>
            </w:pPr>
            <w:r>
              <w:t>6</w:t>
            </w:r>
          </w:p>
        </w:tc>
        <w:tc>
          <w:tcPr>
            <w:tcW w:type="dxa" w:w="893"/>
            <w:vAlign w:val="top"/>
            <w:tcMar>
              <w:top w:w="40" w:type="dxa"/>
              <w:left w:w="65" w:type="dxa"/>
              <w:bottom w:w="35" w:type="dxa"/>
              <w:right w:w="65" w:type="dxa"/>
            </w:tcMar>
          </w:tcPr>
          <w:p>
            <w:pPr>
              <w:pStyle w:val="TableCompact"/>
            </w:pPr>
            <w:r>
              <w:t>7</w:t>
            </w:r>
          </w:p>
        </w:tc>
        <w:tc>
          <w:tcPr>
            <w:tcW w:type="dxa" w:w="893"/>
            <w:vAlign w:val="top"/>
            <w:tcMar>
              <w:top w:w="40" w:type="dxa"/>
              <w:left w:w="65" w:type="dxa"/>
              <w:bottom w:w="35" w:type="dxa"/>
              <w:right w:w="65" w:type="dxa"/>
            </w:tcMar>
          </w:tcPr>
          <w:p>
            <w:pPr>
              <w:pStyle w:val="TableCompact"/>
            </w:pPr>
            <w:r>
              <w:t>4</w:t>
            </w:r>
          </w:p>
        </w:tc>
        <w:tc>
          <w:tcPr>
            <w:tcW w:type="dxa" w:w="893"/>
            <w:vAlign w:val="top"/>
            <w:tcMar>
              <w:top w:w="40" w:type="dxa"/>
              <w:left w:w="65" w:type="dxa"/>
              <w:bottom w:w="35" w:type="dxa"/>
              <w:right w:w="65" w:type="dxa"/>
            </w:tcMar>
          </w:tcPr>
          <w:p>
            <w:pPr>
              <w:pStyle w:val="TableCompact"/>
            </w:pPr>
            <w:r>
              <w:t>2</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134</w:t>
            </w:r>
          </w:p>
        </w:tc>
        <w:tc>
          <w:tcPr>
            <w:tcW w:type="dxa" w:w="1210"/>
            <w:vAlign w:val="top"/>
            <w:tcMar>
              <w:top w:w="40" w:type="dxa"/>
              <w:left w:w="65" w:type="dxa"/>
              <w:bottom w:w="35" w:type="dxa"/>
              <w:right w:w="65" w:type="dxa"/>
            </w:tcMar>
          </w:tcPr>
          <w:p>
            <w:pPr>
              <w:pStyle w:val="TableCompact"/>
            </w:pPr>
            <w:r>
              <w:t>1701</w:t>
            </w:r>
          </w:p>
        </w:tc>
      </w:tr>
      <w:tr>
        <w:trPr>
          <w:cantSplit/>
        </w:trPr>
        <w:tc>
          <w:tcPr>
            <w:tcW w:type="dxa" w:w="1008"/>
            <w:vAlign w:val="top"/>
            <w:tcMar>
              <w:top w:w="40" w:type="dxa"/>
              <w:left w:w="65" w:type="dxa"/>
              <w:bottom w:w="35" w:type="dxa"/>
              <w:right w:w="65" w:type="dxa"/>
            </w:tcMar>
          </w:tcPr>
          <w:p>
            <w:pPr>
              <w:pStyle w:val="TableCompact"/>
            </w:pPr>
            <w:r>
              <w:t>18 → 19</w:t>
            </w:r>
          </w:p>
        </w:tc>
        <w:tc>
          <w:tcPr>
            <w:tcW w:type="dxa" w:w="893"/>
            <w:vAlign w:val="top"/>
            <w:tcMar>
              <w:top w:w="40" w:type="dxa"/>
              <w:left w:w="65" w:type="dxa"/>
              <w:bottom w:w="35" w:type="dxa"/>
              <w:right w:w="65" w:type="dxa"/>
            </w:tcMar>
          </w:tcPr>
          <w:p>
            <w:pPr>
              <w:pStyle w:val="TableCompact"/>
            </w:pPr>
            <w:r>
              <w:t>1057</w:t>
            </w:r>
          </w:p>
        </w:tc>
        <w:tc>
          <w:tcPr>
            <w:tcW w:type="dxa" w:w="893"/>
            <w:vAlign w:val="top"/>
            <w:tcMar>
              <w:top w:w="40" w:type="dxa"/>
              <w:left w:w="65" w:type="dxa"/>
              <w:bottom w:w="35" w:type="dxa"/>
              <w:right w:w="65" w:type="dxa"/>
            </w:tcMar>
          </w:tcPr>
          <w:p>
            <w:pPr>
              <w:pStyle w:val="TableCompact"/>
            </w:pPr>
            <w:r>
              <w:t>305</w:t>
            </w:r>
          </w:p>
        </w:tc>
        <w:tc>
          <w:tcPr>
            <w:tcW w:type="dxa" w:w="893"/>
            <w:vAlign w:val="top"/>
            <w:tcMar>
              <w:top w:w="40" w:type="dxa"/>
              <w:left w:w="65" w:type="dxa"/>
              <w:bottom w:w="35" w:type="dxa"/>
              <w:right w:w="65" w:type="dxa"/>
            </w:tcMar>
          </w:tcPr>
          <w:p>
            <w:pPr>
              <w:pStyle w:val="TableCompact"/>
            </w:pPr>
            <w:r>
              <w:t>149</w:t>
            </w:r>
          </w:p>
        </w:tc>
        <w:tc>
          <w:tcPr>
            <w:tcW w:type="dxa" w:w="893"/>
            <w:vAlign w:val="top"/>
            <w:tcMar>
              <w:top w:w="40" w:type="dxa"/>
              <w:left w:w="65" w:type="dxa"/>
              <w:bottom w:w="35" w:type="dxa"/>
              <w:right w:w="65" w:type="dxa"/>
            </w:tcMar>
          </w:tcPr>
          <w:p>
            <w:pPr>
              <w:pStyle w:val="TableCompact"/>
            </w:pPr>
            <w:r>
              <w:t>48</w:t>
            </w:r>
          </w:p>
        </w:tc>
        <w:tc>
          <w:tcPr>
            <w:tcW w:type="dxa" w:w="893"/>
            <w:vAlign w:val="top"/>
            <w:tcMar>
              <w:top w:w="40" w:type="dxa"/>
              <w:left w:w="65" w:type="dxa"/>
              <w:bottom w:w="35" w:type="dxa"/>
              <w:right w:w="65" w:type="dxa"/>
            </w:tcMar>
          </w:tcPr>
          <w:p>
            <w:pPr>
              <w:pStyle w:val="TableCompact"/>
            </w:pPr>
            <w:r>
              <w:t>13</w:t>
            </w:r>
          </w:p>
        </w:tc>
        <w:tc>
          <w:tcPr>
            <w:tcW w:type="dxa" w:w="893"/>
            <w:vAlign w:val="top"/>
            <w:tcMar>
              <w:top w:w="40" w:type="dxa"/>
              <w:left w:w="65" w:type="dxa"/>
              <w:bottom w:w="35" w:type="dxa"/>
              <w:right w:w="65" w:type="dxa"/>
            </w:tcMar>
          </w:tcPr>
          <w:p>
            <w:pPr>
              <w:pStyle w:val="TableCompact"/>
            </w:pPr>
            <w:r>
              <w:t>10</w:t>
            </w:r>
          </w:p>
        </w:tc>
        <w:tc>
          <w:tcPr>
            <w:tcW w:type="dxa" w:w="893"/>
            <w:vAlign w:val="top"/>
            <w:tcMar>
              <w:top w:w="40" w:type="dxa"/>
              <w:left w:w="65" w:type="dxa"/>
              <w:bottom w:w="35" w:type="dxa"/>
              <w:right w:w="65" w:type="dxa"/>
            </w:tcMar>
          </w:tcPr>
          <w:p>
            <w:pPr>
              <w:pStyle w:val="TableCompact"/>
            </w:pPr>
            <w:r>
              <w:t>105</w:t>
            </w:r>
          </w:p>
        </w:tc>
        <w:tc>
          <w:tcPr>
            <w:tcW w:type="dxa" w:w="893"/>
            <w:vAlign w:val="top"/>
            <w:tcMar>
              <w:top w:w="40" w:type="dxa"/>
              <w:left w:w="65" w:type="dxa"/>
              <w:bottom w:w="35" w:type="dxa"/>
              <w:right w:w="65" w:type="dxa"/>
            </w:tcMar>
          </w:tcPr>
          <w:p>
            <w:pPr>
              <w:pStyle w:val="TableCompact"/>
            </w:pPr>
            <w:r>
              <w:t>216</w:t>
            </w:r>
          </w:p>
        </w:tc>
        <w:tc>
          <w:tcPr>
            <w:tcW w:type="dxa" w:w="1210"/>
            <w:vAlign w:val="top"/>
            <w:tcMar>
              <w:top w:w="40" w:type="dxa"/>
              <w:left w:w="65" w:type="dxa"/>
              <w:bottom w:w="35" w:type="dxa"/>
              <w:right w:w="65" w:type="dxa"/>
            </w:tcMar>
          </w:tcPr>
          <w:p>
            <w:pPr>
              <w:pStyle w:val="TableCompact"/>
            </w:pPr>
            <w:r>
              <w:t>1903</w:t>
            </w:r>
          </w:p>
        </w:tc>
      </w:tr>
      <w:tr>
        <w:trPr>
          <w:cantSplit/>
        </w:trPr>
        <w:tc>
          <w:tcPr>
            <w:tcW w:type="dxa" w:w="1008"/>
            <w:vAlign w:val="top"/>
            <w:tcMar>
              <w:top w:w="40" w:type="dxa"/>
              <w:left w:w="65" w:type="dxa"/>
              <w:bottom w:w="35" w:type="dxa"/>
              <w:right w:w="65" w:type="dxa"/>
            </w:tcMar>
          </w:tcPr>
          <w:p>
            <w:pPr>
              <w:pStyle w:val="TableCompact"/>
            </w:pPr>
            <w:r>
              <w:t>19 → 20</w:t>
            </w:r>
          </w:p>
        </w:tc>
        <w:tc>
          <w:tcPr>
            <w:tcW w:type="dxa" w:w="893"/>
            <w:vAlign w:val="top"/>
            <w:tcMar>
              <w:top w:w="40" w:type="dxa"/>
              <w:left w:w="65" w:type="dxa"/>
              <w:bottom w:w="35" w:type="dxa"/>
              <w:right w:w="65" w:type="dxa"/>
            </w:tcMar>
          </w:tcPr>
          <w:p>
            <w:pPr>
              <w:pStyle w:val="TableCompact"/>
            </w:pPr>
            <w:r>
              <w:t>1225</w:t>
            </w:r>
          </w:p>
        </w:tc>
        <w:tc>
          <w:tcPr>
            <w:tcW w:type="dxa" w:w="893"/>
            <w:vAlign w:val="top"/>
            <w:tcMar>
              <w:top w:w="40" w:type="dxa"/>
              <w:left w:w="65" w:type="dxa"/>
              <w:bottom w:w="35" w:type="dxa"/>
              <w:right w:w="65" w:type="dxa"/>
            </w:tcMar>
          </w:tcPr>
          <w:p>
            <w:pPr>
              <w:pStyle w:val="TableCompact"/>
            </w:pPr>
            <w:r>
              <w:t>159</w:t>
            </w:r>
          </w:p>
        </w:tc>
        <w:tc>
          <w:tcPr>
            <w:tcW w:type="dxa" w:w="893"/>
            <w:vAlign w:val="top"/>
            <w:tcMar>
              <w:top w:w="40" w:type="dxa"/>
              <w:left w:w="65" w:type="dxa"/>
              <w:bottom w:w="35" w:type="dxa"/>
              <w:right w:w="65" w:type="dxa"/>
            </w:tcMar>
          </w:tcPr>
          <w:p>
            <w:pPr>
              <w:pStyle w:val="TableCompact"/>
            </w:pPr>
            <w:r>
              <w:t>107</w:t>
            </w:r>
          </w:p>
        </w:tc>
        <w:tc>
          <w:tcPr>
            <w:tcW w:type="dxa" w:w="893"/>
            <w:vAlign w:val="top"/>
            <w:tcMar>
              <w:top w:w="40" w:type="dxa"/>
              <w:left w:w="65" w:type="dxa"/>
              <w:bottom w:w="35" w:type="dxa"/>
              <w:right w:w="65" w:type="dxa"/>
            </w:tcMar>
          </w:tcPr>
          <w:p>
            <w:pPr>
              <w:pStyle w:val="TableCompact"/>
            </w:pPr>
            <w:r>
              <w:t>24</w:t>
            </w:r>
          </w:p>
        </w:tc>
        <w:tc>
          <w:tcPr>
            <w:tcW w:type="dxa" w:w="893"/>
            <w:vAlign w:val="top"/>
            <w:tcMar>
              <w:top w:w="40" w:type="dxa"/>
              <w:left w:w="65" w:type="dxa"/>
              <w:bottom w:w="35" w:type="dxa"/>
              <w:right w:w="65" w:type="dxa"/>
            </w:tcMar>
          </w:tcPr>
          <w:p>
            <w:pPr>
              <w:pStyle w:val="TableCompact"/>
            </w:pPr>
            <w:r>
              <w:t>10</w:t>
            </w:r>
          </w:p>
        </w:tc>
        <w:tc>
          <w:tcPr>
            <w:tcW w:type="dxa" w:w="893"/>
            <w:vAlign w:val="top"/>
            <w:tcMar>
              <w:top w:w="40" w:type="dxa"/>
              <w:left w:w="65" w:type="dxa"/>
              <w:bottom w:w="35" w:type="dxa"/>
              <w:right w:w="65" w:type="dxa"/>
            </w:tcMar>
          </w:tcPr>
          <w:p>
            <w:pPr>
              <w:pStyle w:val="TableCompact"/>
            </w:pPr>
            <w:r>
              <w:t>14</w:t>
            </w:r>
          </w:p>
        </w:tc>
        <w:tc>
          <w:tcPr>
            <w:tcW w:type="dxa" w:w="893"/>
            <w:vAlign w:val="top"/>
            <w:tcMar>
              <w:top w:w="40" w:type="dxa"/>
              <w:left w:w="65" w:type="dxa"/>
              <w:bottom w:w="35" w:type="dxa"/>
              <w:right w:w="65" w:type="dxa"/>
            </w:tcMar>
          </w:tcPr>
          <w:p>
            <w:pPr>
              <w:pStyle w:val="TableCompact"/>
            </w:pPr>
            <w:r>
              <w:t>217</w:t>
            </w:r>
          </w:p>
        </w:tc>
        <w:tc>
          <w:tcPr>
            <w:tcW w:type="dxa" w:w="893"/>
            <w:vAlign w:val="top"/>
            <w:tcMar>
              <w:top w:w="40" w:type="dxa"/>
              <w:left w:w="65" w:type="dxa"/>
              <w:bottom w:w="35" w:type="dxa"/>
              <w:right w:w="65" w:type="dxa"/>
            </w:tcMar>
          </w:tcPr>
          <w:p>
            <w:pPr>
              <w:pStyle w:val="TableCompact"/>
            </w:pPr>
            <w:r>
              <w:t>223</w:t>
            </w:r>
          </w:p>
        </w:tc>
        <w:tc>
          <w:tcPr>
            <w:tcW w:type="dxa" w:w="1210"/>
            <w:vAlign w:val="top"/>
            <w:tcMar>
              <w:top w:w="40" w:type="dxa"/>
              <w:left w:w="65" w:type="dxa"/>
              <w:bottom w:w="35" w:type="dxa"/>
              <w:right w:w="65" w:type="dxa"/>
            </w:tcMar>
          </w:tcPr>
          <w:p>
            <w:pPr>
              <w:pStyle w:val="TableCompact"/>
            </w:pPr>
            <w:r>
              <w:t>1979</w:t>
            </w:r>
          </w:p>
        </w:tc>
      </w:tr>
      <w:tr>
        <w:trPr>
          <w:cantSplit/>
        </w:trPr>
        <w:tc>
          <w:tcPr>
            <w:tcW w:type="dxa" w:w="1008"/>
            <w:vAlign w:val="top"/>
            <w:tcMar>
              <w:top w:w="40" w:type="dxa"/>
              <w:left w:w="65" w:type="dxa"/>
              <w:bottom w:w="35" w:type="dxa"/>
              <w:right w:w="65" w:type="dxa"/>
            </w:tcMar>
          </w:tcPr>
          <w:p>
            <w:pPr>
              <w:pStyle w:val="TableCompact"/>
            </w:pPr>
            <w:r>
              <w:t>20 → 21</w:t>
            </w:r>
          </w:p>
        </w:tc>
        <w:tc>
          <w:tcPr>
            <w:tcW w:type="dxa" w:w="893"/>
            <w:vAlign w:val="top"/>
            <w:tcMar>
              <w:top w:w="40" w:type="dxa"/>
              <w:left w:w="65" w:type="dxa"/>
              <w:bottom w:w="35" w:type="dxa"/>
              <w:right w:w="65" w:type="dxa"/>
            </w:tcMar>
          </w:tcPr>
          <w:p>
            <w:pPr>
              <w:pStyle w:val="TableCompact"/>
            </w:pPr>
            <w:r>
              <w:t>1392</w:t>
            </w:r>
          </w:p>
        </w:tc>
        <w:tc>
          <w:tcPr>
            <w:tcW w:type="dxa" w:w="893"/>
            <w:vAlign w:val="top"/>
            <w:tcMar>
              <w:top w:w="40" w:type="dxa"/>
              <w:left w:w="65" w:type="dxa"/>
              <w:bottom w:w="35" w:type="dxa"/>
              <w:right w:w="65" w:type="dxa"/>
            </w:tcMar>
          </w:tcPr>
          <w:p>
            <w:pPr>
              <w:pStyle w:val="TableCompact"/>
            </w:pPr>
            <w:r>
              <w:t>128</w:t>
            </w:r>
          </w:p>
        </w:tc>
        <w:tc>
          <w:tcPr>
            <w:tcW w:type="dxa" w:w="893"/>
            <w:vAlign w:val="top"/>
            <w:tcMar>
              <w:top w:w="40" w:type="dxa"/>
              <w:left w:w="65" w:type="dxa"/>
              <w:bottom w:w="35" w:type="dxa"/>
              <w:right w:w="65" w:type="dxa"/>
            </w:tcMar>
          </w:tcPr>
          <w:p>
            <w:pPr>
              <w:pStyle w:val="TableCompact"/>
            </w:pPr>
            <w:r>
              <w:t>119</w:t>
            </w:r>
          </w:p>
        </w:tc>
        <w:tc>
          <w:tcPr>
            <w:tcW w:type="dxa" w:w="893"/>
            <w:vAlign w:val="top"/>
            <w:tcMar>
              <w:top w:w="40" w:type="dxa"/>
              <w:left w:w="65" w:type="dxa"/>
              <w:bottom w:w="35" w:type="dxa"/>
              <w:right w:w="65" w:type="dxa"/>
            </w:tcMar>
          </w:tcPr>
          <w:p>
            <w:pPr>
              <w:pStyle w:val="TableCompact"/>
            </w:pPr>
            <w:r>
              <w:t>24</w:t>
            </w:r>
          </w:p>
        </w:tc>
        <w:tc>
          <w:tcPr>
            <w:tcW w:type="dxa" w:w="893"/>
            <w:vAlign w:val="top"/>
            <w:tcMar>
              <w:top w:w="40" w:type="dxa"/>
              <w:left w:w="65" w:type="dxa"/>
              <w:bottom w:w="35" w:type="dxa"/>
              <w:right w:w="65" w:type="dxa"/>
            </w:tcMar>
          </w:tcPr>
          <w:p>
            <w:pPr>
              <w:pStyle w:val="TableCompact"/>
            </w:pPr>
            <w:r>
              <w:t>18</w:t>
            </w:r>
          </w:p>
        </w:tc>
        <w:tc>
          <w:tcPr>
            <w:tcW w:type="dxa" w:w="893"/>
            <w:vAlign w:val="top"/>
            <w:tcMar>
              <w:top w:w="40" w:type="dxa"/>
              <w:left w:w="65" w:type="dxa"/>
              <w:bottom w:w="35" w:type="dxa"/>
              <w:right w:w="65" w:type="dxa"/>
            </w:tcMar>
          </w:tcPr>
          <w:p>
            <w:pPr>
              <w:pStyle w:val="TableCompact"/>
            </w:pPr>
            <w:r>
              <w:t>7</w:t>
            </w:r>
          </w:p>
        </w:tc>
        <w:tc>
          <w:tcPr>
            <w:tcW w:type="dxa" w:w="893"/>
            <w:vAlign w:val="top"/>
            <w:tcMar>
              <w:top w:w="40" w:type="dxa"/>
              <w:left w:w="65" w:type="dxa"/>
              <w:bottom w:w="35" w:type="dxa"/>
              <w:right w:w="65" w:type="dxa"/>
            </w:tcMar>
          </w:tcPr>
          <w:p>
            <w:pPr>
              <w:pStyle w:val="TableCompact"/>
            </w:pPr>
            <w:r>
              <w:t>209</w:t>
            </w:r>
          </w:p>
        </w:tc>
        <w:tc>
          <w:tcPr>
            <w:tcW w:type="dxa" w:w="893"/>
            <w:vAlign w:val="top"/>
            <w:tcMar>
              <w:top w:w="40" w:type="dxa"/>
              <w:left w:w="65" w:type="dxa"/>
              <w:bottom w:w="35" w:type="dxa"/>
              <w:right w:w="65" w:type="dxa"/>
            </w:tcMar>
          </w:tcPr>
          <w:p>
            <w:pPr>
              <w:pStyle w:val="TableCompact"/>
            </w:pPr>
            <w:r>
              <w:t>165</w:t>
            </w:r>
          </w:p>
        </w:tc>
        <w:tc>
          <w:tcPr>
            <w:tcW w:type="dxa" w:w="1210"/>
            <w:vAlign w:val="top"/>
            <w:tcMar>
              <w:top w:w="40" w:type="dxa"/>
              <w:left w:w="65" w:type="dxa"/>
              <w:bottom w:w="35" w:type="dxa"/>
              <w:right w:w="65" w:type="dxa"/>
            </w:tcMar>
          </w:tcPr>
          <w:p>
            <w:pPr>
              <w:pStyle w:val="TableCompact"/>
            </w:pPr>
            <w:r>
              <w:t>2062</w:t>
            </w:r>
          </w:p>
        </w:tc>
      </w:tr>
      <w:tr>
        <w:trPr>
          <w:cantSplit/>
        </w:trPr>
        <w:tc>
          <w:tcPr>
            <w:tcW w:type="dxa" w:w="1008"/>
            <w:vAlign w:val="top"/>
            <w:tcMar>
              <w:top w:w="40" w:type="dxa"/>
              <w:left w:w="65" w:type="dxa"/>
              <w:bottom w:w="35" w:type="dxa"/>
              <w:right w:w="65" w:type="dxa"/>
            </w:tcMar>
          </w:tcPr>
          <w:p>
            <w:pPr>
              <w:pStyle w:val="TableCompact"/>
            </w:pPr>
            <w:r>
              <w:t>21 → 22</w:t>
            </w:r>
          </w:p>
        </w:tc>
        <w:tc>
          <w:tcPr>
            <w:tcW w:type="dxa" w:w="893"/>
            <w:vAlign w:val="top"/>
            <w:tcMar>
              <w:top w:w="40" w:type="dxa"/>
              <w:left w:w="65" w:type="dxa"/>
              <w:bottom w:w="35" w:type="dxa"/>
              <w:right w:w="65" w:type="dxa"/>
            </w:tcMar>
          </w:tcPr>
          <w:p>
            <w:pPr>
              <w:pStyle w:val="TableCompact"/>
            </w:pPr>
            <w:r>
              <w:t>1088</w:t>
            </w:r>
          </w:p>
        </w:tc>
        <w:tc>
          <w:tcPr>
            <w:tcW w:type="dxa" w:w="893"/>
            <w:vAlign w:val="top"/>
            <w:tcMar>
              <w:top w:w="40" w:type="dxa"/>
              <w:left w:w="65" w:type="dxa"/>
              <w:bottom w:w="35" w:type="dxa"/>
              <w:right w:w="65" w:type="dxa"/>
            </w:tcMar>
          </w:tcPr>
          <w:p>
            <w:pPr>
              <w:pStyle w:val="TableCompact"/>
            </w:pPr>
            <w:r>
              <w:t>639</w:t>
            </w:r>
          </w:p>
        </w:tc>
        <w:tc>
          <w:tcPr>
            <w:tcW w:type="dxa" w:w="893"/>
            <w:vAlign w:val="top"/>
            <w:tcMar>
              <w:top w:w="40" w:type="dxa"/>
              <w:left w:w="65" w:type="dxa"/>
              <w:bottom w:w="35" w:type="dxa"/>
              <w:right w:w="65" w:type="dxa"/>
            </w:tcMar>
          </w:tcPr>
          <w:p>
            <w:pPr>
              <w:pStyle w:val="TableCompact"/>
            </w:pPr>
            <w:r>
              <w:t>122</w:t>
            </w:r>
          </w:p>
        </w:tc>
        <w:tc>
          <w:tcPr>
            <w:tcW w:type="dxa" w:w="893"/>
            <w:vAlign w:val="top"/>
            <w:tcMar>
              <w:top w:w="40" w:type="dxa"/>
              <w:left w:w="65" w:type="dxa"/>
              <w:bottom w:w="35" w:type="dxa"/>
              <w:right w:w="65" w:type="dxa"/>
            </w:tcMar>
          </w:tcPr>
          <w:p>
            <w:pPr>
              <w:pStyle w:val="TableCompact"/>
            </w:pPr>
            <w:r>
              <w:t>170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24</w:t>
            </w:r>
          </w:p>
        </w:tc>
        <w:tc>
          <w:tcPr>
            <w:tcW w:type="dxa" w:w="893"/>
            <w:vAlign w:val="top"/>
            <w:tcMar>
              <w:top w:w="40" w:type="dxa"/>
              <w:left w:w="65" w:type="dxa"/>
              <w:bottom w:w="35" w:type="dxa"/>
              <w:right w:w="65" w:type="dxa"/>
            </w:tcMar>
          </w:tcPr>
          <w:p>
            <w:pPr>
              <w:pStyle w:val="TableCompact"/>
            </w:pPr>
            <w:r>
              <w:t>3</w:t>
            </w:r>
          </w:p>
        </w:tc>
        <w:tc>
          <w:tcPr>
            <w:tcW w:type="dxa" w:w="893"/>
            <w:vAlign w:val="top"/>
            <w:tcMar>
              <w:top w:w="40" w:type="dxa"/>
              <w:left w:w="65" w:type="dxa"/>
              <w:bottom w:w="35" w:type="dxa"/>
              <w:right w:w="65" w:type="dxa"/>
            </w:tcMar>
          </w:tcPr>
          <w:p>
            <w:pPr>
              <w:pStyle w:val="TableCompact"/>
            </w:pPr>
            <w:r>
              <w:t>123</w:t>
            </w:r>
          </w:p>
        </w:tc>
        <w:tc>
          <w:tcPr>
            <w:tcW w:type="dxa" w:w="1210"/>
            <w:vAlign w:val="top"/>
            <w:tcMar>
              <w:top w:w="40" w:type="dxa"/>
              <w:left w:w="65" w:type="dxa"/>
              <w:bottom w:w="35" w:type="dxa"/>
              <w:right w:w="65" w:type="dxa"/>
            </w:tcMar>
          </w:tcPr>
          <w:p>
            <w:pPr>
              <w:pStyle w:val="TableCompact"/>
            </w:pPr>
            <w:r>
              <w:t>2169</w:t>
            </w:r>
          </w:p>
        </w:tc>
      </w:tr>
      <w:tr>
        <w:trPr>
          <w:cantSplit/>
        </w:trPr>
        <w:tc>
          <w:tcPr>
            <w:tcW w:type="dxa" w:w="1008"/>
            <w:vAlign w:val="top"/>
            <w:tcMar>
              <w:top w:w="40" w:type="dxa"/>
              <w:left w:w="65" w:type="dxa"/>
              <w:bottom w:w="35" w:type="dxa"/>
              <w:right w:w="65" w:type="dxa"/>
            </w:tcMar>
          </w:tcPr>
          <w:p>
            <w:pPr>
              <w:pStyle w:val="TableCompact"/>
            </w:pPr>
            <w:r>
              <w:t>22 → 23</w:t>
            </w:r>
          </w:p>
        </w:tc>
        <w:tc>
          <w:tcPr>
            <w:tcW w:type="dxa" w:w="893"/>
            <w:vAlign w:val="top"/>
            <w:tcMar>
              <w:top w:w="40" w:type="dxa"/>
              <w:left w:w="65" w:type="dxa"/>
              <w:bottom w:w="35" w:type="dxa"/>
              <w:right w:w="65" w:type="dxa"/>
            </w:tcMar>
          </w:tcPr>
          <w:p>
            <w:pPr>
              <w:pStyle w:val="TableCompact"/>
            </w:pPr>
            <w:r>
              <w:t>1161</w:t>
            </w:r>
          </w:p>
        </w:tc>
        <w:tc>
          <w:tcPr>
            <w:tcW w:type="dxa" w:w="893"/>
            <w:vAlign w:val="top"/>
            <w:tcMar>
              <w:top w:w="40" w:type="dxa"/>
              <w:left w:w="65" w:type="dxa"/>
              <w:bottom w:w="35" w:type="dxa"/>
              <w:right w:w="65" w:type="dxa"/>
            </w:tcMar>
          </w:tcPr>
          <w:p>
            <w:pPr>
              <w:pStyle w:val="TableCompact"/>
            </w:pPr>
            <w:r>
              <w:t>656</w:t>
            </w:r>
          </w:p>
        </w:tc>
        <w:tc>
          <w:tcPr>
            <w:tcW w:type="dxa" w:w="893"/>
            <w:vAlign w:val="top"/>
            <w:tcMar>
              <w:top w:w="40" w:type="dxa"/>
              <w:left w:w="65" w:type="dxa"/>
              <w:bottom w:w="35" w:type="dxa"/>
              <w:right w:w="65" w:type="dxa"/>
            </w:tcMar>
          </w:tcPr>
          <w:p>
            <w:pPr>
              <w:pStyle w:val="TableCompact"/>
            </w:pPr>
            <w:r>
              <w:t>224</w:t>
            </w:r>
          </w:p>
        </w:tc>
        <w:tc>
          <w:tcPr>
            <w:tcW w:type="dxa" w:w="893"/>
            <w:vAlign w:val="top"/>
            <w:tcMar>
              <w:top w:w="40" w:type="dxa"/>
              <w:left w:w="65" w:type="dxa"/>
              <w:bottom w:w="35" w:type="dxa"/>
              <w:right w:w="65" w:type="dxa"/>
            </w:tcMar>
          </w:tcPr>
          <w:p>
            <w:pPr>
              <w:pStyle w:val="TableCompact"/>
            </w:pPr>
            <w:r>
              <w:t>54</w:t>
            </w:r>
          </w:p>
        </w:tc>
        <w:tc>
          <w:tcPr>
            <w:tcW w:type="dxa" w:w="893"/>
            <w:vAlign w:val="top"/>
            <w:tcMar>
              <w:top w:w="40" w:type="dxa"/>
              <w:left w:w="65" w:type="dxa"/>
              <w:bottom w:w="35" w:type="dxa"/>
              <w:right w:w="65" w:type="dxa"/>
            </w:tcMar>
          </w:tcPr>
          <w:p>
            <w:pPr>
              <w:pStyle w:val="TableCompact"/>
            </w:pPr>
            <w:r>
              <w:t>30</w:t>
            </w:r>
          </w:p>
        </w:tc>
        <w:tc>
          <w:tcPr>
            <w:tcW w:type="dxa" w:w="893"/>
            <w:vAlign w:val="top"/>
            <w:tcMar>
              <w:top w:w="40" w:type="dxa"/>
              <w:left w:w="65" w:type="dxa"/>
              <w:bottom w:w="35" w:type="dxa"/>
              <w:right w:w="65" w:type="dxa"/>
            </w:tcMar>
          </w:tcPr>
          <w:p>
            <w:pPr>
              <w:pStyle w:val="TableCompact"/>
            </w:pPr>
            <w:r>
              <w:t>1</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102</w:t>
            </w:r>
          </w:p>
        </w:tc>
        <w:tc>
          <w:tcPr>
            <w:tcW w:type="dxa" w:w="1210"/>
            <w:vAlign w:val="top"/>
            <w:tcMar>
              <w:top w:w="40" w:type="dxa"/>
              <w:left w:w="65" w:type="dxa"/>
              <w:bottom w:w="35" w:type="dxa"/>
              <w:right w:w="65" w:type="dxa"/>
            </w:tcMar>
          </w:tcPr>
          <w:p>
            <w:pPr>
              <w:pStyle w:val="TableCompact"/>
            </w:pPr>
            <w:r>
              <w:t>2228</w:t>
            </w:r>
          </w:p>
        </w:tc>
      </w:tr>
      <w:tr>
        <w:trPr>
          <w:cantSplit/>
        </w:trPr>
        <w:tc>
          <w:tcPr>
            <w:tcW w:type="dxa" w:w="1008"/>
            <w:vAlign w:val="top"/>
            <w:tcMar>
              <w:top w:w="40" w:type="dxa"/>
              <w:left w:w="65" w:type="dxa"/>
              <w:bottom w:w="35" w:type="dxa"/>
              <w:right w:w="65" w:type="dxa"/>
            </w:tcMar>
          </w:tcPr>
          <w:p>
            <w:pPr>
              <w:pStyle w:val="TableCompact"/>
            </w:pPr>
            <w:r>
              <w:t>23 → 24</w:t>
            </w:r>
          </w:p>
        </w:tc>
        <w:tc>
          <w:tcPr>
            <w:tcW w:type="dxa" w:w="893"/>
            <w:vAlign w:val="top"/>
            <w:tcMar>
              <w:top w:w="40" w:type="dxa"/>
              <w:left w:w="65" w:type="dxa"/>
              <w:bottom w:w="35" w:type="dxa"/>
              <w:right w:w="65" w:type="dxa"/>
            </w:tcMar>
          </w:tcPr>
          <w:p>
            <w:pPr>
              <w:pStyle w:val="TableCompact"/>
            </w:pPr>
            <w:r>
              <w:t>2013</w:t>
            </w:r>
          </w:p>
        </w:tc>
        <w:tc>
          <w:tcPr>
            <w:tcW w:type="dxa" w:w="893"/>
            <w:vAlign w:val="top"/>
            <w:tcMar>
              <w:top w:w="40" w:type="dxa"/>
              <w:left w:w="65" w:type="dxa"/>
              <w:bottom w:w="35" w:type="dxa"/>
              <w:right w:w="65" w:type="dxa"/>
            </w:tcMar>
          </w:tcPr>
          <w:p>
            <w:pPr>
              <w:pStyle w:val="TableCompact"/>
            </w:pPr>
            <w:r>
              <w:t>25</w:t>
            </w:r>
          </w:p>
        </w:tc>
        <w:tc>
          <w:tcPr>
            <w:tcW w:type="dxa" w:w="893"/>
            <w:vAlign w:val="top"/>
            <w:tcMar>
              <w:top w:w="40" w:type="dxa"/>
              <w:left w:w="65" w:type="dxa"/>
              <w:bottom w:w="35" w:type="dxa"/>
              <w:right w:w="65" w:type="dxa"/>
            </w:tcMar>
          </w:tcPr>
          <w:p>
            <w:pPr>
              <w:pStyle w:val="TableCompact"/>
            </w:pPr>
            <w:r>
              <w:t>8</w:t>
            </w:r>
          </w:p>
        </w:tc>
        <w:tc>
          <w:tcPr>
            <w:tcW w:type="dxa" w:w="893"/>
            <w:vAlign w:val="top"/>
            <w:tcMar>
              <w:top w:w="40" w:type="dxa"/>
              <w:left w:w="65" w:type="dxa"/>
              <w:bottom w:w="35" w:type="dxa"/>
              <w:right w:w="65" w:type="dxa"/>
            </w:tcMar>
          </w:tcPr>
          <w:p>
            <w:pPr>
              <w:pStyle w:val="TableCompact"/>
            </w:pPr>
            <w:r>
              <w:t>5</w:t>
            </w:r>
          </w:p>
        </w:tc>
        <w:tc>
          <w:tcPr>
            <w:tcW w:type="dxa" w:w="893"/>
            <w:vAlign w:val="top"/>
            <w:tcMar>
              <w:top w:w="40" w:type="dxa"/>
              <w:left w:w="65" w:type="dxa"/>
              <w:bottom w:w="35" w:type="dxa"/>
              <w:right w:w="65" w:type="dxa"/>
            </w:tcMar>
          </w:tcPr>
          <w:p>
            <w:pPr>
              <w:pStyle w:val="TableCompact"/>
            </w:pPr>
            <w:r>
              <w:t>2</w:t>
            </w:r>
          </w:p>
        </w:tc>
        <w:tc>
          <w:tcPr>
            <w:tcW w:type="dxa" w:w="893"/>
            <w:vAlign w:val="top"/>
            <w:tcMar>
              <w:top w:w="40" w:type="dxa"/>
              <w:left w:w="65" w:type="dxa"/>
              <w:bottom w:w="35" w:type="dxa"/>
              <w:right w:w="65" w:type="dxa"/>
            </w:tcMar>
          </w:tcPr>
          <w:p>
            <w:pPr>
              <w:pStyle w:val="TableCompact"/>
            </w:pPr>
            <w:r>
              <w:t>5</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159</w:t>
            </w:r>
          </w:p>
        </w:tc>
        <w:tc>
          <w:tcPr>
            <w:tcW w:type="dxa" w:w="1210"/>
            <w:vAlign w:val="top"/>
            <w:tcMar>
              <w:top w:w="40" w:type="dxa"/>
              <w:left w:w="65" w:type="dxa"/>
              <w:bottom w:w="35" w:type="dxa"/>
              <w:right w:w="65" w:type="dxa"/>
            </w:tcMar>
          </w:tcPr>
          <w:p>
            <w:pPr>
              <w:pStyle w:val="TableCompact"/>
            </w:pPr>
            <w:r>
              <w:t>2217</w:t>
            </w:r>
          </w:p>
        </w:tc>
      </w:tr>
      <w:tr>
        <w:trPr>
          <w:cantSplit/>
        </w:trPr>
        <w:tc>
          <w:tcPr>
            <w:tcW w:type="dxa" w:w="1008"/>
            <w:vAlign w:val="top"/>
            <w:tcMar>
              <w:top w:w="40" w:type="dxa"/>
              <w:left w:w="65" w:type="dxa"/>
              <w:bottom w:w="35" w:type="dxa"/>
              <w:right w:w="65" w:type="dxa"/>
            </w:tcMar>
          </w:tcPr>
          <w:p>
            <w:pPr>
              <w:pStyle w:val="TableCompact"/>
            </w:pPr>
            <w:r>
              <w:t>24 → 25</w:t>
            </w:r>
          </w:p>
        </w:tc>
        <w:tc>
          <w:tcPr>
            <w:tcW w:type="dxa" w:w="893"/>
            <w:vAlign w:val="top"/>
            <w:tcMar>
              <w:top w:w="40" w:type="dxa"/>
              <w:left w:w="65" w:type="dxa"/>
              <w:bottom w:w="35" w:type="dxa"/>
              <w:right w:w="65" w:type="dxa"/>
            </w:tcMar>
          </w:tcPr>
          <w:p>
            <w:pPr>
              <w:pStyle w:val="TableCompact"/>
            </w:pPr>
            <w:r>
              <w:t>2036</w:t>
            </w:r>
          </w:p>
        </w:tc>
        <w:tc>
          <w:tcPr>
            <w:tcW w:type="dxa" w:w="893"/>
            <w:vAlign w:val="top"/>
            <w:tcMar>
              <w:top w:w="40" w:type="dxa"/>
              <w:left w:w="65" w:type="dxa"/>
              <w:bottom w:w="35" w:type="dxa"/>
              <w:right w:w="65" w:type="dxa"/>
            </w:tcMar>
          </w:tcPr>
          <w:p>
            <w:pPr>
              <w:pStyle w:val="TableCompact"/>
            </w:pPr>
            <w:r>
              <w:t>19</w:t>
            </w:r>
          </w:p>
        </w:tc>
        <w:tc>
          <w:tcPr>
            <w:tcW w:type="dxa" w:w="893"/>
            <w:vAlign w:val="top"/>
            <w:tcMar>
              <w:top w:w="40" w:type="dxa"/>
              <w:left w:w="65" w:type="dxa"/>
              <w:bottom w:w="35" w:type="dxa"/>
              <w:right w:w="65" w:type="dxa"/>
            </w:tcMar>
          </w:tcPr>
          <w:p>
            <w:pPr>
              <w:pStyle w:val="TableCompact"/>
            </w:pPr>
            <w:r>
              <w:t>10</w:t>
            </w:r>
          </w:p>
        </w:tc>
        <w:tc>
          <w:tcPr>
            <w:tcW w:type="dxa" w:w="893"/>
            <w:vAlign w:val="top"/>
            <w:tcMar>
              <w:top w:w="40" w:type="dxa"/>
              <w:left w:w="65" w:type="dxa"/>
              <w:bottom w:w="35" w:type="dxa"/>
              <w:right w:w="65" w:type="dxa"/>
            </w:tcMar>
          </w:tcPr>
          <w:p>
            <w:pPr>
              <w:pStyle w:val="TableCompact"/>
            </w:pPr>
            <w:r>
              <w:t>1</w:t>
            </w:r>
          </w:p>
        </w:tc>
        <w:tc>
          <w:tcPr>
            <w:tcW w:type="dxa" w:w="893"/>
            <w:vAlign w:val="top"/>
            <w:tcMar>
              <w:top w:w="40" w:type="dxa"/>
              <w:left w:w="65" w:type="dxa"/>
              <w:bottom w:w="35" w:type="dxa"/>
              <w:right w:w="65" w:type="dxa"/>
            </w:tcMar>
          </w:tcPr>
          <w:p>
            <w:pPr>
              <w:pStyle w:val="TableCompact"/>
            </w:pPr>
            <w:r>
              <w:t>2</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162</w:t>
            </w:r>
          </w:p>
        </w:tc>
        <w:tc>
          <w:tcPr>
            <w:tcW w:type="dxa" w:w="1210"/>
            <w:vAlign w:val="top"/>
            <w:tcMar>
              <w:top w:w="40" w:type="dxa"/>
              <w:left w:w="65" w:type="dxa"/>
              <w:bottom w:w="35" w:type="dxa"/>
              <w:right w:w="65" w:type="dxa"/>
            </w:tcMar>
          </w:tcPr>
          <w:p>
            <w:pPr>
              <w:pStyle w:val="TableCompact"/>
            </w:pPr>
            <w:r>
              <w:t>2230</w:t>
            </w:r>
          </w:p>
        </w:tc>
      </w:tr>
      <w:tr>
        <w:trPr>
          <w:cantSplit/>
        </w:trPr>
        <w:tc>
          <w:tcPr>
            <w:tcW w:type="dxa" w:w="1008"/>
            <w:vAlign w:val="top"/>
            <w:tcMar>
              <w:top w:w="40" w:type="dxa"/>
              <w:left w:w="65" w:type="dxa"/>
              <w:bottom w:w="35" w:type="dxa"/>
              <w:right w:w="65" w:type="dxa"/>
            </w:tcMar>
          </w:tcPr>
          <w:p>
            <w:pPr>
              <w:pStyle w:val="TableCompact"/>
            </w:pPr>
            <w:r>
              <w:t>25 → 26</w:t>
            </w:r>
          </w:p>
        </w:tc>
        <w:tc>
          <w:tcPr>
            <w:tcW w:type="dxa" w:w="893"/>
            <w:vAlign w:val="top"/>
            <w:tcMar>
              <w:top w:w="40" w:type="dxa"/>
              <w:left w:w="65" w:type="dxa"/>
              <w:bottom w:w="35" w:type="dxa"/>
              <w:right w:w="65" w:type="dxa"/>
            </w:tcMar>
          </w:tcPr>
          <w:p>
            <w:pPr>
              <w:pStyle w:val="TableCompact"/>
            </w:pPr>
            <w:r>
              <w:t>2069</w:t>
            </w:r>
          </w:p>
        </w:tc>
        <w:tc>
          <w:tcPr>
            <w:tcW w:type="dxa" w:w="893"/>
            <w:vAlign w:val="top"/>
            <w:tcMar>
              <w:top w:w="40" w:type="dxa"/>
              <w:left w:w="65" w:type="dxa"/>
              <w:bottom w:w="35" w:type="dxa"/>
              <w:right w:w="65" w:type="dxa"/>
            </w:tcMar>
          </w:tcPr>
          <w:p>
            <w:pPr>
              <w:pStyle w:val="TableCompact"/>
            </w:pPr>
            <w:r>
              <w:t>3</w:t>
            </w:r>
          </w:p>
        </w:tc>
        <w:tc>
          <w:tcPr>
            <w:tcW w:type="dxa" w:w="893"/>
            <w:vAlign w:val="top"/>
            <w:tcMar>
              <w:top w:w="40" w:type="dxa"/>
              <w:left w:w="65" w:type="dxa"/>
              <w:bottom w:w="35" w:type="dxa"/>
              <w:right w:w="65" w:type="dxa"/>
            </w:tcMar>
          </w:tcPr>
          <w:p>
            <w:pPr>
              <w:pStyle w:val="TableCompact"/>
            </w:pPr>
            <w:r>
              <w:t>2</w:t>
            </w:r>
          </w:p>
        </w:tc>
        <w:tc>
          <w:tcPr>
            <w:tcW w:type="dxa" w:w="893"/>
            <w:vAlign w:val="top"/>
            <w:tcMar>
              <w:top w:w="40" w:type="dxa"/>
              <w:left w:w="65" w:type="dxa"/>
              <w:bottom w:w="35" w:type="dxa"/>
              <w:right w:w="65" w:type="dxa"/>
            </w:tcMar>
          </w:tcPr>
          <w:p>
            <w:pPr>
              <w:pStyle w:val="TableCompact"/>
            </w:pPr>
            <w:r>
              <w:t>1</w:t>
            </w:r>
          </w:p>
        </w:tc>
        <w:tc>
          <w:tcPr>
            <w:tcW w:type="dxa" w:w="893"/>
            <w:vAlign w:val="top"/>
            <w:tcMar>
              <w:top w:w="40" w:type="dxa"/>
              <w:left w:w="65" w:type="dxa"/>
              <w:bottom w:w="35" w:type="dxa"/>
              <w:right w:w="65" w:type="dxa"/>
            </w:tcMar>
          </w:tcPr>
          <w:p>
            <w:pPr>
              <w:pStyle w:val="TableCompact"/>
            </w:pPr>
            <w:r>
              <w:t>2</w:t>
            </w:r>
          </w:p>
        </w:tc>
        <w:tc>
          <w:tcPr>
            <w:tcW w:type="dxa" w:w="893"/>
            <w:vAlign w:val="top"/>
            <w:tcMar>
              <w:top w:w="40" w:type="dxa"/>
              <w:left w:w="65" w:type="dxa"/>
              <w:bottom w:w="35" w:type="dxa"/>
              <w:right w:w="65" w:type="dxa"/>
            </w:tcMar>
          </w:tcPr>
          <w:p>
            <w:pPr>
              <w:pStyle w:val="TableCompact"/>
            </w:pPr>
            <w:r>
              <w:t>2</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146</w:t>
            </w:r>
          </w:p>
        </w:tc>
        <w:tc>
          <w:tcPr>
            <w:tcW w:type="dxa" w:w="1210"/>
            <w:vAlign w:val="top"/>
            <w:tcMar>
              <w:top w:w="40" w:type="dxa"/>
              <w:left w:w="65" w:type="dxa"/>
              <w:bottom w:w="35" w:type="dxa"/>
              <w:right w:w="65" w:type="dxa"/>
            </w:tcMar>
          </w:tcPr>
          <w:p>
            <w:pPr>
              <w:pStyle w:val="TableCompact"/>
            </w:pPr>
            <w:r>
              <w:t>2225</w:t>
            </w:r>
          </w:p>
        </w:tc>
      </w:tr>
      <w:tr>
        <w:trPr>
          <w:cantSplit/>
        </w:trPr>
        <w:tc>
          <w:tcPr>
            <w:tcW w:type="dxa" w:w="1008"/>
            <w:vAlign w:val="top"/>
            <w:tcMar>
              <w:top w:w="40" w:type="dxa"/>
              <w:left w:w="65" w:type="dxa"/>
              <w:bottom w:w="35" w:type="dxa"/>
              <w:right w:w="65" w:type="dxa"/>
            </w:tcMar>
          </w:tcPr>
          <w:p>
            <w:pPr>
              <w:pStyle w:val="TableCompact"/>
            </w:pPr>
            <w:r>
              <w:t>26 → 27</w:t>
            </w:r>
          </w:p>
        </w:tc>
        <w:tc>
          <w:tcPr>
            <w:tcW w:type="dxa" w:w="893"/>
            <w:vAlign w:val="top"/>
            <w:tcMar>
              <w:top w:w="40" w:type="dxa"/>
              <w:left w:w="65" w:type="dxa"/>
              <w:bottom w:w="35" w:type="dxa"/>
              <w:right w:w="65" w:type="dxa"/>
            </w:tcMar>
          </w:tcPr>
          <w:p>
            <w:pPr>
              <w:pStyle w:val="TableCompact"/>
            </w:pPr>
            <w:r>
              <w:t>1829</w:t>
            </w:r>
          </w:p>
        </w:tc>
        <w:tc>
          <w:tcPr>
            <w:tcW w:type="dxa" w:w="893"/>
            <w:vAlign w:val="top"/>
            <w:tcMar>
              <w:top w:w="40" w:type="dxa"/>
              <w:left w:w="65" w:type="dxa"/>
              <w:bottom w:w="35" w:type="dxa"/>
              <w:right w:w="65" w:type="dxa"/>
            </w:tcMar>
          </w:tcPr>
          <w:p>
            <w:pPr>
              <w:pStyle w:val="TableCompact"/>
            </w:pPr>
            <w:r>
              <w:t>134</w:t>
            </w:r>
          </w:p>
        </w:tc>
        <w:tc>
          <w:tcPr>
            <w:tcW w:type="dxa" w:w="893"/>
            <w:vAlign w:val="top"/>
            <w:tcMar>
              <w:top w:w="40" w:type="dxa"/>
              <w:left w:w="65" w:type="dxa"/>
              <w:bottom w:w="35" w:type="dxa"/>
              <w:right w:w="65" w:type="dxa"/>
            </w:tcMar>
          </w:tcPr>
          <w:p>
            <w:pPr>
              <w:pStyle w:val="TableCompact"/>
            </w:pPr>
            <w:r>
              <w:t>23</w:t>
            </w:r>
          </w:p>
        </w:tc>
        <w:tc>
          <w:tcPr>
            <w:tcW w:type="dxa" w:w="893"/>
            <w:vAlign w:val="top"/>
            <w:tcMar>
              <w:top w:w="40" w:type="dxa"/>
              <w:left w:w="65" w:type="dxa"/>
              <w:bottom w:w="35" w:type="dxa"/>
              <w:right w:w="65" w:type="dxa"/>
            </w:tcMar>
          </w:tcPr>
          <w:p>
            <w:pPr>
              <w:pStyle w:val="TableCompact"/>
            </w:pPr>
            <w:r>
              <w:t>19</w:t>
            </w:r>
          </w:p>
        </w:tc>
        <w:tc>
          <w:tcPr>
            <w:tcW w:type="dxa" w:w="893"/>
            <w:vAlign w:val="top"/>
            <w:tcMar>
              <w:top w:w="40" w:type="dxa"/>
              <w:left w:w="65" w:type="dxa"/>
              <w:bottom w:w="35" w:type="dxa"/>
              <w:right w:w="65" w:type="dxa"/>
            </w:tcMar>
          </w:tcPr>
          <w:p>
            <w:pPr>
              <w:pStyle w:val="TableCompact"/>
            </w:pPr>
            <w:r>
              <w:t>16</w:t>
            </w:r>
          </w:p>
        </w:tc>
        <w:tc>
          <w:tcPr>
            <w:tcW w:type="dxa" w:w="893"/>
            <w:vAlign w:val="top"/>
            <w:tcMar>
              <w:top w:w="40" w:type="dxa"/>
              <w:left w:w="65" w:type="dxa"/>
              <w:bottom w:w="35" w:type="dxa"/>
              <w:right w:w="65" w:type="dxa"/>
            </w:tcMar>
          </w:tcPr>
          <w:p>
            <w:pPr>
              <w:pStyle w:val="TableCompact"/>
            </w:pPr>
            <w:r>
              <w:t>18</w:t>
            </w:r>
          </w:p>
        </w:tc>
        <w:tc>
          <w:tcPr>
            <w:tcW w:type="dxa" w:w="893"/>
            <w:vAlign w:val="top"/>
            <w:tcMar>
              <w:top w:w="40" w:type="dxa"/>
              <w:left w:w="65" w:type="dxa"/>
              <w:bottom w:w="35" w:type="dxa"/>
              <w:right w:w="65" w:type="dxa"/>
            </w:tcMar>
          </w:tcPr>
          <w:p>
            <w:pPr>
              <w:pStyle w:val="TableCompact"/>
            </w:pPr>
            <w:r>
              <w:t>27</w:t>
            </w:r>
          </w:p>
        </w:tc>
        <w:tc>
          <w:tcPr>
            <w:tcW w:type="dxa" w:w="893"/>
            <w:vAlign w:val="top"/>
            <w:tcMar>
              <w:top w:w="40" w:type="dxa"/>
              <w:left w:w="65" w:type="dxa"/>
              <w:bottom w:w="35" w:type="dxa"/>
              <w:right w:w="65" w:type="dxa"/>
            </w:tcMar>
          </w:tcPr>
          <w:p>
            <w:pPr>
              <w:pStyle w:val="TableCompact"/>
            </w:pPr>
            <w:r>
              <w:t>182</w:t>
            </w:r>
          </w:p>
        </w:tc>
        <w:tc>
          <w:tcPr>
            <w:tcW w:type="dxa" w:w="1210"/>
            <w:vAlign w:val="top"/>
            <w:tcMar>
              <w:top w:w="40" w:type="dxa"/>
              <w:left w:w="65" w:type="dxa"/>
              <w:bottom w:w="35" w:type="dxa"/>
              <w:right w:w="65" w:type="dxa"/>
            </w:tcMar>
          </w:tcPr>
          <w:p>
            <w:pPr>
              <w:pStyle w:val="TableCompact"/>
            </w:pPr>
            <w:r>
              <w:t>2248</w:t>
            </w:r>
          </w:p>
        </w:tc>
      </w:tr>
      <w:tr>
        <w:trPr>
          <w:cantSplit/>
        </w:trPr>
        <w:tc>
          <w:tcPr>
            <w:tcW w:type="dxa" w:w="1008"/>
            <w:vAlign w:val="top"/>
            <w:tcMar>
              <w:top w:w="40" w:type="dxa"/>
              <w:left w:w="65" w:type="dxa"/>
              <w:bottom w:w="35" w:type="dxa"/>
              <w:right w:w="65" w:type="dxa"/>
            </w:tcMar>
          </w:tcPr>
          <w:p>
            <w:pPr>
              <w:pStyle w:val="TableCompact"/>
            </w:pPr>
            <w:r>
              <w:t>27 → 28</w:t>
            </w:r>
          </w:p>
        </w:tc>
        <w:tc>
          <w:tcPr>
            <w:tcW w:type="dxa" w:w="893"/>
            <w:vAlign w:val="top"/>
            <w:tcMar>
              <w:top w:w="40" w:type="dxa"/>
              <w:left w:w="65" w:type="dxa"/>
              <w:bottom w:w="35" w:type="dxa"/>
              <w:right w:w="65" w:type="dxa"/>
            </w:tcMar>
          </w:tcPr>
          <w:p>
            <w:pPr>
              <w:pStyle w:val="TableCompact"/>
            </w:pPr>
            <w:r>
              <w:t>2081</w:t>
            </w:r>
          </w:p>
        </w:tc>
        <w:tc>
          <w:tcPr>
            <w:tcW w:type="dxa" w:w="893"/>
            <w:vAlign w:val="top"/>
            <w:tcMar>
              <w:top w:w="40" w:type="dxa"/>
              <w:left w:w="65" w:type="dxa"/>
              <w:bottom w:w="35" w:type="dxa"/>
              <w:right w:w="65" w:type="dxa"/>
            </w:tcMar>
          </w:tcPr>
          <w:p>
            <w:pPr>
              <w:pStyle w:val="TableCompact"/>
            </w:pPr>
            <w:r>
              <w:t>9</w:t>
            </w:r>
          </w:p>
        </w:tc>
        <w:tc>
          <w:tcPr>
            <w:tcW w:type="dxa" w:w="893"/>
            <w:vAlign w:val="top"/>
            <w:tcMar>
              <w:top w:w="40" w:type="dxa"/>
              <w:left w:w="65" w:type="dxa"/>
              <w:bottom w:w="35" w:type="dxa"/>
              <w:right w:w="65" w:type="dxa"/>
            </w:tcMar>
          </w:tcPr>
          <w:p>
            <w:pPr>
              <w:pStyle w:val="TableCompact"/>
            </w:pPr>
            <w:r>
              <w:t>5</w:t>
            </w:r>
          </w:p>
        </w:tc>
        <w:tc>
          <w:tcPr>
            <w:tcW w:type="dxa" w:w="893"/>
            <w:vAlign w:val="top"/>
            <w:tcMar>
              <w:top w:w="40" w:type="dxa"/>
              <w:left w:w="65" w:type="dxa"/>
              <w:bottom w:w="35" w:type="dxa"/>
              <w:right w:w="65" w:type="dxa"/>
            </w:tcMar>
          </w:tcPr>
          <w:p>
            <w:pPr>
              <w:pStyle w:val="TableCompact"/>
            </w:pPr>
            <w:r>
              <w:t>3</w:t>
            </w:r>
          </w:p>
        </w:tc>
        <w:tc>
          <w:tcPr>
            <w:tcW w:type="dxa" w:w="893"/>
            <w:vAlign w:val="top"/>
            <w:tcMar>
              <w:top w:w="40" w:type="dxa"/>
              <w:left w:w="65" w:type="dxa"/>
              <w:bottom w:w="35" w:type="dxa"/>
              <w:right w:w="65" w:type="dxa"/>
            </w:tcMar>
          </w:tcPr>
          <w:p>
            <w:pPr>
              <w:pStyle w:val="TableCompact"/>
            </w:pPr>
            <w:r>
              <w:t>1</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0</w:t>
            </w:r>
          </w:p>
        </w:tc>
        <w:tc>
          <w:tcPr>
            <w:tcW w:type="dxa" w:w="893"/>
            <w:vAlign w:val="top"/>
            <w:tcMar>
              <w:top w:w="40" w:type="dxa"/>
              <w:left w:w="65" w:type="dxa"/>
              <w:bottom w:w="35" w:type="dxa"/>
              <w:right w:w="65" w:type="dxa"/>
            </w:tcMar>
          </w:tcPr>
          <w:p>
            <w:pPr>
              <w:pStyle w:val="TableCompact"/>
            </w:pPr>
            <w:r>
              <w:t>151</w:t>
            </w:r>
          </w:p>
        </w:tc>
        <w:tc>
          <w:tcPr>
            <w:tcW w:type="dxa" w:w="1210"/>
            <w:vAlign w:val="top"/>
            <w:tcMar>
              <w:top w:w="40" w:type="dxa"/>
              <w:left w:w="65" w:type="dxa"/>
              <w:bottom w:w="35" w:type="dxa"/>
              <w:right w:w="65" w:type="dxa"/>
            </w:tcMar>
          </w:tcPr>
          <w:p>
            <w:pPr>
              <w:pStyle w:val="TableCompact"/>
            </w:pPr>
            <w:r>
              <w:t>2250</w:t>
            </w:r>
          </w:p>
        </w:tc>
      </w:tr>
      <w:tr>
        <w:trPr>
          <w:cantSplit/>
        </w:trPr>
        <w:tc>
          <w:tcPr>
            <w:tcW w:type="dxa" w:w="1008"/>
            <w:vAlign w:val="top"/>
            <w:tcMar>
              <w:top w:w="40" w:type="dxa"/>
              <w:left w:w="65" w:type="dxa"/>
              <w:bottom w:w="35" w:type="dxa"/>
              <w:right w:w="65" w:type="dxa"/>
            </w:tcMar>
          </w:tcPr>
          <w:p>
            <w:pPr>
              <w:pStyle w:val="TableCompact"/>
            </w:pPr>
            <w:r>
              <w:t>28 → RFC</w:t>
            </w:r>
          </w:p>
        </w:tc>
        <w:tc>
          <w:tcPr>
            <w:tcW w:type="dxa" w:w="893"/>
            <w:vAlign w:val="top"/>
            <w:tcMar>
              <w:top w:w="40" w:type="dxa"/>
              <w:left w:w="65" w:type="dxa"/>
              <w:bottom w:w="35" w:type="dxa"/>
              <w:right w:w="65" w:type="dxa"/>
            </w:tcMar>
          </w:tcPr>
          <w:p>
            <w:pPr>
              <w:pStyle w:val="TableCompact"/>
            </w:pPr>
            <w:r>
              <w:t>1235</w:t>
            </w:r>
          </w:p>
        </w:tc>
        <w:tc>
          <w:tcPr>
            <w:tcW w:type="dxa" w:w="893"/>
            <w:vAlign w:val="top"/>
            <w:tcMar>
              <w:top w:w="40" w:type="dxa"/>
              <w:left w:w="65" w:type="dxa"/>
              <w:bottom w:w="35" w:type="dxa"/>
              <w:right w:w="65" w:type="dxa"/>
            </w:tcMar>
          </w:tcPr>
          <w:p>
            <w:pPr>
              <w:pStyle w:val="TableCompact"/>
            </w:pPr>
            <w:r>
              <w:t>507</w:t>
            </w:r>
          </w:p>
        </w:tc>
        <w:tc>
          <w:tcPr>
            <w:tcW w:type="dxa" w:w="893"/>
            <w:vAlign w:val="top"/>
            <w:tcMar>
              <w:top w:w="40" w:type="dxa"/>
              <w:left w:w="65" w:type="dxa"/>
              <w:bottom w:w="35" w:type="dxa"/>
              <w:right w:w="65" w:type="dxa"/>
            </w:tcMar>
          </w:tcPr>
          <w:p>
            <w:pPr>
              <w:pStyle w:val="TableCompact"/>
            </w:pPr>
            <w:r>
              <w:t>22</w:t>
            </w:r>
          </w:p>
        </w:tc>
        <w:tc>
          <w:tcPr>
            <w:tcW w:type="dxa" w:w="893"/>
            <w:vAlign w:val="top"/>
            <w:tcMar>
              <w:top w:w="40" w:type="dxa"/>
              <w:left w:w="65" w:type="dxa"/>
              <w:bottom w:w="35" w:type="dxa"/>
              <w:right w:w="65" w:type="dxa"/>
            </w:tcMar>
          </w:tcPr>
          <w:p>
            <w:pPr>
              <w:pStyle w:val="TableCompact"/>
            </w:pPr>
            <w:r>
              <w:t>245</w:t>
            </w:r>
          </w:p>
        </w:tc>
        <w:tc>
          <w:tcPr>
            <w:tcW w:type="dxa" w:w="893"/>
            <w:vAlign w:val="top"/>
            <w:tcMar>
              <w:top w:w="40" w:type="dxa"/>
              <w:left w:w="65" w:type="dxa"/>
              <w:bottom w:w="35" w:type="dxa"/>
              <w:right w:w="65" w:type="dxa"/>
            </w:tcMar>
          </w:tcPr>
          <w:p>
            <w:pPr>
              <w:pStyle w:val="TableCompact"/>
            </w:pPr>
            <w:r>
              <w:t>12</w:t>
            </w:r>
          </w:p>
        </w:tc>
        <w:tc>
          <w:tcPr>
            <w:tcW w:type="dxa" w:w="893"/>
            <w:vAlign w:val="top"/>
            <w:tcMar>
              <w:top w:w="40" w:type="dxa"/>
              <w:left w:w="65" w:type="dxa"/>
              <w:bottom w:w="35" w:type="dxa"/>
              <w:right w:w="65" w:type="dxa"/>
            </w:tcMar>
          </w:tcPr>
          <w:p>
            <w:pPr>
              <w:pStyle w:val="TableCompact"/>
            </w:pPr>
            <w:r>
              <w:t>28</w:t>
            </w:r>
          </w:p>
        </w:tc>
        <w:tc>
          <w:tcPr>
            <w:tcW w:type="dxa" w:w="893"/>
            <w:vAlign w:val="top"/>
            <w:tcMar>
              <w:top w:w="40" w:type="dxa"/>
              <w:left w:w="65" w:type="dxa"/>
              <w:bottom w:w="35" w:type="dxa"/>
              <w:right w:w="65" w:type="dxa"/>
            </w:tcMar>
          </w:tcPr>
          <w:p>
            <w:pPr>
              <w:pStyle w:val="TableCompact"/>
            </w:pPr>
            <w:r>
              <w:t>11</w:t>
            </w:r>
          </w:p>
        </w:tc>
        <w:tc>
          <w:tcPr>
            <w:tcW w:type="dxa" w:w="893"/>
            <w:vAlign w:val="top"/>
            <w:tcMar>
              <w:top w:w="40" w:type="dxa"/>
              <w:left w:w="65" w:type="dxa"/>
              <w:bottom w:w="35" w:type="dxa"/>
              <w:right w:w="65" w:type="dxa"/>
            </w:tcMar>
          </w:tcPr>
          <w:p>
            <w:pPr>
              <w:pStyle w:val="TableCompact"/>
            </w:pPr>
            <w:r>
              <w:t>187</w:t>
            </w:r>
          </w:p>
        </w:tc>
        <w:tc>
          <w:tcPr>
            <w:tcW w:type="dxa" w:w="1210"/>
            <w:vAlign w:val="top"/>
            <w:tcMar>
              <w:top w:w="40" w:type="dxa"/>
              <w:left w:w="65" w:type="dxa"/>
              <w:bottom w:w="35" w:type="dxa"/>
              <w:right w:w="65" w:type="dxa"/>
            </w:tcMar>
          </w:tcPr>
          <w:p>
            <w:pPr>
              <w:pStyle w:val="TableCompact"/>
            </w:pPr>
            <w:r>
              <w:t>2247</w:t>
            </w:r>
          </w:p>
        </w:tc>
      </w:tr>
      <w:tr>
        <w:trPr>
          <w:cantSplit/>
        </w:trPr>
        <w:tc>
          <w:tcPr>
            <w:tcW w:type="dxa" w:w="1008"/>
            <w:vAlign w:val="top"/>
            <w:tcMar>
              <w:top w:w="40" w:type="dxa"/>
              <w:left w:w="65" w:type="dxa"/>
              <w:bottom w:w="35" w:type="dxa"/>
              <w:right w:w="65" w:type="dxa"/>
            </w:tcMar>
          </w:tcPr>
          <w:p>
            <w:pPr>
              <w:pStyle w:val="TableCompact"/>
            </w:pPr>
            <w:r>
              <w:t>Total</w:t>
            </w:r>
          </w:p>
        </w:tc>
        <w:tc>
          <w:tcPr>
            <w:tcW w:type="dxa" w:w="893"/>
            <w:vAlign w:val="top"/>
            <w:tcMar>
              <w:top w:w="40" w:type="dxa"/>
              <w:left w:w="65" w:type="dxa"/>
              <w:bottom w:w="35" w:type="dxa"/>
              <w:right w:w="65" w:type="dxa"/>
            </w:tcMar>
          </w:tcPr>
          <w:p>
            <w:pPr>
              <w:pStyle w:val="TableCompact"/>
            </w:pPr>
            <w:r>
              <w:t>36592</w:t>
            </w:r>
          </w:p>
        </w:tc>
        <w:tc>
          <w:tcPr>
            <w:tcW w:type="dxa" w:w="893"/>
            <w:vAlign w:val="top"/>
            <w:tcMar>
              <w:top w:w="40" w:type="dxa"/>
              <w:left w:w="65" w:type="dxa"/>
              <w:bottom w:w="35" w:type="dxa"/>
              <w:right w:w="65" w:type="dxa"/>
            </w:tcMar>
          </w:tcPr>
          <w:p>
            <w:pPr>
              <w:pStyle w:val="TableCompact"/>
            </w:pPr>
            <w:r>
              <w:t>4452</w:t>
            </w:r>
          </w:p>
        </w:tc>
        <w:tc>
          <w:tcPr>
            <w:tcW w:type="dxa" w:w="893"/>
            <w:vAlign w:val="top"/>
            <w:tcMar>
              <w:top w:w="40" w:type="dxa"/>
              <w:left w:w="65" w:type="dxa"/>
              <w:bottom w:w="35" w:type="dxa"/>
              <w:right w:w="65" w:type="dxa"/>
            </w:tcMar>
          </w:tcPr>
          <w:p>
            <w:pPr>
              <w:pStyle w:val="TableCompact"/>
            </w:pPr>
            <w:r>
              <w:t>2356</w:t>
            </w:r>
          </w:p>
        </w:tc>
        <w:tc>
          <w:tcPr>
            <w:tcW w:type="dxa" w:w="893"/>
            <w:vAlign w:val="top"/>
            <w:tcMar>
              <w:top w:w="40" w:type="dxa"/>
              <w:left w:w="65" w:type="dxa"/>
              <w:bottom w:w="35" w:type="dxa"/>
              <w:right w:w="65" w:type="dxa"/>
            </w:tcMar>
          </w:tcPr>
          <w:p>
            <w:pPr>
              <w:pStyle w:val="TableCompact"/>
            </w:pPr>
            <w:r>
              <w:t>2025</w:t>
            </w:r>
          </w:p>
        </w:tc>
        <w:tc>
          <w:tcPr>
            <w:tcW w:type="dxa" w:w="893"/>
            <w:vAlign w:val="top"/>
            <w:tcMar>
              <w:top w:w="40" w:type="dxa"/>
              <w:left w:w="65" w:type="dxa"/>
              <w:bottom w:w="35" w:type="dxa"/>
              <w:right w:w="65" w:type="dxa"/>
            </w:tcMar>
          </w:tcPr>
          <w:p>
            <w:pPr>
              <w:pStyle w:val="TableCompact"/>
            </w:pPr>
            <w:r>
              <w:t>261</w:t>
            </w:r>
          </w:p>
        </w:tc>
        <w:tc>
          <w:tcPr>
            <w:tcW w:type="dxa" w:w="893"/>
            <w:vAlign w:val="top"/>
            <w:tcMar>
              <w:top w:w="40" w:type="dxa"/>
              <w:left w:w="65" w:type="dxa"/>
              <w:bottom w:w="35" w:type="dxa"/>
              <w:right w:w="65" w:type="dxa"/>
            </w:tcMar>
          </w:tcPr>
          <w:p>
            <w:pPr>
              <w:pStyle w:val="TableCompact"/>
            </w:pPr>
            <w:r>
              <w:t>260</w:t>
            </w:r>
          </w:p>
        </w:tc>
        <w:tc>
          <w:tcPr>
            <w:tcW w:type="dxa" w:w="893"/>
            <w:vAlign w:val="top"/>
            <w:tcMar>
              <w:top w:w="40" w:type="dxa"/>
              <w:left w:w="65" w:type="dxa"/>
              <w:bottom w:w="35" w:type="dxa"/>
              <w:right w:w="65" w:type="dxa"/>
            </w:tcMar>
          </w:tcPr>
          <w:p>
            <w:pPr>
              <w:pStyle w:val="TableCompact"/>
            </w:pPr>
            <w:r>
              <w:t>1808</w:t>
            </w:r>
          </w:p>
        </w:tc>
        <w:tc>
          <w:tcPr>
            <w:tcW w:type="dxa" w:w="893"/>
            <w:vAlign w:val="top"/>
            <w:tcMar>
              <w:top w:w="40" w:type="dxa"/>
              <w:left w:w="65" w:type="dxa"/>
              <w:bottom w:w="35" w:type="dxa"/>
              <w:right w:w="65" w:type="dxa"/>
            </w:tcMar>
          </w:tcPr>
          <w:p>
            <w:pPr>
              <w:pStyle w:val="TableCompact"/>
            </w:pPr>
            <w:r>
              <w:t>5199</w:t>
            </w:r>
          </w:p>
        </w:tc>
        <w:tc>
          <w:tcPr>
            <w:tcW w:type="dxa" w:w="1210"/>
            <w:vAlign w:val="top"/>
            <w:tcMar>
              <w:top w:w="40" w:type="dxa"/>
              <w:left w:w="65" w:type="dxa"/>
              <w:bottom w:w="35" w:type="dxa"/>
              <w:right w:w="65" w:type="dxa"/>
            </w:tcMar>
          </w:tcPr>
          <w:p>
            <w:pPr>
              <w:pStyle w:val="TableCompact"/>
            </w:pPr>
            <w:r>
              <w:t>52953</w:t>
            </w:r>
          </w:p>
        </w:tc>
      </w:tr>
    </w:tbl>
    <w:p>
      <w:pPr>
        <w:spacing w:after="0"/>
      </w:pPr>
    </w:p>
    <w:p>
      <w:pPr>
        <w:pStyle w:val="Caption"/>
        <w:keepNext/>
      </w:pPr>
      <w:r>
        <w:t>Per-pair operational results. B/C denote bipartite/complex components; all reported optimal.</w:t>
      </w:r>
    </w:p>
    <w:tbl>
      <w:tblPr>
        <w:tblStyle w:val="TableGrid"/>
        <w:tblW w:type="auto" w:w="0"/>
        <w:jc w:val="center"/>
        <w:tblLayout w:type="fixed"/>
        <w:tblLook w:firstColumn="1" w:firstRow="1" w:lastColumn="0" w:lastRow="0" w:noHBand="0" w:noVBand="1" w:val="04A0"/>
      </w:tblPr>
      <w:tblGrid>
        <w:gridCol w:w="965"/>
        <w:gridCol w:w="1483"/>
        <w:gridCol w:w="1584"/>
        <w:gridCol w:w="1310"/>
        <w:gridCol w:w="1310"/>
        <w:gridCol w:w="1310"/>
        <w:gridCol w:w="1397"/>
      </w:tblGrid>
      <w:tr>
        <w:trPr>
          <w:tblHeader w:val="true"/>
          <w:cantSplit/>
        </w:trPr>
        <w:tc>
          <w:tcPr>
            <w:tcW w:type="dxa" w:w="965"/>
            <w:vAlign w:val="top"/>
            <w:tcMar>
              <w:top w:w="40" w:type="dxa"/>
              <w:left w:w="65" w:type="dxa"/>
              <w:bottom w:w="35" w:type="dxa"/>
              <w:right w:w="65" w:type="dxa"/>
            </w:tcMar>
          </w:tcPr>
          <w:p>
            <w:pPr>
              <w:pStyle w:val="TableCompactHeader"/>
            </w:pPr>
            <w:r>
              <w:t>Pair</w:t>
            </w:r>
          </w:p>
        </w:tc>
        <w:tc>
          <w:tcPr>
            <w:tcW w:type="dxa" w:w="1483"/>
            <w:vAlign w:val="top"/>
            <w:tcMar>
              <w:top w:w="40" w:type="dxa"/>
              <w:left w:w="65" w:type="dxa"/>
              <w:bottom w:w="35" w:type="dxa"/>
              <w:right w:w="65" w:type="dxa"/>
            </w:tcMar>
          </w:tcPr>
          <w:p>
            <w:pPr>
              <w:pStyle w:val="TableCompactHeader"/>
            </w:pPr>
            <w:r>
              <w:t>Seconds</w:t>
            </w:r>
          </w:p>
        </w:tc>
        <w:tc>
          <w:tcPr>
            <w:tcW w:type="dxa" w:w="1584"/>
            <w:vAlign w:val="top"/>
            <w:tcMar>
              <w:top w:w="40" w:type="dxa"/>
              <w:left w:w="65" w:type="dxa"/>
              <w:bottom w:w="35" w:type="dxa"/>
              <w:right w:w="65" w:type="dxa"/>
            </w:tcMar>
          </w:tcPr>
          <w:p>
            <w:pPr>
              <w:pStyle w:val="TableCompactHeader"/>
            </w:pPr>
            <w:r>
              <w:t>Candidates</w:t>
            </w:r>
          </w:p>
        </w:tc>
        <w:tc>
          <w:tcPr>
            <w:tcW w:type="dxa" w:w="1310"/>
            <w:vAlign w:val="top"/>
            <w:tcMar>
              <w:top w:w="40" w:type="dxa"/>
              <w:left w:w="65" w:type="dxa"/>
              <w:bottom w:w="35" w:type="dxa"/>
              <w:right w:w="65" w:type="dxa"/>
            </w:tcMar>
          </w:tcPr>
          <w:p>
            <w:pPr>
              <w:pStyle w:val="TableCompactHeader"/>
            </w:pPr>
            <w:r>
              <w:t>Review</w:t>
            </w:r>
          </w:p>
        </w:tc>
        <w:tc>
          <w:tcPr>
            <w:tcW w:type="dxa" w:w="1310"/>
            <w:vAlign w:val="top"/>
            <w:tcMar>
              <w:top w:w="40" w:type="dxa"/>
              <w:left w:w="65" w:type="dxa"/>
              <w:bottom w:w="35" w:type="dxa"/>
              <w:right w:w="65" w:type="dxa"/>
            </w:tcMar>
          </w:tcPr>
          <w:p>
            <w:pPr>
              <w:pStyle w:val="TableCompactHeader"/>
            </w:pPr>
            <w:r>
              <w:t>Rate</w:t>
            </w:r>
          </w:p>
        </w:tc>
        <w:tc>
          <w:tcPr>
            <w:tcW w:type="dxa" w:w="1310"/>
            <w:vAlign w:val="top"/>
            <w:tcMar>
              <w:top w:w="40" w:type="dxa"/>
              <w:left w:w="65" w:type="dxa"/>
              <w:bottom w:w="35" w:type="dxa"/>
              <w:right w:w="65" w:type="dxa"/>
            </w:tcMar>
          </w:tcPr>
          <w:p>
            <w:pPr>
              <w:pStyle w:val="TableCompactHeader"/>
            </w:pPr>
            <w:r>
              <w:t>B</w:t>
            </w:r>
          </w:p>
        </w:tc>
        <w:tc>
          <w:tcPr>
            <w:tcW w:type="dxa" w:w="1397"/>
            <w:vAlign w:val="top"/>
            <w:tcMar>
              <w:top w:w="40" w:type="dxa"/>
              <w:left w:w="65" w:type="dxa"/>
              <w:bottom w:w="35" w:type="dxa"/>
              <w:right w:w="65" w:type="dxa"/>
            </w:tcMar>
          </w:tcPr>
          <w:p>
            <w:pPr>
              <w:pStyle w:val="TableCompactHeader"/>
            </w:pPr>
            <w:r>
              <w:t>C</w:t>
            </w:r>
          </w:p>
        </w:tc>
      </w:tr>
      <w:tr>
        <w:trPr>
          <w:cantSplit/>
        </w:trPr>
        <w:tc>
          <w:tcPr>
            <w:tcW w:type="dxa" w:w="965"/>
            <w:vAlign w:val="top"/>
            <w:tcMar>
              <w:top w:w="40" w:type="dxa"/>
              <w:left w:w="65" w:type="dxa"/>
              <w:bottom w:w="35" w:type="dxa"/>
              <w:right w:w="65" w:type="dxa"/>
            </w:tcMar>
          </w:tcPr>
          <w:p>
            <w:pPr>
              <w:pStyle w:val="TableCompact"/>
            </w:pPr>
            <w:r>
              <w:t>00 → 01</w:t>
            </w:r>
          </w:p>
        </w:tc>
        <w:tc>
          <w:tcPr>
            <w:tcW w:type="dxa" w:w="1483"/>
            <w:vAlign w:val="top"/>
            <w:tcMar>
              <w:top w:w="40" w:type="dxa"/>
              <w:left w:w="65" w:type="dxa"/>
              <w:bottom w:w="35" w:type="dxa"/>
              <w:right w:w="65" w:type="dxa"/>
            </w:tcMar>
          </w:tcPr>
          <w:p>
            <w:pPr>
              <w:pStyle w:val="TableCompact"/>
            </w:pPr>
            <w:r>
              <w:t>3.614780</w:t>
            </w:r>
          </w:p>
        </w:tc>
        <w:tc>
          <w:tcPr>
            <w:tcW w:type="dxa" w:w="1584"/>
            <w:vAlign w:val="top"/>
            <w:tcMar>
              <w:top w:w="40" w:type="dxa"/>
              <w:left w:w="65" w:type="dxa"/>
              <w:bottom w:w="35" w:type="dxa"/>
              <w:right w:w="65" w:type="dxa"/>
            </w:tcMar>
          </w:tcPr>
          <w:p>
            <w:pPr>
              <w:pStyle w:val="TableCompact"/>
            </w:pPr>
            <w:r>
              <w:t>26,113</w:t>
            </w:r>
          </w:p>
        </w:tc>
        <w:tc>
          <w:tcPr>
            <w:tcW w:type="dxa" w:w="1310"/>
            <w:vAlign w:val="top"/>
            <w:tcMar>
              <w:top w:w="40" w:type="dxa"/>
              <w:left w:w="65" w:type="dxa"/>
              <w:bottom w:w="35" w:type="dxa"/>
              <w:right w:w="65" w:type="dxa"/>
            </w:tcMar>
          </w:tcPr>
          <w:p>
            <w:pPr>
              <w:pStyle w:val="TableCompact"/>
            </w:pPr>
            <w:r>
              <w:t>454</w:t>
            </w:r>
          </w:p>
        </w:tc>
        <w:tc>
          <w:tcPr>
            <w:tcW w:type="dxa" w:w="1310"/>
            <w:vAlign w:val="top"/>
            <w:tcMar>
              <w:top w:w="40" w:type="dxa"/>
              <w:left w:w="65" w:type="dxa"/>
              <w:bottom w:w="35" w:type="dxa"/>
              <w:right w:w="65" w:type="dxa"/>
            </w:tcMar>
          </w:tcPr>
          <w:p>
            <w:pPr>
              <w:pStyle w:val="TableCompact"/>
            </w:pPr>
            <w:r>
              <w:t>29.73%</w:t>
            </w:r>
          </w:p>
        </w:tc>
        <w:tc>
          <w:tcPr>
            <w:tcW w:type="dxa" w:w="1310"/>
            <w:vAlign w:val="top"/>
            <w:tcMar>
              <w:top w:w="40" w:type="dxa"/>
              <w:left w:w="65" w:type="dxa"/>
              <w:bottom w:w="35" w:type="dxa"/>
              <w:right w:w="65" w:type="dxa"/>
            </w:tcMar>
          </w:tcPr>
          <w:p>
            <w:pPr>
              <w:pStyle w:val="TableCompact"/>
            </w:pPr>
            <w:r>
              <w:t>213</w:t>
            </w:r>
          </w:p>
        </w:tc>
        <w:tc>
          <w:tcPr>
            <w:tcW w:type="dxa" w:w="1397"/>
            <w:vAlign w:val="top"/>
            <w:tcMar>
              <w:top w:w="40" w:type="dxa"/>
              <w:left w:w="65" w:type="dxa"/>
              <w:bottom w:w="35" w:type="dxa"/>
              <w:right w:w="65" w:type="dxa"/>
            </w:tcMar>
          </w:tcPr>
          <w:p>
            <w:pPr>
              <w:pStyle w:val="TableCompact"/>
            </w:pPr>
            <w:r>
              <w:t>1</w:t>
            </w:r>
          </w:p>
        </w:tc>
      </w:tr>
      <w:tr>
        <w:trPr>
          <w:cantSplit/>
        </w:trPr>
        <w:tc>
          <w:tcPr>
            <w:tcW w:type="dxa" w:w="965"/>
            <w:vAlign w:val="top"/>
            <w:tcMar>
              <w:top w:w="40" w:type="dxa"/>
              <w:left w:w="65" w:type="dxa"/>
              <w:bottom w:w="35" w:type="dxa"/>
              <w:right w:w="65" w:type="dxa"/>
            </w:tcMar>
          </w:tcPr>
          <w:p>
            <w:pPr>
              <w:pStyle w:val="TableCompact"/>
            </w:pPr>
            <w:r>
              <w:t>01 → 02</w:t>
            </w:r>
          </w:p>
        </w:tc>
        <w:tc>
          <w:tcPr>
            <w:tcW w:type="dxa" w:w="1483"/>
            <w:vAlign w:val="top"/>
            <w:tcMar>
              <w:top w:w="40" w:type="dxa"/>
              <w:left w:w="65" w:type="dxa"/>
              <w:bottom w:w="35" w:type="dxa"/>
              <w:right w:w="65" w:type="dxa"/>
            </w:tcMar>
          </w:tcPr>
          <w:p>
            <w:pPr>
              <w:pStyle w:val="TableCompact"/>
            </w:pPr>
            <w:r>
              <w:t>5.361548</w:t>
            </w:r>
          </w:p>
        </w:tc>
        <w:tc>
          <w:tcPr>
            <w:tcW w:type="dxa" w:w="1584"/>
            <w:vAlign w:val="top"/>
            <w:tcMar>
              <w:top w:w="40" w:type="dxa"/>
              <w:left w:w="65" w:type="dxa"/>
              <w:bottom w:w="35" w:type="dxa"/>
              <w:right w:w="65" w:type="dxa"/>
            </w:tcMar>
          </w:tcPr>
          <w:p>
            <w:pPr>
              <w:pStyle w:val="TableCompact"/>
            </w:pPr>
            <w:r>
              <w:t>25,138</w:t>
            </w:r>
          </w:p>
        </w:tc>
        <w:tc>
          <w:tcPr>
            <w:tcW w:type="dxa" w:w="1310"/>
            <w:vAlign w:val="top"/>
            <w:tcMar>
              <w:top w:w="40" w:type="dxa"/>
              <w:left w:w="65" w:type="dxa"/>
              <w:bottom w:w="35" w:type="dxa"/>
              <w:right w:w="65" w:type="dxa"/>
            </w:tcMar>
          </w:tcPr>
          <w:p>
            <w:pPr>
              <w:pStyle w:val="TableCompact"/>
            </w:pPr>
            <w:r>
              <w:t>995</w:t>
            </w:r>
          </w:p>
        </w:tc>
        <w:tc>
          <w:tcPr>
            <w:tcW w:type="dxa" w:w="1310"/>
            <w:vAlign w:val="top"/>
            <w:tcMar>
              <w:top w:w="40" w:type="dxa"/>
              <w:left w:w="65" w:type="dxa"/>
              <w:bottom w:w="35" w:type="dxa"/>
              <w:right w:w="65" w:type="dxa"/>
            </w:tcMar>
          </w:tcPr>
          <w:p>
            <w:pPr>
              <w:pStyle w:val="TableCompact"/>
            </w:pPr>
            <w:r>
              <w:t>60.56%</w:t>
            </w:r>
          </w:p>
        </w:tc>
        <w:tc>
          <w:tcPr>
            <w:tcW w:type="dxa" w:w="1310"/>
            <w:vAlign w:val="top"/>
            <w:tcMar>
              <w:top w:w="40" w:type="dxa"/>
              <w:left w:w="65" w:type="dxa"/>
              <w:bottom w:w="35" w:type="dxa"/>
              <w:right w:w="65" w:type="dxa"/>
            </w:tcMar>
          </w:tcPr>
          <w:p>
            <w:pPr>
              <w:pStyle w:val="TableCompact"/>
            </w:pPr>
            <w:r>
              <w:t>317</w:t>
            </w:r>
          </w:p>
        </w:tc>
        <w:tc>
          <w:tcPr>
            <w:tcW w:type="dxa" w:w="1397"/>
            <w:vAlign w:val="top"/>
            <w:tcMar>
              <w:top w:w="40" w:type="dxa"/>
              <w:left w:w="65" w:type="dxa"/>
              <w:bottom w:w="35" w:type="dxa"/>
              <w:right w:w="65" w:type="dxa"/>
            </w:tcMar>
          </w:tcPr>
          <w:p>
            <w:pPr>
              <w:pStyle w:val="TableCompact"/>
            </w:pPr>
            <w:r>
              <w:t>26</w:t>
            </w:r>
          </w:p>
        </w:tc>
      </w:tr>
      <w:tr>
        <w:trPr>
          <w:cantSplit/>
        </w:trPr>
        <w:tc>
          <w:tcPr>
            <w:tcW w:type="dxa" w:w="965"/>
            <w:vAlign w:val="top"/>
            <w:tcMar>
              <w:top w:w="40" w:type="dxa"/>
              <w:left w:w="65" w:type="dxa"/>
              <w:bottom w:w="35" w:type="dxa"/>
              <w:right w:w="65" w:type="dxa"/>
            </w:tcMar>
          </w:tcPr>
          <w:p>
            <w:pPr>
              <w:pStyle w:val="TableCompact"/>
            </w:pPr>
            <w:r>
              <w:t>02 → 03</w:t>
            </w:r>
          </w:p>
        </w:tc>
        <w:tc>
          <w:tcPr>
            <w:tcW w:type="dxa" w:w="1483"/>
            <w:vAlign w:val="top"/>
            <w:tcMar>
              <w:top w:w="40" w:type="dxa"/>
              <w:left w:w="65" w:type="dxa"/>
              <w:bottom w:w="35" w:type="dxa"/>
              <w:right w:w="65" w:type="dxa"/>
            </w:tcMar>
          </w:tcPr>
          <w:p>
            <w:pPr>
              <w:pStyle w:val="TableCompact"/>
            </w:pPr>
            <w:r>
              <w:t>3.716977</w:t>
            </w:r>
          </w:p>
        </w:tc>
        <w:tc>
          <w:tcPr>
            <w:tcW w:type="dxa" w:w="1584"/>
            <w:vAlign w:val="top"/>
            <w:tcMar>
              <w:top w:w="40" w:type="dxa"/>
              <w:left w:w="65" w:type="dxa"/>
              <w:bottom w:w="35" w:type="dxa"/>
              <w:right w:w="65" w:type="dxa"/>
            </w:tcMar>
          </w:tcPr>
          <w:p>
            <w:pPr>
              <w:pStyle w:val="TableCompact"/>
            </w:pPr>
            <w:r>
              <w:t>23,883</w:t>
            </w:r>
          </w:p>
        </w:tc>
        <w:tc>
          <w:tcPr>
            <w:tcW w:type="dxa" w:w="1310"/>
            <w:vAlign w:val="top"/>
            <w:tcMar>
              <w:top w:w="40" w:type="dxa"/>
              <w:left w:w="65" w:type="dxa"/>
              <w:bottom w:w="35" w:type="dxa"/>
              <w:right w:w="65" w:type="dxa"/>
            </w:tcMar>
          </w:tcPr>
          <w:p>
            <w:pPr>
              <w:pStyle w:val="TableCompact"/>
            </w:pPr>
            <w:r>
              <w:t>673</w:t>
            </w:r>
          </w:p>
        </w:tc>
        <w:tc>
          <w:tcPr>
            <w:tcW w:type="dxa" w:w="1310"/>
            <w:vAlign w:val="top"/>
            <w:tcMar>
              <w:top w:w="40" w:type="dxa"/>
              <w:left w:w="65" w:type="dxa"/>
              <w:bottom w:w="35" w:type="dxa"/>
              <w:right w:w="65" w:type="dxa"/>
            </w:tcMar>
          </w:tcPr>
          <w:p>
            <w:pPr>
              <w:pStyle w:val="TableCompact"/>
            </w:pPr>
            <w:r>
              <w:t>45.66%</w:t>
            </w:r>
          </w:p>
        </w:tc>
        <w:tc>
          <w:tcPr>
            <w:tcW w:type="dxa" w:w="1310"/>
            <w:vAlign w:val="top"/>
            <w:tcMar>
              <w:top w:w="40" w:type="dxa"/>
              <w:left w:w="65" w:type="dxa"/>
              <w:bottom w:w="35" w:type="dxa"/>
              <w:right w:w="65" w:type="dxa"/>
            </w:tcMar>
          </w:tcPr>
          <w:p>
            <w:pPr>
              <w:pStyle w:val="TableCompact"/>
            </w:pPr>
            <w:r>
              <w:t>251</w:t>
            </w:r>
          </w:p>
        </w:tc>
        <w:tc>
          <w:tcPr>
            <w:tcW w:type="dxa" w:w="1397"/>
            <w:vAlign w:val="top"/>
            <w:tcMar>
              <w:top w:w="40" w:type="dxa"/>
              <w:left w:w="65" w:type="dxa"/>
              <w:bottom w:w="35" w:type="dxa"/>
              <w:right w:w="65" w:type="dxa"/>
            </w:tcMar>
          </w:tcPr>
          <w:p>
            <w:pPr>
              <w:pStyle w:val="TableCompact"/>
            </w:pPr>
            <w:r>
              <w:t>24</w:t>
            </w:r>
          </w:p>
        </w:tc>
      </w:tr>
      <w:tr>
        <w:trPr>
          <w:cantSplit/>
        </w:trPr>
        <w:tc>
          <w:tcPr>
            <w:tcW w:type="dxa" w:w="965"/>
            <w:vAlign w:val="top"/>
            <w:tcMar>
              <w:top w:w="40" w:type="dxa"/>
              <w:left w:w="65" w:type="dxa"/>
              <w:bottom w:w="35" w:type="dxa"/>
              <w:right w:w="65" w:type="dxa"/>
            </w:tcMar>
          </w:tcPr>
          <w:p>
            <w:pPr>
              <w:pStyle w:val="TableCompact"/>
            </w:pPr>
            <w:r>
              <w:t>03 → 04</w:t>
            </w:r>
          </w:p>
        </w:tc>
        <w:tc>
          <w:tcPr>
            <w:tcW w:type="dxa" w:w="1483"/>
            <w:vAlign w:val="top"/>
            <w:tcMar>
              <w:top w:w="40" w:type="dxa"/>
              <w:left w:w="65" w:type="dxa"/>
              <w:bottom w:w="35" w:type="dxa"/>
              <w:right w:w="65" w:type="dxa"/>
            </w:tcMar>
          </w:tcPr>
          <w:p>
            <w:pPr>
              <w:pStyle w:val="TableCompact"/>
            </w:pPr>
            <w:r>
              <w:t>4.100114</w:t>
            </w:r>
          </w:p>
        </w:tc>
        <w:tc>
          <w:tcPr>
            <w:tcW w:type="dxa" w:w="1584"/>
            <w:vAlign w:val="top"/>
            <w:tcMar>
              <w:top w:w="40" w:type="dxa"/>
              <w:left w:w="65" w:type="dxa"/>
              <w:bottom w:w="35" w:type="dxa"/>
              <w:right w:w="65" w:type="dxa"/>
            </w:tcMar>
          </w:tcPr>
          <w:p>
            <w:pPr>
              <w:pStyle w:val="TableCompact"/>
            </w:pPr>
            <w:r>
              <w:t>24,226</w:t>
            </w:r>
          </w:p>
        </w:tc>
        <w:tc>
          <w:tcPr>
            <w:tcW w:type="dxa" w:w="1310"/>
            <w:vAlign w:val="top"/>
            <w:tcMar>
              <w:top w:w="40" w:type="dxa"/>
              <w:left w:w="65" w:type="dxa"/>
              <w:bottom w:w="35" w:type="dxa"/>
              <w:right w:w="65" w:type="dxa"/>
            </w:tcMar>
          </w:tcPr>
          <w:p>
            <w:pPr>
              <w:pStyle w:val="TableCompact"/>
            </w:pPr>
            <w:r>
              <w:t>684</w:t>
            </w:r>
          </w:p>
        </w:tc>
        <w:tc>
          <w:tcPr>
            <w:tcW w:type="dxa" w:w="1310"/>
            <w:vAlign w:val="top"/>
            <w:tcMar>
              <w:top w:w="40" w:type="dxa"/>
              <w:left w:w="65" w:type="dxa"/>
              <w:bottom w:w="35" w:type="dxa"/>
              <w:right w:w="65" w:type="dxa"/>
            </w:tcMar>
          </w:tcPr>
          <w:p>
            <w:pPr>
              <w:pStyle w:val="TableCompact"/>
            </w:pPr>
            <w:r>
              <w:t>45.60%</w:t>
            </w:r>
          </w:p>
        </w:tc>
        <w:tc>
          <w:tcPr>
            <w:tcW w:type="dxa" w:w="1310"/>
            <w:vAlign w:val="top"/>
            <w:tcMar>
              <w:top w:w="40" w:type="dxa"/>
              <w:left w:w="65" w:type="dxa"/>
              <w:bottom w:w="35" w:type="dxa"/>
              <w:right w:w="65" w:type="dxa"/>
            </w:tcMar>
          </w:tcPr>
          <w:p>
            <w:pPr>
              <w:pStyle w:val="TableCompact"/>
            </w:pPr>
            <w:r>
              <w:t>249</w:t>
            </w:r>
          </w:p>
        </w:tc>
        <w:tc>
          <w:tcPr>
            <w:tcW w:type="dxa" w:w="1397"/>
            <w:vAlign w:val="top"/>
            <w:tcMar>
              <w:top w:w="40" w:type="dxa"/>
              <w:left w:w="65" w:type="dxa"/>
              <w:bottom w:w="35" w:type="dxa"/>
              <w:right w:w="65" w:type="dxa"/>
            </w:tcMar>
          </w:tcPr>
          <w:p>
            <w:pPr>
              <w:pStyle w:val="TableCompact"/>
            </w:pPr>
            <w:r>
              <w:t>26</w:t>
            </w:r>
          </w:p>
        </w:tc>
      </w:tr>
      <w:tr>
        <w:trPr>
          <w:cantSplit/>
        </w:trPr>
        <w:tc>
          <w:tcPr>
            <w:tcW w:type="dxa" w:w="965"/>
            <w:vAlign w:val="top"/>
            <w:tcMar>
              <w:top w:w="40" w:type="dxa"/>
              <w:left w:w="65" w:type="dxa"/>
              <w:bottom w:w="35" w:type="dxa"/>
              <w:right w:w="65" w:type="dxa"/>
            </w:tcMar>
          </w:tcPr>
          <w:p>
            <w:pPr>
              <w:pStyle w:val="TableCompact"/>
            </w:pPr>
            <w:r>
              <w:t>04 → 05</w:t>
            </w:r>
          </w:p>
        </w:tc>
        <w:tc>
          <w:tcPr>
            <w:tcW w:type="dxa" w:w="1483"/>
            <w:vAlign w:val="top"/>
            <w:tcMar>
              <w:top w:w="40" w:type="dxa"/>
              <w:left w:w="65" w:type="dxa"/>
              <w:bottom w:w="35" w:type="dxa"/>
              <w:right w:w="65" w:type="dxa"/>
            </w:tcMar>
          </w:tcPr>
          <w:p>
            <w:pPr>
              <w:pStyle w:val="TableCompact"/>
            </w:pPr>
            <w:r>
              <w:t>3.627484</w:t>
            </w:r>
          </w:p>
        </w:tc>
        <w:tc>
          <w:tcPr>
            <w:tcW w:type="dxa" w:w="1584"/>
            <w:vAlign w:val="top"/>
            <w:tcMar>
              <w:top w:w="40" w:type="dxa"/>
              <w:left w:w="65" w:type="dxa"/>
              <w:bottom w:w="35" w:type="dxa"/>
              <w:right w:w="65" w:type="dxa"/>
            </w:tcMar>
          </w:tcPr>
          <w:p>
            <w:pPr>
              <w:pStyle w:val="TableCompact"/>
            </w:pPr>
            <w:r>
              <w:t>23,265</w:t>
            </w:r>
          </w:p>
        </w:tc>
        <w:tc>
          <w:tcPr>
            <w:tcW w:type="dxa" w:w="1310"/>
            <w:vAlign w:val="top"/>
            <w:tcMar>
              <w:top w:w="40" w:type="dxa"/>
              <w:left w:w="65" w:type="dxa"/>
              <w:bottom w:w="35" w:type="dxa"/>
              <w:right w:w="65" w:type="dxa"/>
            </w:tcMar>
          </w:tcPr>
          <w:p>
            <w:pPr>
              <w:pStyle w:val="TableCompact"/>
            </w:pPr>
            <w:r>
              <w:t>608</w:t>
            </w:r>
          </w:p>
        </w:tc>
        <w:tc>
          <w:tcPr>
            <w:tcW w:type="dxa" w:w="1310"/>
            <w:vAlign w:val="top"/>
            <w:tcMar>
              <w:top w:w="40" w:type="dxa"/>
              <w:left w:w="65" w:type="dxa"/>
              <w:bottom w:w="35" w:type="dxa"/>
              <w:right w:w="65" w:type="dxa"/>
            </w:tcMar>
          </w:tcPr>
          <w:p>
            <w:pPr>
              <w:pStyle w:val="TableCompact"/>
            </w:pPr>
            <w:r>
              <w:t>42.46%</w:t>
            </w:r>
          </w:p>
        </w:tc>
        <w:tc>
          <w:tcPr>
            <w:tcW w:type="dxa" w:w="1310"/>
            <w:vAlign w:val="top"/>
            <w:tcMar>
              <w:top w:w="40" w:type="dxa"/>
              <w:left w:w="65" w:type="dxa"/>
              <w:bottom w:w="35" w:type="dxa"/>
              <w:right w:w="65" w:type="dxa"/>
            </w:tcMar>
          </w:tcPr>
          <w:p>
            <w:pPr>
              <w:pStyle w:val="TableCompact"/>
            </w:pPr>
            <w:r>
              <w:t>248</w:t>
            </w:r>
          </w:p>
        </w:tc>
        <w:tc>
          <w:tcPr>
            <w:tcW w:type="dxa" w:w="1397"/>
            <w:vAlign w:val="top"/>
            <w:tcMar>
              <w:top w:w="40" w:type="dxa"/>
              <w:left w:w="65" w:type="dxa"/>
              <w:bottom w:w="35" w:type="dxa"/>
              <w:right w:w="65" w:type="dxa"/>
            </w:tcMar>
          </w:tcPr>
          <w:p>
            <w:pPr>
              <w:pStyle w:val="TableCompact"/>
            </w:pPr>
            <w:r>
              <w:t>19</w:t>
            </w:r>
          </w:p>
        </w:tc>
      </w:tr>
      <w:tr>
        <w:trPr>
          <w:cantSplit/>
        </w:trPr>
        <w:tc>
          <w:tcPr>
            <w:tcW w:type="dxa" w:w="965"/>
            <w:vAlign w:val="top"/>
            <w:tcMar>
              <w:top w:w="40" w:type="dxa"/>
              <w:left w:w="65" w:type="dxa"/>
              <w:bottom w:w="35" w:type="dxa"/>
              <w:right w:w="65" w:type="dxa"/>
            </w:tcMar>
          </w:tcPr>
          <w:p>
            <w:pPr>
              <w:pStyle w:val="TableCompact"/>
            </w:pPr>
            <w:r>
              <w:t>05 → 06</w:t>
            </w:r>
          </w:p>
        </w:tc>
        <w:tc>
          <w:tcPr>
            <w:tcW w:type="dxa" w:w="1483"/>
            <w:vAlign w:val="top"/>
            <w:tcMar>
              <w:top w:w="40" w:type="dxa"/>
              <w:left w:w="65" w:type="dxa"/>
              <w:bottom w:w="35" w:type="dxa"/>
              <w:right w:w="65" w:type="dxa"/>
            </w:tcMar>
          </w:tcPr>
          <w:p>
            <w:pPr>
              <w:pStyle w:val="TableCompact"/>
            </w:pPr>
            <w:r>
              <w:t>4.288976</w:t>
            </w:r>
          </w:p>
        </w:tc>
        <w:tc>
          <w:tcPr>
            <w:tcW w:type="dxa" w:w="1584"/>
            <w:vAlign w:val="top"/>
            <w:tcMar>
              <w:top w:w="40" w:type="dxa"/>
              <w:left w:w="65" w:type="dxa"/>
              <w:bottom w:w="35" w:type="dxa"/>
              <w:right w:w="65" w:type="dxa"/>
            </w:tcMar>
          </w:tcPr>
          <w:p>
            <w:pPr>
              <w:pStyle w:val="TableCompact"/>
            </w:pPr>
            <w:r>
              <w:t>22,706</w:t>
            </w:r>
          </w:p>
        </w:tc>
        <w:tc>
          <w:tcPr>
            <w:tcW w:type="dxa" w:w="1310"/>
            <w:vAlign w:val="top"/>
            <w:tcMar>
              <w:top w:w="40" w:type="dxa"/>
              <w:left w:w="65" w:type="dxa"/>
              <w:bottom w:w="35" w:type="dxa"/>
              <w:right w:w="65" w:type="dxa"/>
            </w:tcMar>
          </w:tcPr>
          <w:p>
            <w:pPr>
              <w:pStyle w:val="TableCompact"/>
            </w:pPr>
            <w:r>
              <w:t>690</w:t>
            </w:r>
          </w:p>
        </w:tc>
        <w:tc>
          <w:tcPr>
            <w:tcW w:type="dxa" w:w="1310"/>
            <w:vAlign w:val="top"/>
            <w:tcMar>
              <w:top w:w="40" w:type="dxa"/>
              <w:left w:w="65" w:type="dxa"/>
              <w:bottom w:w="35" w:type="dxa"/>
              <w:right w:w="65" w:type="dxa"/>
            </w:tcMar>
          </w:tcPr>
          <w:p>
            <w:pPr>
              <w:pStyle w:val="TableCompact"/>
            </w:pPr>
            <w:r>
              <w:t>48.73%</w:t>
            </w:r>
          </w:p>
        </w:tc>
        <w:tc>
          <w:tcPr>
            <w:tcW w:type="dxa" w:w="1310"/>
            <w:vAlign w:val="top"/>
            <w:tcMar>
              <w:top w:w="40" w:type="dxa"/>
              <w:left w:w="65" w:type="dxa"/>
              <w:bottom w:w="35" w:type="dxa"/>
              <w:right w:w="65" w:type="dxa"/>
            </w:tcMar>
          </w:tcPr>
          <w:p>
            <w:pPr>
              <w:pStyle w:val="TableCompact"/>
            </w:pPr>
            <w:r>
              <w:t>295</w:t>
            </w:r>
          </w:p>
        </w:tc>
        <w:tc>
          <w:tcPr>
            <w:tcW w:type="dxa" w:w="1397"/>
            <w:vAlign w:val="top"/>
            <w:tcMar>
              <w:top w:w="40" w:type="dxa"/>
              <w:left w:w="65" w:type="dxa"/>
              <w:bottom w:w="35" w:type="dxa"/>
              <w:right w:w="65" w:type="dxa"/>
            </w:tcMar>
          </w:tcPr>
          <w:p>
            <w:pPr>
              <w:pStyle w:val="TableCompact"/>
            </w:pPr>
            <w:r>
              <w:t>21</w:t>
            </w:r>
          </w:p>
        </w:tc>
      </w:tr>
      <w:tr>
        <w:trPr>
          <w:cantSplit/>
        </w:trPr>
        <w:tc>
          <w:tcPr>
            <w:tcW w:type="dxa" w:w="965"/>
            <w:vAlign w:val="top"/>
            <w:tcMar>
              <w:top w:w="40" w:type="dxa"/>
              <w:left w:w="65" w:type="dxa"/>
              <w:bottom w:w="35" w:type="dxa"/>
              <w:right w:w="65" w:type="dxa"/>
            </w:tcMar>
          </w:tcPr>
          <w:p>
            <w:pPr>
              <w:pStyle w:val="TableCompact"/>
            </w:pPr>
            <w:r>
              <w:t>06 → 07</w:t>
            </w:r>
          </w:p>
        </w:tc>
        <w:tc>
          <w:tcPr>
            <w:tcW w:type="dxa" w:w="1483"/>
            <w:vAlign w:val="top"/>
            <w:tcMar>
              <w:top w:w="40" w:type="dxa"/>
              <w:left w:w="65" w:type="dxa"/>
              <w:bottom w:w="35" w:type="dxa"/>
              <w:right w:w="65" w:type="dxa"/>
            </w:tcMar>
          </w:tcPr>
          <w:p>
            <w:pPr>
              <w:pStyle w:val="TableCompact"/>
            </w:pPr>
            <w:r>
              <w:t>5.173218</w:t>
            </w:r>
          </w:p>
        </w:tc>
        <w:tc>
          <w:tcPr>
            <w:tcW w:type="dxa" w:w="1584"/>
            <w:vAlign w:val="top"/>
            <w:tcMar>
              <w:top w:w="40" w:type="dxa"/>
              <w:left w:w="65" w:type="dxa"/>
              <w:bottom w:w="35" w:type="dxa"/>
              <w:right w:w="65" w:type="dxa"/>
            </w:tcMar>
          </w:tcPr>
          <w:p>
            <w:pPr>
              <w:pStyle w:val="TableCompact"/>
            </w:pPr>
            <w:r>
              <w:t>23,516</w:t>
            </w:r>
          </w:p>
        </w:tc>
        <w:tc>
          <w:tcPr>
            <w:tcW w:type="dxa" w:w="1310"/>
            <w:vAlign w:val="top"/>
            <w:tcMar>
              <w:top w:w="40" w:type="dxa"/>
              <w:left w:w="65" w:type="dxa"/>
              <w:bottom w:w="35" w:type="dxa"/>
              <w:right w:w="65" w:type="dxa"/>
            </w:tcMar>
          </w:tcPr>
          <w:p>
            <w:pPr>
              <w:pStyle w:val="TableCompact"/>
            </w:pPr>
            <w:r>
              <w:t>1025</w:t>
            </w:r>
          </w:p>
        </w:tc>
        <w:tc>
          <w:tcPr>
            <w:tcW w:type="dxa" w:w="1310"/>
            <w:vAlign w:val="top"/>
            <w:tcMar>
              <w:top w:w="40" w:type="dxa"/>
              <w:left w:w="65" w:type="dxa"/>
              <w:bottom w:w="35" w:type="dxa"/>
              <w:right w:w="65" w:type="dxa"/>
            </w:tcMar>
          </w:tcPr>
          <w:p>
            <w:pPr>
              <w:pStyle w:val="TableCompact"/>
            </w:pPr>
            <w:r>
              <w:t>65.04%</w:t>
            </w:r>
          </w:p>
        </w:tc>
        <w:tc>
          <w:tcPr>
            <w:tcW w:type="dxa" w:w="1310"/>
            <w:vAlign w:val="top"/>
            <w:tcMar>
              <w:top w:w="40" w:type="dxa"/>
              <w:left w:w="65" w:type="dxa"/>
              <w:bottom w:w="35" w:type="dxa"/>
              <w:right w:w="65" w:type="dxa"/>
            </w:tcMar>
          </w:tcPr>
          <w:p>
            <w:pPr>
              <w:pStyle w:val="TableCompact"/>
            </w:pPr>
            <w:r>
              <w:t>298</w:t>
            </w:r>
          </w:p>
        </w:tc>
        <w:tc>
          <w:tcPr>
            <w:tcW w:type="dxa" w:w="1397"/>
            <w:vAlign w:val="top"/>
            <w:tcMar>
              <w:top w:w="40" w:type="dxa"/>
              <w:left w:w="65" w:type="dxa"/>
              <w:bottom w:w="35" w:type="dxa"/>
              <w:right w:w="65" w:type="dxa"/>
            </w:tcMar>
          </w:tcPr>
          <w:p>
            <w:pPr>
              <w:pStyle w:val="TableCompact"/>
            </w:pPr>
            <w:r>
              <w:t>13</w:t>
            </w:r>
          </w:p>
        </w:tc>
      </w:tr>
      <w:tr>
        <w:trPr>
          <w:cantSplit/>
        </w:trPr>
        <w:tc>
          <w:tcPr>
            <w:tcW w:type="dxa" w:w="965"/>
            <w:vAlign w:val="top"/>
            <w:tcMar>
              <w:top w:w="40" w:type="dxa"/>
              <w:left w:w="65" w:type="dxa"/>
              <w:bottom w:w="35" w:type="dxa"/>
              <w:right w:w="65" w:type="dxa"/>
            </w:tcMar>
          </w:tcPr>
          <w:p>
            <w:pPr>
              <w:pStyle w:val="TableCompact"/>
            </w:pPr>
            <w:r>
              <w:t>07 → 08</w:t>
            </w:r>
          </w:p>
        </w:tc>
        <w:tc>
          <w:tcPr>
            <w:tcW w:type="dxa" w:w="1483"/>
            <w:vAlign w:val="top"/>
            <w:tcMar>
              <w:top w:w="40" w:type="dxa"/>
              <w:left w:w="65" w:type="dxa"/>
              <w:bottom w:w="35" w:type="dxa"/>
              <w:right w:w="65" w:type="dxa"/>
            </w:tcMar>
          </w:tcPr>
          <w:p>
            <w:pPr>
              <w:pStyle w:val="TableCompact"/>
            </w:pPr>
            <w:r>
              <w:t>4.843517</w:t>
            </w:r>
          </w:p>
        </w:tc>
        <w:tc>
          <w:tcPr>
            <w:tcW w:type="dxa" w:w="1584"/>
            <w:vAlign w:val="top"/>
            <w:tcMar>
              <w:top w:w="40" w:type="dxa"/>
              <w:left w:w="65" w:type="dxa"/>
              <w:bottom w:w="35" w:type="dxa"/>
              <w:right w:w="65" w:type="dxa"/>
            </w:tcMar>
          </w:tcPr>
          <w:p>
            <w:pPr>
              <w:pStyle w:val="TableCompact"/>
            </w:pPr>
            <w:r>
              <w:t>24,523</w:t>
            </w:r>
          </w:p>
        </w:tc>
        <w:tc>
          <w:tcPr>
            <w:tcW w:type="dxa" w:w="1310"/>
            <w:vAlign w:val="top"/>
            <w:tcMar>
              <w:top w:w="40" w:type="dxa"/>
              <w:left w:w="65" w:type="dxa"/>
              <w:bottom w:w="35" w:type="dxa"/>
              <w:right w:w="65" w:type="dxa"/>
            </w:tcMar>
          </w:tcPr>
          <w:p>
            <w:pPr>
              <w:pStyle w:val="TableCompact"/>
            </w:pPr>
            <w:r>
              <w:t>817</w:t>
            </w:r>
          </w:p>
        </w:tc>
        <w:tc>
          <w:tcPr>
            <w:tcW w:type="dxa" w:w="1310"/>
            <w:vAlign w:val="top"/>
            <w:tcMar>
              <w:top w:w="40" w:type="dxa"/>
              <w:left w:w="65" w:type="dxa"/>
              <w:bottom w:w="35" w:type="dxa"/>
              <w:right w:w="65" w:type="dxa"/>
            </w:tcMar>
          </w:tcPr>
          <w:p>
            <w:pPr>
              <w:pStyle w:val="TableCompact"/>
            </w:pPr>
            <w:r>
              <w:t>52.14%</w:t>
            </w:r>
          </w:p>
        </w:tc>
        <w:tc>
          <w:tcPr>
            <w:tcW w:type="dxa" w:w="1310"/>
            <w:vAlign w:val="top"/>
            <w:tcMar>
              <w:top w:w="40" w:type="dxa"/>
              <w:left w:w="65" w:type="dxa"/>
              <w:bottom w:w="35" w:type="dxa"/>
              <w:right w:w="65" w:type="dxa"/>
            </w:tcMar>
          </w:tcPr>
          <w:p>
            <w:pPr>
              <w:pStyle w:val="TableCompact"/>
            </w:pPr>
            <w:r>
              <w:t>339</w:t>
            </w:r>
          </w:p>
        </w:tc>
        <w:tc>
          <w:tcPr>
            <w:tcW w:type="dxa" w:w="1397"/>
            <w:vAlign w:val="top"/>
            <w:tcMar>
              <w:top w:w="40" w:type="dxa"/>
              <w:left w:w="65" w:type="dxa"/>
              <w:bottom w:w="35" w:type="dxa"/>
              <w:right w:w="65" w:type="dxa"/>
            </w:tcMar>
          </w:tcPr>
          <w:p>
            <w:pPr>
              <w:pStyle w:val="TableCompact"/>
            </w:pPr>
            <w:r>
              <w:t>16</w:t>
            </w:r>
          </w:p>
        </w:tc>
      </w:tr>
      <w:tr>
        <w:trPr>
          <w:cantSplit/>
        </w:trPr>
        <w:tc>
          <w:tcPr>
            <w:tcW w:type="dxa" w:w="965"/>
            <w:vAlign w:val="top"/>
            <w:tcMar>
              <w:top w:w="40" w:type="dxa"/>
              <w:left w:w="65" w:type="dxa"/>
              <w:bottom w:w="35" w:type="dxa"/>
              <w:right w:w="65" w:type="dxa"/>
            </w:tcMar>
          </w:tcPr>
          <w:p>
            <w:pPr>
              <w:pStyle w:val="TableCompact"/>
            </w:pPr>
            <w:r>
              <w:t>08 → 09</w:t>
            </w:r>
          </w:p>
        </w:tc>
        <w:tc>
          <w:tcPr>
            <w:tcW w:type="dxa" w:w="1483"/>
            <w:vAlign w:val="top"/>
            <w:tcMar>
              <w:top w:w="40" w:type="dxa"/>
              <w:left w:w="65" w:type="dxa"/>
              <w:bottom w:w="35" w:type="dxa"/>
              <w:right w:w="65" w:type="dxa"/>
            </w:tcMar>
          </w:tcPr>
          <w:p>
            <w:pPr>
              <w:pStyle w:val="TableCompact"/>
            </w:pPr>
            <w:r>
              <w:t>4.527044</w:t>
            </w:r>
          </w:p>
        </w:tc>
        <w:tc>
          <w:tcPr>
            <w:tcW w:type="dxa" w:w="1584"/>
            <w:vAlign w:val="top"/>
            <w:tcMar>
              <w:top w:w="40" w:type="dxa"/>
              <w:left w:w="65" w:type="dxa"/>
              <w:bottom w:w="35" w:type="dxa"/>
              <w:right w:w="65" w:type="dxa"/>
            </w:tcMar>
          </w:tcPr>
          <w:p>
            <w:pPr>
              <w:pStyle w:val="TableCompact"/>
            </w:pPr>
            <w:r>
              <w:t>25,489</w:t>
            </w:r>
          </w:p>
        </w:tc>
        <w:tc>
          <w:tcPr>
            <w:tcW w:type="dxa" w:w="1310"/>
            <w:vAlign w:val="top"/>
            <w:tcMar>
              <w:top w:w="40" w:type="dxa"/>
              <w:left w:w="65" w:type="dxa"/>
              <w:bottom w:w="35" w:type="dxa"/>
              <w:right w:w="65" w:type="dxa"/>
            </w:tcMar>
          </w:tcPr>
          <w:p>
            <w:pPr>
              <w:pStyle w:val="TableCompact"/>
            </w:pPr>
            <w:r>
              <w:t>845</w:t>
            </w:r>
          </w:p>
        </w:tc>
        <w:tc>
          <w:tcPr>
            <w:tcW w:type="dxa" w:w="1310"/>
            <w:vAlign w:val="top"/>
            <w:tcMar>
              <w:top w:w="40" w:type="dxa"/>
              <w:left w:w="65" w:type="dxa"/>
              <w:bottom w:w="35" w:type="dxa"/>
              <w:right w:w="65" w:type="dxa"/>
            </w:tcMar>
          </w:tcPr>
          <w:p>
            <w:pPr>
              <w:pStyle w:val="TableCompact"/>
            </w:pPr>
            <w:r>
              <w:t>52.94%</w:t>
            </w:r>
          </w:p>
        </w:tc>
        <w:tc>
          <w:tcPr>
            <w:tcW w:type="dxa" w:w="1310"/>
            <w:vAlign w:val="top"/>
            <w:tcMar>
              <w:top w:w="40" w:type="dxa"/>
              <w:left w:w="65" w:type="dxa"/>
              <w:bottom w:w="35" w:type="dxa"/>
              <w:right w:w="65" w:type="dxa"/>
            </w:tcMar>
          </w:tcPr>
          <w:p>
            <w:pPr>
              <w:pStyle w:val="TableCompact"/>
            </w:pPr>
            <w:r>
              <w:t>287</w:t>
            </w:r>
          </w:p>
        </w:tc>
        <w:tc>
          <w:tcPr>
            <w:tcW w:type="dxa" w:w="1397"/>
            <w:vAlign w:val="top"/>
            <w:tcMar>
              <w:top w:w="40" w:type="dxa"/>
              <w:left w:w="65" w:type="dxa"/>
              <w:bottom w:w="35" w:type="dxa"/>
              <w:right w:w="65" w:type="dxa"/>
            </w:tcMar>
          </w:tcPr>
          <w:p>
            <w:pPr>
              <w:pStyle w:val="TableCompact"/>
            </w:pPr>
            <w:r>
              <w:t>19</w:t>
            </w:r>
          </w:p>
        </w:tc>
      </w:tr>
      <w:tr>
        <w:trPr>
          <w:cantSplit/>
        </w:trPr>
        <w:tc>
          <w:tcPr>
            <w:tcW w:type="dxa" w:w="965"/>
            <w:vAlign w:val="top"/>
            <w:tcMar>
              <w:top w:w="40" w:type="dxa"/>
              <w:left w:w="65" w:type="dxa"/>
              <w:bottom w:w="35" w:type="dxa"/>
              <w:right w:w="65" w:type="dxa"/>
            </w:tcMar>
          </w:tcPr>
          <w:p>
            <w:pPr>
              <w:pStyle w:val="TableCompact"/>
            </w:pPr>
            <w:r>
              <w:t>09 → 10</w:t>
            </w:r>
          </w:p>
        </w:tc>
        <w:tc>
          <w:tcPr>
            <w:tcW w:type="dxa" w:w="1483"/>
            <w:vAlign w:val="top"/>
            <w:tcMar>
              <w:top w:w="40" w:type="dxa"/>
              <w:left w:w="65" w:type="dxa"/>
              <w:bottom w:w="35" w:type="dxa"/>
              <w:right w:w="65" w:type="dxa"/>
            </w:tcMar>
          </w:tcPr>
          <w:p>
            <w:pPr>
              <w:pStyle w:val="TableCompact"/>
            </w:pPr>
            <w:r>
              <w:t>4.191052</w:t>
            </w:r>
          </w:p>
        </w:tc>
        <w:tc>
          <w:tcPr>
            <w:tcW w:type="dxa" w:w="1584"/>
            <w:vAlign w:val="top"/>
            <w:tcMar>
              <w:top w:w="40" w:type="dxa"/>
              <w:left w:w="65" w:type="dxa"/>
              <w:bottom w:w="35" w:type="dxa"/>
              <w:right w:w="65" w:type="dxa"/>
            </w:tcMar>
          </w:tcPr>
          <w:p>
            <w:pPr>
              <w:pStyle w:val="TableCompact"/>
            </w:pPr>
            <w:r>
              <w:t>25,355</w:t>
            </w:r>
          </w:p>
        </w:tc>
        <w:tc>
          <w:tcPr>
            <w:tcW w:type="dxa" w:w="1310"/>
            <w:vAlign w:val="top"/>
            <w:tcMar>
              <w:top w:w="40" w:type="dxa"/>
              <w:left w:w="65" w:type="dxa"/>
              <w:bottom w:w="35" w:type="dxa"/>
              <w:right w:w="65" w:type="dxa"/>
            </w:tcMar>
          </w:tcPr>
          <w:p>
            <w:pPr>
              <w:pStyle w:val="TableCompact"/>
            </w:pPr>
            <w:r>
              <w:t>733</w:t>
            </w:r>
          </w:p>
        </w:tc>
        <w:tc>
          <w:tcPr>
            <w:tcW w:type="dxa" w:w="1310"/>
            <w:vAlign w:val="top"/>
            <w:tcMar>
              <w:top w:w="40" w:type="dxa"/>
              <w:left w:w="65" w:type="dxa"/>
              <w:bottom w:w="35" w:type="dxa"/>
              <w:right w:w="65" w:type="dxa"/>
            </w:tcMar>
          </w:tcPr>
          <w:p>
            <w:pPr>
              <w:pStyle w:val="TableCompact"/>
            </w:pPr>
            <w:r>
              <w:t>47.05%</w:t>
            </w:r>
          </w:p>
        </w:tc>
        <w:tc>
          <w:tcPr>
            <w:tcW w:type="dxa" w:w="1310"/>
            <w:vAlign w:val="top"/>
            <w:tcMar>
              <w:top w:w="40" w:type="dxa"/>
              <w:left w:w="65" w:type="dxa"/>
              <w:bottom w:w="35" w:type="dxa"/>
              <w:right w:w="65" w:type="dxa"/>
            </w:tcMar>
          </w:tcPr>
          <w:p>
            <w:pPr>
              <w:pStyle w:val="TableCompact"/>
            </w:pPr>
            <w:r>
              <w:t>291</w:t>
            </w:r>
          </w:p>
        </w:tc>
        <w:tc>
          <w:tcPr>
            <w:tcW w:type="dxa" w:w="1397"/>
            <w:vAlign w:val="top"/>
            <w:tcMar>
              <w:top w:w="40" w:type="dxa"/>
              <w:left w:w="65" w:type="dxa"/>
              <w:bottom w:w="35" w:type="dxa"/>
              <w:right w:w="65" w:type="dxa"/>
            </w:tcMar>
          </w:tcPr>
          <w:p>
            <w:pPr>
              <w:pStyle w:val="TableCompact"/>
            </w:pPr>
            <w:r>
              <w:t>18</w:t>
            </w:r>
          </w:p>
        </w:tc>
      </w:tr>
      <w:tr>
        <w:trPr>
          <w:cantSplit/>
        </w:trPr>
        <w:tc>
          <w:tcPr>
            <w:tcW w:type="dxa" w:w="965"/>
            <w:vAlign w:val="top"/>
            <w:tcMar>
              <w:top w:w="40" w:type="dxa"/>
              <w:left w:w="65" w:type="dxa"/>
              <w:bottom w:w="35" w:type="dxa"/>
              <w:right w:w="65" w:type="dxa"/>
            </w:tcMar>
          </w:tcPr>
          <w:p>
            <w:pPr>
              <w:pStyle w:val="TableCompact"/>
            </w:pPr>
            <w:r>
              <w:t>10 → 11</w:t>
            </w:r>
          </w:p>
        </w:tc>
        <w:tc>
          <w:tcPr>
            <w:tcW w:type="dxa" w:w="1483"/>
            <w:vAlign w:val="top"/>
            <w:tcMar>
              <w:top w:w="40" w:type="dxa"/>
              <w:left w:w="65" w:type="dxa"/>
              <w:bottom w:w="35" w:type="dxa"/>
              <w:right w:w="65" w:type="dxa"/>
            </w:tcMar>
          </w:tcPr>
          <w:p>
            <w:pPr>
              <w:pStyle w:val="TableCompact"/>
            </w:pPr>
            <w:r>
              <w:t>6.224935</w:t>
            </w:r>
          </w:p>
        </w:tc>
        <w:tc>
          <w:tcPr>
            <w:tcW w:type="dxa" w:w="1584"/>
            <w:vAlign w:val="top"/>
            <w:tcMar>
              <w:top w:w="40" w:type="dxa"/>
              <w:left w:w="65" w:type="dxa"/>
              <w:bottom w:w="35" w:type="dxa"/>
              <w:right w:w="65" w:type="dxa"/>
            </w:tcMar>
          </w:tcPr>
          <w:p>
            <w:pPr>
              <w:pStyle w:val="TableCompact"/>
            </w:pPr>
            <w:r>
              <w:t>26,493</w:t>
            </w:r>
          </w:p>
        </w:tc>
        <w:tc>
          <w:tcPr>
            <w:tcW w:type="dxa" w:w="1310"/>
            <w:vAlign w:val="top"/>
            <w:tcMar>
              <w:top w:w="40" w:type="dxa"/>
              <w:left w:w="65" w:type="dxa"/>
              <w:bottom w:w="35" w:type="dxa"/>
              <w:right w:w="65" w:type="dxa"/>
            </w:tcMar>
          </w:tcPr>
          <w:p>
            <w:pPr>
              <w:pStyle w:val="TableCompact"/>
            </w:pPr>
            <w:r>
              <w:t>931</w:t>
            </w:r>
          </w:p>
        </w:tc>
        <w:tc>
          <w:tcPr>
            <w:tcW w:type="dxa" w:w="1310"/>
            <w:vAlign w:val="top"/>
            <w:tcMar>
              <w:top w:w="40" w:type="dxa"/>
              <w:left w:w="65" w:type="dxa"/>
              <w:bottom w:w="35" w:type="dxa"/>
              <w:right w:w="65" w:type="dxa"/>
            </w:tcMar>
          </w:tcPr>
          <w:p>
            <w:pPr>
              <w:pStyle w:val="TableCompact"/>
            </w:pPr>
            <w:r>
              <w:t>54.51%</w:t>
            </w:r>
          </w:p>
        </w:tc>
        <w:tc>
          <w:tcPr>
            <w:tcW w:type="dxa" w:w="1310"/>
            <w:vAlign w:val="top"/>
            <w:tcMar>
              <w:top w:w="40" w:type="dxa"/>
              <w:left w:w="65" w:type="dxa"/>
              <w:bottom w:w="35" w:type="dxa"/>
              <w:right w:w="65" w:type="dxa"/>
            </w:tcMar>
          </w:tcPr>
          <w:p>
            <w:pPr>
              <w:pStyle w:val="TableCompact"/>
            </w:pPr>
            <w:r>
              <w:t>325</w:t>
            </w:r>
          </w:p>
        </w:tc>
        <w:tc>
          <w:tcPr>
            <w:tcW w:type="dxa" w:w="1397"/>
            <w:vAlign w:val="top"/>
            <w:tcMar>
              <w:top w:w="40" w:type="dxa"/>
              <w:left w:w="65" w:type="dxa"/>
              <w:bottom w:w="35" w:type="dxa"/>
              <w:right w:w="65" w:type="dxa"/>
            </w:tcMar>
          </w:tcPr>
          <w:p>
            <w:pPr>
              <w:pStyle w:val="TableCompact"/>
            </w:pPr>
            <w:r>
              <w:t>29</w:t>
            </w:r>
          </w:p>
        </w:tc>
      </w:tr>
      <w:tr>
        <w:trPr>
          <w:cantSplit/>
        </w:trPr>
        <w:tc>
          <w:tcPr>
            <w:tcW w:type="dxa" w:w="965"/>
            <w:vAlign w:val="top"/>
            <w:tcMar>
              <w:top w:w="40" w:type="dxa"/>
              <w:left w:w="65" w:type="dxa"/>
              <w:bottom w:w="35" w:type="dxa"/>
              <w:right w:w="65" w:type="dxa"/>
            </w:tcMar>
          </w:tcPr>
          <w:p>
            <w:pPr>
              <w:pStyle w:val="TableCompact"/>
            </w:pPr>
            <w:r>
              <w:t>11 → 12</w:t>
            </w:r>
          </w:p>
        </w:tc>
        <w:tc>
          <w:tcPr>
            <w:tcW w:type="dxa" w:w="1483"/>
            <w:vAlign w:val="top"/>
            <w:tcMar>
              <w:top w:w="40" w:type="dxa"/>
              <w:left w:w="65" w:type="dxa"/>
              <w:bottom w:w="35" w:type="dxa"/>
              <w:right w:w="65" w:type="dxa"/>
            </w:tcMar>
          </w:tcPr>
          <w:p>
            <w:pPr>
              <w:pStyle w:val="TableCompact"/>
            </w:pPr>
            <w:r>
              <w:t>4.851021</w:t>
            </w:r>
          </w:p>
        </w:tc>
        <w:tc>
          <w:tcPr>
            <w:tcW w:type="dxa" w:w="1584"/>
            <w:vAlign w:val="top"/>
            <w:tcMar>
              <w:top w:w="40" w:type="dxa"/>
              <w:left w:w="65" w:type="dxa"/>
              <w:bottom w:w="35" w:type="dxa"/>
              <w:right w:w="65" w:type="dxa"/>
            </w:tcMar>
          </w:tcPr>
          <w:p>
            <w:pPr>
              <w:pStyle w:val="TableCompact"/>
            </w:pPr>
            <w:r>
              <w:t>27,438</w:t>
            </w:r>
          </w:p>
        </w:tc>
        <w:tc>
          <w:tcPr>
            <w:tcW w:type="dxa" w:w="1310"/>
            <w:vAlign w:val="top"/>
            <w:tcMar>
              <w:top w:w="40" w:type="dxa"/>
              <w:left w:w="65" w:type="dxa"/>
              <w:bottom w:w="35" w:type="dxa"/>
              <w:right w:w="65" w:type="dxa"/>
            </w:tcMar>
          </w:tcPr>
          <w:p>
            <w:pPr>
              <w:pStyle w:val="TableCompact"/>
            </w:pPr>
            <w:r>
              <w:t>719</w:t>
            </w:r>
          </w:p>
        </w:tc>
        <w:tc>
          <w:tcPr>
            <w:tcW w:type="dxa" w:w="1310"/>
            <w:vAlign w:val="top"/>
            <w:tcMar>
              <w:top w:w="40" w:type="dxa"/>
              <w:left w:w="65" w:type="dxa"/>
              <w:bottom w:w="35" w:type="dxa"/>
              <w:right w:w="65" w:type="dxa"/>
            </w:tcMar>
          </w:tcPr>
          <w:p>
            <w:pPr>
              <w:pStyle w:val="TableCompact"/>
            </w:pPr>
            <w:r>
              <w:t>42.62%</w:t>
            </w:r>
          </w:p>
        </w:tc>
        <w:tc>
          <w:tcPr>
            <w:tcW w:type="dxa" w:w="1310"/>
            <w:vAlign w:val="top"/>
            <w:tcMar>
              <w:top w:w="40" w:type="dxa"/>
              <w:left w:w="65" w:type="dxa"/>
              <w:bottom w:w="35" w:type="dxa"/>
              <w:right w:w="65" w:type="dxa"/>
            </w:tcMar>
          </w:tcPr>
          <w:p>
            <w:pPr>
              <w:pStyle w:val="TableCompact"/>
            </w:pPr>
            <w:r>
              <w:t>289</w:t>
            </w:r>
          </w:p>
        </w:tc>
        <w:tc>
          <w:tcPr>
            <w:tcW w:type="dxa" w:w="1397"/>
            <w:vAlign w:val="top"/>
            <w:tcMar>
              <w:top w:w="40" w:type="dxa"/>
              <w:left w:w="65" w:type="dxa"/>
              <w:bottom w:w="35" w:type="dxa"/>
              <w:right w:w="65" w:type="dxa"/>
            </w:tcMar>
          </w:tcPr>
          <w:p>
            <w:pPr>
              <w:pStyle w:val="TableCompact"/>
            </w:pPr>
            <w:r>
              <w:t>28</w:t>
            </w:r>
          </w:p>
        </w:tc>
      </w:tr>
      <w:tr>
        <w:trPr>
          <w:cantSplit/>
        </w:trPr>
        <w:tc>
          <w:tcPr>
            <w:tcW w:type="dxa" w:w="965"/>
            <w:vAlign w:val="top"/>
            <w:tcMar>
              <w:top w:w="40" w:type="dxa"/>
              <w:left w:w="65" w:type="dxa"/>
              <w:bottom w:w="35" w:type="dxa"/>
              <w:right w:w="65" w:type="dxa"/>
            </w:tcMar>
          </w:tcPr>
          <w:p>
            <w:pPr>
              <w:pStyle w:val="TableCompact"/>
            </w:pPr>
            <w:r>
              <w:t>12 → 13</w:t>
            </w:r>
          </w:p>
        </w:tc>
        <w:tc>
          <w:tcPr>
            <w:tcW w:type="dxa" w:w="1483"/>
            <w:vAlign w:val="top"/>
            <w:tcMar>
              <w:top w:w="40" w:type="dxa"/>
              <w:left w:w="65" w:type="dxa"/>
              <w:bottom w:w="35" w:type="dxa"/>
              <w:right w:w="65" w:type="dxa"/>
            </w:tcMar>
          </w:tcPr>
          <w:p>
            <w:pPr>
              <w:pStyle w:val="TableCompact"/>
            </w:pPr>
            <w:r>
              <w:t>5.717555</w:t>
            </w:r>
          </w:p>
        </w:tc>
        <w:tc>
          <w:tcPr>
            <w:tcW w:type="dxa" w:w="1584"/>
            <w:vAlign w:val="top"/>
            <w:tcMar>
              <w:top w:w="40" w:type="dxa"/>
              <w:left w:w="65" w:type="dxa"/>
              <w:bottom w:w="35" w:type="dxa"/>
              <w:right w:w="65" w:type="dxa"/>
            </w:tcMar>
          </w:tcPr>
          <w:p>
            <w:pPr>
              <w:pStyle w:val="TableCompact"/>
            </w:pPr>
            <w:r>
              <w:t>27,990</w:t>
            </w:r>
          </w:p>
        </w:tc>
        <w:tc>
          <w:tcPr>
            <w:tcW w:type="dxa" w:w="1310"/>
            <w:vAlign w:val="top"/>
            <w:tcMar>
              <w:top w:w="40" w:type="dxa"/>
              <w:left w:w="65" w:type="dxa"/>
              <w:bottom w:w="35" w:type="dxa"/>
              <w:right w:w="65" w:type="dxa"/>
            </w:tcMar>
          </w:tcPr>
          <w:p>
            <w:pPr>
              <w:pStyle w:val="TableCompact"/>
            </w:pPr>
            <w:r>
              <w:t>906</w:t>
            </w:r>
          </w:p>
        </w:tc>
        <w:tc>
          <w:tcPr>
            <w:tcW w:type="dxa" w:w="1310"/>
            <w:vAlign w:val="top"/>
            <w:tcMar>
              <w:top w:w="40" w:type="dxa"/>
              <w:left w:w="65" w:type="dxa"/>
              <w:bottom w:w="35" w:type="dxa"/>
              <w:right w:w="65" w:type="dxa"/>
            </w:tcMar>
          </w:tcPr>
          <w:p>
            <w:pPr>
              <w:pStyle w:val="TableCompact"/>
            </w:pPr>
            <w:r>
              <w:t>50.81%</w:t>
            </w:r>
          </w:p>
        </w:tc>
        <w:tc>
          <w:tcPr>
            <w:tcW w:type="dxa" w:w="1310"/>
            <w:vAlign w:val="top"/>
            <w:tcMar>
              <w:top w:w="40" w:type="dxa"/>
              <w:left w:w="65" w:type="dxa"/>
              <w:bottom w:w="35" w:type="dxa"/>
              <w:right w:w="65" w:type="dxa"/>
            </w:tcMar>
          </w:tcPr>
          <w:p>
            <w:pPr>
              <w:pStyle w:val="TableCompact"/>
            </w:pPr>
            <w:r>
              <w:t>340</w:t>
            </w:r>
          </w:p>
        </w:tc>
        <w:tc>
          <w:tcPr>
            <w:tcW w:type="dxa" w:w="1397"/>
            <w:vAlign w:val="top"/>
            <w:tcMar>
              <w:top w:w="40" w:type="dxa"/>
              <w:left w:w="65" w:type="dxa"/>
              <w:bottom w:w="35" w:type="dxa"/>
              <w:right w:w="65" w:type="dxa"/>
            </w:tcMar>
          </w:tcPr>
          <w:p>
            <w:pPr>
              <w:pStyle w:val="TableCompact"/>
            </w:pPr>
            <w:r>
              <w:t>18</w:t>
            </w:r>
          </w:p>
        </w:tc>
      </w:tr>
      <w:tr>
        <w:trPr>
          <w:cantSplit/>
        </w:trPr>
        <w:tc>
          <w:tcPr>
            <w:tcW w:type="dxa" w:w="965"/>
            <w:vAlign w:val="top"/>
            <w:tcMar>
              <w:top w:w="40" w:type="dxa"/>
              <w:left w:w="65" w:type="dxa"/>
              <w:bottom w:w="35" w:type="dxa"/>
              <w:right w:w="65" w:type="dxa"/>
            </w:tcMar>
          </w:tcPr>
          <w:p>
            <w:pPr>
              <w:pStyle w:val="TableCompact"/>
            </w:pPr>
            <w:r>
              <w:t>13 → 14</w:t>
            </w:r>
          </w:p>
        </w:tc>
        <w:tc>
          <w:tcPr>
            <w:tcW w:type="dxa" w:w="1483"/>
            <w:vAlign w:val="top"/>
            <w:tcMar>
              <w:top w:w="40" w:type="dxa"/>
              <w:left w:w="65" w:type="dxa"/>
              <w:bottom w:w="35" w:type="dxa"/>
              <w:right w:w="65" w:type="dxa"/>
            </w:tcMar>
          </w:tcPr>
          <w:p>
            <w:pPr>
              <w:pStyle w:val="TableCompact"/>
            </w:pPr>
            <w:r>
              <w:t>6.361629</w:t>
            </w:r>
          </w:p>
        </w:tc>
        <w:tc>
          <w:tcPr>
            <w:tcW w:type="dxa" w:w="1584"/>
            <w:vAlign w:val="top"/>
            <w:tcMar>
              <w:top w:w="40" w:type="dxa"/>
              <w:left w:w="65" w:type="dxa"/>
              <w:bottom w:w="35" w:type="dxa"/>
              <w:right w:w="65" w:type="dxa"/>
            </w:tcMar>
          </w:tcPr>
          <w:p>
            <w:pPr>
              <w:pStyle w:val="TableCompact"/>
            </w:pPr>
            <w:r>
              <w:t>27,575</w:t>
            </w:r>
          </w:p>
        </w:tc>
        <w:tc>
          <w:tcPr>
            <w:tcW w:type="dxa" w:w="1310"/>
            <w:vAlign w:val="top"/>
            <w:tcMar>
              <w:top w:w="40" w:type="dxa"/>
              <w:left w:w="65" w:type="dxa"/>
              <w:bottom w:w="35" w:type="dxa"/>
              <w:right w:w="65" w:type="dxa"/>
            </w:tcMar>
          </w:tcPr>
          <w:p>
            <w:pPr>
              <w:pStyle w:val="TableCompact"/>
            </w:pPr>
            <w:r>
              <w:t>1460</w:t>
            </w:r>
          </w:p>
        </w:tc>
        <w:tc>
          <w:tcPr>
            <w:tcW w:type="dxa" w:w="1310"/>
            <w:vAlign w:val="top"/>
            <w:tcMar>
              <w:top w:w="40" w:type="dxa"/>
              <w:left w:w="65" w:type="dxa"/>
              <w:bottom w:w="35" w:type="dxa"/>
              <w:right w:w="65" w:type="dxa"/>
            </w:tcMar>
          </w:tcPr>
          <w:p>
            <w:pPr>
              <w:pStyle w:val="TableCompact"/>
            </w:pPr>
            <w:r>
              <w:t>80.13%</w:t>
            </w:r>
          </w:p>
        </w:tc>
        <w:tc>
          <w:tcPr>
            <w:tcW w:type="dxa" w:w="1310"/>
            <w:vAlign w:val="top"/>
            <w:tcMar>
              <w:top w:w="40" w:type="dxa"/>
              <w:left w:w="65" w:type="dxa"/>
              <w:bottom w:w="35" w:type="dxa"/>
              <w:right w:w="65" w:type="dxa"/>
            </w:tcMar>
          </w:tcPr>
          <w:p>
            <w:pPr>
              <w:pStyle w:val="TableCompact"/>
            </w:pPr>
            <w:r>
              <w:t>410</w:t>
            </w:r>
          </w:p>
        </w:tc>
        <w:tc>
          <w:tcPr>
            <w:tcW w:type="dxa" w:w="1397"/>
            <w:vAlign w:val="top"/>
            <w:tcMar>
              <w:top w:w="40" w:type="dxa"/>
              <w:left w:w="65" w:type="dxa"/>
              <w:bottom w:w="35" w:type="dxa"/>
              <w:right w:w="65" w:type="dxa"/>
            </w:tcMar>
          </w:tcPr>
          <w:p>
            <w:pPr>
              <w:pStyle w:val="TableCompact"/>
            </w:pPr>
            <w:r>
              <w:t>22</w:t>
            </w:r>
          </w:p>
        </w:tc>
      </w:tr>
      <w:tr>
        <w:trPr>
          <w:cantSplit/>
        </w:trPr>
        <w:tc>
          <w:tcPr>
            <w:tcW w:type="dxa" w:w="965"/>
            <w:vAlign w:val="top"/>
            <w:tcMar>
              <w:top w:w="40" w:type="dxa"/>
              <w:left w:w="65" w:type="dxa"/>
              <w:bottom w:w="35" w:type="dxa"/>
              <w:right w:w="65" w:type="dxa"/>
            </w:tcMar>
          </w:tcPr>
          <w:p>
            <w:pPr>
              <w:pStyle w:val="TableCompact"/>
            </w:pPr>
            <w:r>
              <w:t>14 → 15</w:t>
            </w:r>
          </w:p>
        </w:tc>
        <w:tc>
          <w:tcPr>
            <w:tcW w:type="dxa" w:w="1483"/>
            <w:vAlign w:val="top"/>
            <w:tcMar>
              <w:top w:w="40" w:type="dxa"/>
              <w:left w:w="65" w:type="dxa"/>
              <w:bottom w:w="35" w:type="dxa"/>
              <w:right w:w="65" w:type="dxa"/>
            </w:tcMar>
          </w:tcPr>
          <w:p>
            <w:pPr>
              <w:pStyle w:val="TableCompact"/>
            </w:pPr>
            <w:r>
              <w:t>4.596860</w:t>
            </w:r>
          </w:p>
        </w:tc>
        <w:tc>
          <w:tcPr>
            <w:tcW w:type="dxa" w:w="1584"/>
            <w:vAlign w:val="top"/>
            <w:tcMar>
              <w:top w:w="40" w:type="dxa"/>
              <w:left w:w="65" w:type="dxa"/>
              <w:bottom w:w="35" w:type="dxa"/>
              <w:right w:w="65" w:type="dxa"/>
            </w:tcMar>
          </w:tcPr>
          <w:p>
            <w:pPr>
              <w:pStyle w:val="TableCompact"/>
            </w:pPr>
            <w:r>
              <w:t>27,040</w:t>
            </w:r>
          </w:p>
        </w:tc>
        <w:tc>
          <w:tcPr>
            <w:tcW w:type="dxa" w:w="1310"/>
            <w:vAlign w:val="top"/>
            <w:tcMar>
              <w:top w:w="40" w:type="dxa"/>
              <w:left w:w="65" w:type="dxa"/>
              <w:bottom w:w="35" w:type="dxa"/>
              <w:right w:w="65" w:type="dxa"/>
            </w:tcMar>
          </w:tcPr>
          <w:p>
            <w:pPr>
              <w:pStyle w:val="TableCompact"/>
            </w:pPr>
            <w:r>
              <w:t>810</w:t>
            </w:r>
          </w:p>
        </w:tc>
        <w:tc>
          <w:tcPr>
            <w:tcW w:type="dxa" w:w="1310"/>
            <w:vAlign w:val="top"/>
            <w:tcMar>
              <w:top w:w="40" w:type="dxa"/>
              <w:left w:w="65" w:type="dxa"/>
              <w:bottom w:w="35" w:type="dxa"/>
              <w:right w:w="65" w:type="dxa"/>
            </w:tcMar>
          </w:tcPr>
          <w:p>
            <w:pPr>
              <w:pStyle w:val="TableCompact"/>
            </w:pPr>
            <w:r>
              <w:t>48.36%</w:t>
            </w:r>
          </w:p>
        </w:tc>
        <w:tc>
          <w:tcPr>
            <w:tcW w:type="dxa" w:w="1310"/>
            <w:vAlign w:val="top"/>
            <w:tcMar>
              <w:top w:w="40" w:type="dxa"/>
              <w:left w:w="65" w:type="dxa"/>
              <w:bottom w:w="35" w:type="dxa"/>
              <w:right w:w="65" w:type="dxa"/>
            </w:tcMar>
          </w:tcPr>
          <w:p>
            <w:pPr>
              <w:pStyle w:val="TableCompact"/>
            </w:pPr>
            <w:r>
              <w:t>318</w:t>
            </w:r>
          </w:p>
        </w:tc>
        <w:tc>
          <w:tcPr>
            <w:tcW w:type="dxa" w:w="1397"/>
            <w:vAlign w:val="top"/>
            <w:tcMar>
              <w:top w:w="40" w:type="dxa"/>
              <w:left w:w="65" w:type="dxa"/>
              <w:bottom w:w="35" w:type="dxa"/>
              <w:right w:w="65" w:type="dxa"/>
            </w:tcMar>
          </w:tcPr>
          <w:p>
            <w:pPr>
              <w:pStyle w:val="TableCompact"/>
            </w:pPr>
            <w:r>
              <w:t>16</w:t>
            </w:r>
          </w:p>
        </w:tc>
      </w:tr>
      <w:tr>
        <w:trPr>
          <w:cantSplit/>
        </w:trPr>
        <w:tc>
          <w:tcPr>
            <w:tcW w:type="dxa" w:w="965"/>
            <w:vAlign w:val="top"/>
            <w:tcMar>
              <w:top w:w="40" w:type="dxa"/>
              <w:left w:w="65" w:type="dxa"/>
              <w:bottom w:w="35" w:type="dxa"/>
              <w:right w:w="65" w:type="dxa"/>
            </w:tcMar>
          </w:tcPr>
          <w:p>
            <w:pPr>
              <w:pStyle w:val="TableCompact"/>
            </w:pPr>
            <w:r>
              <w:t>15 → 16</w:t>
            </w:r>
          </w:p>
        </w:tc>
        <w:tc>
          <w:tcPr>
            <w:tcW w:type="dxa" w:w="1483"/>
            <w:vAlign w:val="top"/>
            <w:tcMar>
              <w:top w:w="40" w:type="dxa"/>
              <w:left w:w="65" w:type="dxa"/>
              <w:bottom w:w="35" w:type="dxa"/>
              <w:right w:w="65" w:type="dxa"/>
            </w:tcMar>
          </w:tcPr>
          <w:p>
            <w:pPr>
              <w:pStyle w:val="TableCompact"/>
            </w:pPr>
            <w:r>
              <w:t>5.330178</w:t>
            </w:r>
          </w:p>
        </w:tc>
        <w:tc>
          <w:tcPr>
            <w:tcW w:type="dxa" w:w="1584"/>
            <w:vAlign w:val="top"/>
            <w:tcMar>
              <w:top w:w="40" w:type="dxa"/>
              <w:left w:w="65" w:type="dxa"/>
              <w:bottom w:w="35" w:type="dxa"/>
              <w:right w:w="65" w:type="dxa"/>
            </w:tcMar>
          </w:tcPr>
          <w:p>
            <w:pPr>
              <w:pStyle w:val="TableCompact"/>
            </w:pPr>
            <w:r>
              <w:t>28,190</w:t>
            </w:r>
          </w:p>
        </w:tc>
        <w:tc>
          <w:tcPr>
            <w:tcW w:type="dxa" w:w="1310"/>
            <w:vAlign w:val="top"/>
            <w:tcMar>
              <w:top w:w="40" w:type="dxa"/>
              <w:left w:w="65" w:type="dxa"/>
              <w:bottom w:w="35" w:type="dxa"/>
              <w:right w:w="65" w:type="dxa"/>
            </w:tcMar>
          </w:tcPr>
          <w:p>
            <w:pPr>
              <w:pStyle w:val="TableCompact"/>
            </w:pPr>
            <w:r>
              <w:t>847</w:t>
            </w:r>
          </w:p>
        </w:tc>
        <w:tc>
          <w:tcPr>
            <w:tcW w:type="dxa" w:w="1310"/>
            <w:vAlign w:val="top"/>
            <w:tcMar>
              <w:top w:w="40" w:type="dxa"/>
              <w:left w:w="65" w:type="dxa"/>
              <w:bottom w:w="35" w:type="dxa"/>
              <w:right w:w="65" w:type="dxa"/>
            </w:tcMar>
          </w:tcPr>
          <w:p>
            <w:pPr>
              <w:pStyle w:val="TableCompact"/>
            </w:pPr>
            <w:r>
              <w:t>49.50%</w:t>
            </w:r>
          </w:p>
        </w:tc>
        <w:tc>
          <w:tcPr>
            <w:tcW w:type="dxa" w:w="1310"/>
            <w:vAlign w:val="top"/>
            <w:tcMar>
              <w:top w:w="40" w:type="dxa"/>
              <w:left w:w="65" w:type="dxa"/>
              <w:bottom w:w="35" w:type="dxa"/>
              <w:right w:w="65" w:type="dxa"/>
            </w:tcMar>
          </w:tcPr>
          <w:p>
            <w:pPr>
              <w:pStyle w:val="TableCompact"/>
            </w:pPr>
            <w:r>
              <w:t>373</w:t>
            </w:r>
          </w:p>
        </w:tc>
        <w:tc>
          <w:tcPr>
            <w:tcW w:type="dxa" w:w="1397"/>
            <w:vAlign w:val="top"/>
            <w:tcMar>
              <w:top w:w="40" w:type="dxa"/>
              <w:left w:w="65" w:type="dxa"/>
              <w:bottom w:w="35" w:type="dxa"/>
              <w:right w:w="65" w:type="dxa"/>
            </w:tcMar>
          </w:tcPr>
          <w:p>
            <w:pPr>
              <w:pStyle w:val="TableCompact"/>
            </w:pPr>
            <w:r>
              <w:t>23</w:t>
            </w:r>
          </w:p>
        </w:tc>
      </w:tr>
      <w:tr>
        <w:trPr>
          <w:cantSplit/>
        </w:trPr>
        <w:tc>
          <w:tcPr>
            <w:tcW w:type="dxa" w:w="965"/>
            <w:vAlign w:val="top"/>
            <w:tcMar>
              <w:top w:w="40" w:type="dxa"/>
              <w:left w:w="65" w:type="dxa"/>
              <w:bottom w:w="35" w:type="dxa"/>
              <w:right w:w="65" w:type="dxa"/>
            </w:tcMar>
          </w:tcPr>
          <w:p>
            <w:pPr>
              <w:pStyle w:val="TableCompact"/>
            </w:pPr>
            <w:r>
              <w:t>16 → 17</w:t>
            </w:r>
          </w:p>
        </w:tc>
        <w:tc>
          <w:tcPr>
            <w:tcW w:type="dxa" w:w="1483"/>
            <w:vAlign w:val="top"/>
            <w:tcMar>
              <w:top w:w="40" w:type="dxa"/>
              <w:left w:w="65" w:type="dxa"/>
              <w:bottom w:w="35" w:type="dxa"/>
              <w:right w:w="65" w:type="dxa"/>
            </w:tcMar>
          </w:tcPr>
          <w:p>
            <w:pPr>
              <w:pStyle w:val="TableCompact"/>
            </w:pPr>
            <w:r>
              <w:t>36.777056</w:t>
            </w:r>
          </w:p>
        </w:tc>
        <w:tc>
          <w:tcPr>
            <w:tcW w:type="dxa" w:w="1584"/>
            <w:vAlign w:val="top"/>
            <w:tcMar>
              <w:top w:w="40" w:type="dxa"/>
              <w:left w:w="65" w:type="dxa"/>
              <w:bottom w:w="35" w:type="dxa"/>
              <w:right w:w="65" w:type="dxa"/>
            </w:tcMar>
          </w:tcPr>
          <w:p>
            <w:pPr>
              <w:pStyle w:val="TableCompact"/>
            </w:pPr>
            <w:r>
              <w:t>29,696</w:t>
            </w:r>
          </w:p>
        </w:tc>
        <w:tc>
          <w:tcPr>
            <w:tcW w:type="dxa" w:w="1310"/>
            <w:vAlign w:val="top"/>
            <w:tcMar>
              <w:top w:w="40" w:type="dxa"/>
              <w:left w:w="65" w:type="dxa"/>
              <w:bottom w:w="35" w:type="dxa"/>
              <w:right w:w="65" w:type="dxa"/>
            </w:tcMar>
          </w:tcPr>
          <w:p>
            <w:pPr>
              <w:pStyle w:val="TableCompact"/>
            </w:pPr>
            <w:r>
              <w:t>912</w:t>
            </w:r>
          </w:p>
        </w:tc>
        <w:tc>
          <w:tcPr>
            <w:tcW w:type="dxa" w:w="1310"/>
            <w:vAlign w:val="top"/>
            <w:tcMar>
              <w:top w:w="40" w:type="dxa"/>
              <w:left w:w="65" w:type="dxa"/>
              <w:bottom w:w="35" w:type="dxa"/>
              <w:right w:w="65" w:type="dxa"/>
            </w:tcMar>
          </w:tcPr>
          <w:p>
            <w:pPr>
              <w:pStyle w:val="TableCompact"/>
            </w:pPr>
            <w:r>
              <w:t>50.14%</w:t>
            </w:r>
          </w:p>
        </w:tc>
        <w:tc>
          <w:tcPr>
            <w:tcW w:type="dxa" w:w="1310"/>
            <w:vAlign w:val="top"/>
            <w:tcMar>
              <w:top w:w="40" w:type="dxa"/>
              <w:left w:w="65" w:type="dxa"/>
              <w:bottom w:w="35" w:type="dxa"/>
              <w:right w:w="65" w:type="dxa"/>
            </w:tcMar>
          </w:tcPr>
          <w:p>
            <w:pPr>
              <w:pStyle w:val="TableCompact"/>
            </w:pPr>
            <w:r>
              <w:t>365</w:t>
            </w:r>
          </w:p>
        </w:tc>
        <w:tc>
          <w:tcPr>
            <w:tcW w:type="dxa" w:w="1397"/>
            <w:vAlign w:val="top"/>
            <w:tcMar>
              <w:top w:w="40" w:type="dxa"/>
              <w:left w:w="65" w:type="dxa"/>
              <w:bottom w:w="35" w:type="dxa"/>
              <w:right w:w="65" w:type="dxa"/>
            </w:tcMar>
          </w:tcPr>
          <w:p>
            <w:pPr>
              <w:pStyle w:val="TableCompact"/>
            </w:pPr>
            <w:r>
              <w:t>24</w:t>
            </w:r>
          </w:p>
        </w:tc>
      </w:tr>
      <w:tr>
        <w:trPr>
          <w:cantSplit/>
        </w:trPr>
        <w:tc>
          <w:tcPr>
            <w:tcW w:type="dxa" w:w="965"/>
            <w:vAlign w:val="top"/>
            <w:tcMar>
              <w:top w:w="40" w:type="dxa"/>
              <w:left w:w="65" w:type="dxa"/>
              <w:bottom w:w="35" w:type="dxa"/>
              <w:right w:w="65" w:type="dxa"/>
            </w:tcMar>
          </w:tcPr>
          <w:p>
            <w:pPr>
              <w:pStyle w:val="TableCompact"/>
            </w:pPr>
            <w:r>
              <w:t>17 → 18</w:t>
            </w:r>
          </w:p>
        </w:tc>
        <w:tc>
          <w:tcPr>
            <w:tcW w:type="dxa" w:w="1483"/>
            <w:vAlign w:val="top"/>
            <w:tcMar>
              <w:top w:w="40" w:type="dxa"/>
              <w:left w:w="65" w:type="dxa"/>
              <w:bottom w:w="35" w:type="dxa"/>
              <w:right w:w="65" w:type="dxa"/>
            </w:tcMar>
          </w:tcPr>
          <w:p>
            <w:pPr>
              <w:pStyle w:val="TableCompact"/>
            </w:pPr>
            <w:r>
              <w:t>35.550218</w:t>
            </w:r>
          </w:p>
        </w:tc>
        <w:tc>
          <w:tcPr>
            <w:tcW w:type="dxa" w:w="1584"/>
            <w:vAlign w:val="top"/>
            <w:tcMar>
              <w:top w:w="40" w:type="dxa"/>
              <w:left w:w="65" w:type="dxa"/>
              <w:bottom w:w="35" w:type="dxa"/>
              <w:right w:w="65" w:type="dxa"/>
            </w:tcMar>
          </w:tcPr>
          <w:p>
            <w:pPr>
              <w:pStyle w:val="TableCompact"/>
            </w:pPr>
            <w:r>
              <w:t>29,272</w:t>
            </w:r>
          </w:p>
        </w:tc>
        <w:tc>
          <w:tcPr>
            <w:tcW w:type="dxa" w:w="1310"/>
            <w:vAlign w:val="top"/>
            <w:tcMar>
              <w:top w:w="40" w:type="dxa"/>
              <w:left w:w="65" w:type="dxa"/>
              <w:bottom w:w="35" w:type="dxa"/>
              <w:right w:w="65" w:type="dxa"/>
            </w:tcMar>
          </w:tcPr>
          <w:p>
            <w:pPr>
              <w:pStyle w:val="TableCompact"/>
            </w:pPr>
            <w:r>
              <w:t>591</w:t>
            </w:r>
          </w:p>
        </w:tc>
        <w:tc>
          <w:tcPr>
            <w:tcW w:type="dxa" w:w="1310"/>
            <w:vAlign w:val="top"/>
            <w:tcMar>
              <w:top w:w="40" w:type="dxa"/>
              <w:left w:w="65" w:type="dxa"/>
              <w:bottom w:w="35" w:type="dxa"/>
              <w:right w:w="65" w:type="dxa"/>
            </w:tcMar>
          </w:tcPr>
          <w:p>
            <w:pPr>
              <w:pStyle w:val="TableCompact"/>
            </w:pPr>
            <w:r>
              <w:t>34.74%</w:t>
            </w:r>
          </w:p>
        </w:tc>
        <w:tc>
          <w:tcPr>
            <w:tcW w:type="dxa" w:w="1310"/>
            <w:vAlign w:val="top"/>
            <w:tcMar>
              <w:top w:w="40" w:type="dxa"/>
              <w:left w:w="65" w:type="dxa"/>
              <w:bottom w:w="35" w:type="dxa"/>
              <w:right w:w="65" w:type="dxa"/>
            </w:tcMar>
          </w:tcPr>
          <w:p>
            <w:pPr>
              <w:pStyle w:val="TableCompact"/>
            </w:pPr>
            <w:r>
              <w:t>303</w:t>
            </w:r>
          </w:p>
        </w:tc>
        <w:tc>
          <w:tcPr>
            <w:tcW w:type="dxa" w:w="1397"/>
            <w:vAlign w:val="top"/>
            <w:tcMar>
              <w:top w:w="40" w:type="dxa"/>
              <w:left w:w="65" w:type="dxa"/>
              <w:bottom w:w="35" w:type="dxa"/>
              <w:right w:w="65" w:type="dxa"/>
            </w:tcMar>
          </w:tcPr>
          <w:p>
            <w:pPr>
              <w:pStyle w:val="TableCompact"/>
            </w:pPr>
            <w:r>
              <w:t>6</w:t>
            </w:r>
          </w:p>
        </w:tc>
      </w:tr>
      <w:tr>
        <w:trPr>
          <w:cantSplit/>
        </w:trPr>
        <w:tc>
          <w:tcPr>
            <w:tcW w:type="dxa" w:w="965"/>
            <w:vAlign w:val="top"/>
            <w:tcMar>
              <w:top w:w="40" w:type="dxa"/>
              <w:left w:w="65" w:type="dxa"/>
              <w:bottom w:w="35" w:type="dxa"/>
              <w:right w:w="65" w:type="dxa"/>
            </w:tcMar>
          </w:tcPr>
          <w:p>
            <w:pPr>
              <w:pStyle w:val="TableCompact"/>
            </w:pPr>
            <w:r>
              <w:t>18 → 19</w:t>
            </w:r>
          </w:p>
        </w:tc>
        <w:tc>
          <w:tcPr>
            <w:tcW w:type="dxa" w:w="1483"/>
            <w:vAlign w:val="top"/>
            <w:tcMar>
              <w:top w:w="40" w:type="dxa"/>
              <w:left w:w="65" w:type="dxa"/>
              <w:bottom w:w="35" w:type="dxa"/>
              <w:right w:w="65" w:type="dxa"/>
            </w:tcMar>
          </w:tcPr>
          <w:p>
            <w:pPr>
              <w:pStyle w:val="TableCompact"/>
            </w:pPr>
            <w:r>
              <w:t>39.687662</w:t>
            </w:r>
          </w:p>
        </w:tc>
        <w:tc>
          <w:tcPr>
            <w:tcW w:type="dxa" w:w="1584"/>
            <w:vAlign w:val="top"/>
            <w:tcMar>
              <w:top w:w="40" w:type="dxa"/>
              <w:left w:w="65" w:type="dxa"/>
              <w:bottom w:w="35" w:type="dxa"/>
              <w:right w:w="65" w:type="dxa"/>
            </w:tcMar>
          </w:tcPr>
          <w:p>
            <w:pPr>
              <w:pStyle w:val="TableCompact"/>
            </w:pPr>
            <w:r>
              <w:t>31,529</w:t>
            </w:r>
          </w:p>
        </w:tc>
        <w:tc>
          <w:tcPr>
            <w:tcW w:type="dxa" w:w="1310"/>
            <w:vAlign w:val="top"/>
            <w:tcMar>
              <w:top w:w="40" w:type="dxa"/>
              <w:left w:w="65" w:type="dxa"/>
              <w:bottom w:w="35" w:type="dxa"/>
              <w:right w:w="65" w:type="dxa"/>
            </w:tcMar>
          </w:tcPr>
          <w:p>
            <w:pPr>
              <w:pStyle w:val="TableCompact"/>
            </w:pPr>
            <w:r>
              <w:t>1034</w:t>
            </w:r>
          </w:p>
        </w:tc>
        <w:tc>
          <w:tcPr>
            <w:tcW w:type="dxa" w:w="1310"/>
            <w:vAlign w:val="top"/>
            <w:tcMar>
              <w:top w:w="40" w:type="dxa"/>
              <w:left w:w="65" w:type="dxa"/>
              <w:bottom w:w="35" w:type="dxa"/>
              <w:right w:w="65" w:type="dxa"/>
            </w:tcMar>
          </w:tcPr>
          <w:p>
            <w:pPr>
              <w:pStyle w:val="TableCompact"/>
            </w:pPr>
            <w:r>
              <w:t>54.34%</w:t>
            </w:r>
          </w:p>
        </w:tc>
        <w:tc>
          <w:tcPr>
            <w:tcW w:type="dxa" w:w="1310"/>
            <w:vAlign w:val="top"/>
            <w:tcMar>
              <w:top w:w="40" w:type="dxa"/>
              <w:left w:w="65" w:type="dxa"/>
              <w:bottom w:w="35" w:type="dxa"/>
              <w:right w:w="65" w:type="dxa"/>
            </w:tcMar>
          </w:tcPr>
          <w:p>
            <w:pPr>
              <w:pStyle w:val="TableCompact"/>
            </w:pPr>
            <w:r>
              <w:t>499</w:t>
            </w:r>
          </w:p>
        </w:tc>
        <w:tc>
          <w:tcPr>
            <w:tcW w:type="dxa" w:w="1397"/>
            <w:vAlign w:val="top"/>
            <w:tcMar>
              <w:top w:w="40" w:type="dxa"/>
              <w:left w:w="65" w:type="dxa"/>
              <w:bottom w:w="35" w:type="dxa"/>
              <w:right w:w="65" w:type="dxa"/>
            </w:tcMar>
          </w:tcPr>
          <w:p>
            <w:pPr>
              <w:pStyle w:val="TableCompact"/>
            </w:pPr>
            <w:r>
              <w:t>28</w:t>
            </w:r>
          </w:p>
        </w:tc>
      </w:tr>
      <w:tr>
        <w:trPr>
          <w:cantSplit/>
        </w:trPr>
        <w:tc>
          <w:tcPr>
            <w:tcW w:type="dxa" w:w="965"/>
            <w:vAlign w:val="top"/>
            <w:tcMar>
              <w:top w:w="40" w:type="dxa"/>
              <w:left w:w="65" w:type="dxa"/>
              <w:bottom w:w="35" w:type="dxa"/>
              <w:right w:w="65" w:type="dxa"/>
            </w:tcMar>
          </w:tcPr>
          <w:p>
            <w:pPr>
              <w:pStyle w:val="TableCompact"/>
            </w:pPr>
            <w:r>
              <w:t>19 → 20</w:t>
            </w:r>
          </w:p>
        </w:tc>
        <w:tc>
          <w:tcPr>
            <w:tcW w:type="dxa" w:w="1483"/>
            <w:vAlign w:val="top"/>
            <w:tcMar>
              <w:top w:w="40" w:type="dxa"/>
              <w:left w:w="65" w:type="dxa"/>
              <w:bottom w:w="35" w:type="dxa"/>
              <w:right w:w="65" w:type="dxa"/>
            </w:tcMar>
          </w:tcPr>
          <w:p>
            <w:pPr>
              <w:pStyle w:val="TableCompact"/>
            </w:pPr>
            <w:r>
              <w:t>42.291330</w:t>
            </w:r>
          </w:p>
        </w:tc>
        <w:tc>
          <w:tcPr>
            <w:tcW w:type="dxa" w:w="1584"/>
            <w:vAlign w:val="top"/>
            <w:tcMar>
              <w:top w:w="40" w:type="dxa"/>
              <w:left w:w="65" w:type="dxa"/>
              <w:bottom w:w="35" w:type="dxa"/>
              <w:right w:w="65" w:type="dxa"/>
            </w:tcMar>
          </w:tcPr>
          <w:p>
            <w:pPr>
              <w:pStyle w:val="TableCompact"/>
            </w:pPr>
            <w:r>
              <w:t>32,614</w:t>
            </w:r>
          </w:p>
        </w:tc>
        <w:tc>
          <w:tcPr>
            <w:tcW w:type="dxa" w:w="1310"/>
            <w:vAlign w:val="top"/>
            <w:tcMar>
              <w:top w:w="40" w:type="dxa"/>
              <w:left w:w="65" w:type="dxa"/>
              <w:bottom w:w="35" w:type="dxa"/>
              <w:right w:w="65" w:type="dxa"/>
            </w:tcMar>
          </w:tcPr>
          <w:p>
            <w:pPr>
              <w:pStyle w:val="TableCompact"/>
            </w:pPr>
            <w:r>
              <w:t>965</w:t>
            </w:r>
          </w:p>
        </w:tc>
        <w:tc>
          <w:tcPr>
            <w:tcW w:type="dxa" w:w="1310"/>
            <w:vAlign w:val="top"/>
            <w:tcMar>
              <w:top w:w="40" w:type="dxa"/>
              <w:left w:w="65" w:type="dxa"/>
              <w:bottom w:w="35" w:type="dxa"/>
              <w:right w:w="65" w:type="dxa"/>
            </w:tcMar>
          </w:tcPr>
          <w:p>
            <w:pPr>
              <w:pStyle w:val="TableCompact"/>
            </w:pPr>
            <w:r>
              <w:t>48.76%</w:t>
            </w:r>
          </w:p>
        </w:tc>
        <w:tc>
          <w:tcPr>
            <w:tcW w:type="dxa" w:w="1310"/>
            <w:vAlign w:val="top"/>
            <w:tcMar>
              <w:top w:w="40" w:type="dxa"/>
              <w:left w:w="65" w:type="dxa"/>
              <w:bottom w:w="35" w:type="dxa"/>
              <w:right w:w="65" w:type="dxa"/>
            </w:tcMar>
          </w:tcPr>
          <w:p>
            <w:pPr>
              <w:pStyle w:val="TableCompact"/>
            </w:pPr>
            <w:r>
              <w:t>492</w:t>
            </w:r>
          </w:p>
        </w:tc>
        <w:tc>
          <w:tcPr>
            <w:tcW w:type="dxa" w:w="1397"/>
            <w:vAlign w:val="top"/>
            <w:tcMar>
              <w:top w:w="40" w:type="dxa"/>
              <w:left w:w="65" w:type="dxa"/>
              <w:bottom w:w="35" w:type="dxa"/>
              <w:right w:w="65" w:type="dxa"/>
            </w:tcMar>
          </w:tcPr>
          <w:p>
            <w:pPr>
              <w:pStyle w:val="TableCompact"/>
            </w:pPr>
            <w:r>
              <w:t>27</w:t>
            </w:r>
          </w:p>
        </w:tc>
      </w:tr>
      <w:tr>
        <w:trPr>
          <w:cantSplit/>
        </w:trPr>
        <w:tc>
          <w:tcPr>
            <w:tcW w:type="dxa" w:w="965"/>
            <w:vAlign w:val="top"/>
            <w:tcMar>
              <w:top w:w="40" w:type="dxa"/>
              <w:left w:w="65" w:type="dxa"/>
              <w:bottom w:w="35" w:type="dxa"/>
              <w:right w:w="65" w:type="dxa"/>
            </w:tcMar>
          </w:tcPr>
          <w:p>
            <w:pPr>
              <w:pStyle w:val="TableCompact"/>
            </w:pPr>
            <w:r>
              <w:t>20 → 21</w:t>
            </w:r>
          </w:p>
        </w:tc>
        <w:tc>
          <w:tcPr>
            <w:tcW w:type="dxa" w:w="1483"/>
            <w:vAlign w:val="top"/>
            <w:tcMar>
              <w:top w:w="40" w:type="dxa"/>
              <w:left w:w="65" w:type="dxa"/>
              <w:bottom w:w="35" w:type="dxa"/>
              <w:right w:w="65" w:type="dxa"/>
            </w:tcMar>
          </w:tcPr>
          <w:p>
            <w:pPr>
              <w:pStyle w:val="TableCompact"/>
            </w:pPr>
            <w:r>
              <w:t>46.119173</w:t>
            </w:r>
          </w:p>
        </w:tc>
        <w:tc>
          <w:tcPr>
            <w:tcW w:type="dxa" w:w="1584"/>
            <w:vAlign w:val="top"/>
            <w:tcMar>
              <w:top w:w="40" w:type="dxa"/>
              <w:left w:w="65" w:type="dxa"/>
              <w:bottom w:w="35" w:type="dxa"/>
              <w:right w:w="65" w:type="dxa"/>
            </w:tcMar>
          </w:tcPr>
          <w:p>
            <w:pPr>
              <w:pStyle w:val="TableCompact"/>
            </w:pPr>
            <w:r>
              <w:t>35,331</w:t>
            </w:r>
          </w:p>
        </w:tc>
        <w:tc>
          <w:tcPr>
            <w:tcW w:type="dxa" w:w="1310"/>
            <w:vAlign w:val="top"/>
            <w:tcMar>
              <w:top w:w="40" w:type="dxa"/>
              <w:left w:w="65" w:type="dxa"/>
              <w:bottom w:w="35" w:type="dxa"/>
              <w:right w:w="65" w:type="dxa"/>
            </w:tcMar>
          </w:tcPr>
          <w:p>
            <w:pPr>
              <w:pStyle w:val="TableCompact"/>
            </w:pPr>
            <w:r>
              <w:t>967</w:t>
            </w:r>
          </w:p>
        </w:tc>
        <w:tc>
          <w:tcPr>
            <w:tcW w:type="dxa" w:w="1310"/>
            <w:vAlign w:val="top"/>
            <w:tcMar>
              <w:top w:w="40" w:type="dxa"/>
              <w:left w:w="65" w:type="dxa"/>
              <w:bottom w:w="35" w:type="dxa"/>
              <w:right w:w="65" w:type="dxa"/>
            </w:tcMar>
          </w:tcPr>
          <w:p>
            <w:pPr>
              <w:pStyle w:val="TableCompact"/>
            </w:pPr>
            <w:r>
              <w:t>46.90%</w:t>
            </w:r>
          </w:p>
        </w:tc>
        <w:tc>
          <w:tcPr>
            <w:tcW w:type="dxa" w:w="1310"/>
            <w:vAlign w:val="top"/>
            <w:tcMar>
              <w:top w:w="40" w:type="dxa"/>
              <w:left w:w="65" w:type="dxa"/>
              <w:bottom w:w="35" w:type="dxa"/>
              <w:right w:w="65" w:type="dxa"/>
            </w:tcMar>
          </w:tcPr>
          <w:p>
            <w:pPr>
              <w:pStyle w:val="TableCompact"/>
            </w:pPr>
            <w:r>
              <w:t>396</w:t>
            </w:r>
          </w:p>
        </w:tc>
        <w:tc>
          <w:tcPr>
            <w:tcW w:type="dxa" w:w="1397"/>
            <w:vAlign w:val="top"/>
            <w:tcMar>
              <w:top w:w="40" w:type="dxa"/>
              <w:left w:w="65" w:type="dxa"/>
              <w:bottom w:w="35" w:type="dxa"/>
              <w:right w:w="65" w:type="dxa"/>
            </w:tcMar>
          </w:tcPr>
          <w:p>
            <w:pPr>
              <w:pStyle w:val="TableCompact"/>
            </w:pPr>
            <w:r>
              <w:t>31</w:t>
            </w:r>
          </w:p>
        </w:tc>
      </w:tr>
      <w:tr>
        <w:trPr>
          <w:cantSplit/>
        </w:trPr>
        <w:tc>
          <w:tcPr>
            <w:tcW w:type="dxa" w:w="965"/>
            <w:vAlign w:val="top"/>
            <w:tcMar>
              <w:top w:w="40" w:type="dxa"/>
              <w:left w:w="65" w:type="dxa"/>
              <w:bottom w:w="35" w:type="dxa"/>
              <w:right w:w="65" w:type="dxa"/>
            </w:tcMar>
          </w:tcPr>
          <w:p>
            <w:pPr>
              <w:pStyle w:val="TableCompact"/>
            </w:pPr>
            <w:r>
              <w:t>21 → 22</w:t>
            </w:r>
          </w:p>
        </w:tc>
        <w:tc>
          <w:tcPr>
            <w:tcW w:type="dxa" w:w="1483"/>
            <w:vAlign w:val="top"/>
            <w:tcMar>
              <w:top w:w="40" w:type="dxa"/>
              <w:left w:w="65" w:type="dxa"/>
              <w:bottom w:w="35" w:type="dxa"/>
              <w:right w:w="65" w:type="dxa"/>
            </w:tcMar>
          </w:tcPr>
          <w:p>
            <w:pPr>
              <w:pStyle w:val="TableCompact"/>
            </w:pPr>
            <w:r>
              <w:t>46.915765</w:t>
            </w:r>
          </w:p>
        </w:tc>
        <w:tc>
          <w:tcPr>
            <w:tcW w:type="dxa" w:w="1584"/>
            <w:vAlign w:val="top"/>
            <w:tcMar>
              <w:top w:w="40" w:type="dxa"/>
              <w:left w:w="65" w:type="dxa"/>
              <w:bottom w:w="35" w:type="dxa"/>
              <w:right w:w="65" w:type="dxa"/>
            </w:tcMar>
          </w:tcPr>
          <w:p>
            <w:pPr>
              <w:pStyle w:val="TableCompact"/>
            </w:pPr>
            <w:r>
              <w:t>35,575</w:t>
            </w:r>
          </w:p>
        </w:tc>
        <w:tc>
          <w:tcPr>
            <w:tcW w:type="dxa" w:w="1310"/>
            <w:vAlign w:val="top"/>
            <w:tcMar>
              <w:top w:w="40" w:type="dxa"/>
              <w:left w:w="65" w:type="dxa"/>
              <w:bottom w:w="35" w:type="dxa"/>
              <w:right w:w="65" w:type="dxa"/>
            </w:tcMar>
          </w:tcPr>
          <w:p>
            <w:pPr>
              <w:pStyle w:val="TableCompact"/>
            </w:pPr>
            <w:r>
              <w:t>1813</w:t>
            </w:r>
          </w:p>
        </w:tc>
        <w:tc>
          <w:tcPr>
            <w:tcW w:type="dxa" w:w="1310"/>
            <w:vAlign w:val="top"/>
            <w:tcMar>
              <w:top w:w="40" w:type="dxa"/>
              <w:left w:w="65" w:type="dxa"/>
              <w:bottom w:w="35" w:type="dxa"/>
              <w:right w:w="65" w:type="dxa"/>
            </w:tcMar>
          </w:tcPr>
          <w:p>
            <w:pPr>
              <w:pStyle w:val="TableCompact"/>
            </w:pPr>
            <w:r>
              <w:t>83.59%</w:t>
            </w:r>
          </w:p>
        </w:tc>
        <w:tc>
          <w:tcPr>
            <w:tcW w:type="dxa" w:w="1310"/>
            <w:vAlign w:val="top"/>
            <w:tcMar>
              <w:top w:w="40" w:type="dxa"/>
              <w:left w:w="65" w:type="dxa"/>
              <w:bottom w:w="35" w:type="dxa"/>
              <w:right w:w="65" w:type="dxa"/>
            </w:tcMar>
          </w:tcPr>
          <w:p>
            <w:pPr>
              <w:pStyle w:val="TableCompact"/>
            </w:pPr>
            <w:r>
              <w:t>634</w:t>
            </w:r>
          </w:p>
        </w:tc>
        <w:tc>
          <w:tcPr>
            <w:tcW w:type="dxa" w:w="1397"/>
            <w:vAlign w:val="top"/>
            <w:tcMar>
              <w:top w:w="40" w:type="dxa"/>
              <w:left w:w="65" w:type="dxa"/>
              <w:bottom w:w="35" w:type="dxa"/>
              <w:right w:w="65" w:type="dxa"/>
            </w:tcMar>
          </w:tcPr>
          <w:p>
            <w:pPr>
              <w:pStyle w:val="TableCompact"/>
            </w:pPr>
            <w:r>
              <w:t>36</w:t>
            </w:r>
          </w:p>
        </w:tc>
      </w:tr>
      <w:tr>
        <w:trPr>
          <w:cantSplit/>
        </w:trPr>
        <w:tc>
          <w:tcPr>
            <w:tcW w:type="dxa" w:w="965"/>
            <w:vAlign w:val="top"/>
            <w:tcMar>
              <w:top w:w="40" w:type="dxa"/>
              <w:left w:w="65" w:type="dxa"/>
              <w:bottom w:w="35" w:type="dxa"/>
              <w:right w:w="65" w:type="dxa"/>
            </w:tcMar>
          </w:tcPr>
          <w:p>
            <w:pPr>
              <w:pStyle w:val="TableCompact"/>
            </w:pPr>
            <w:r>
              <w:t>22 → 23</w:t>
            </w:r>
          </w:p>
        </w:tc>
        <w:tc>
          <w:tcPr>
            <w:tcW w:type="dxa" w:w="1483"/>
            <w:vAlign w:val="top"/>
            <w:tcMar>
              <w:top w:w="40" w:type="dxa"/>
              <w:left w:w="65" w:type="dxa"/>
              <w:bottom w:w="35" w:type="dxa"/>
              <w:right w:w="65" w:type="dxa"/>
            </w:tcMar>
          </w:tcPr>
          <w:p>
            <w:pPr>
              <w:pStyle w:val="TableCompact"/>
            </w:pPr>
            <w:r>
              <w:t>48.254212</w:t>
            </w:r>
          </w:p>
        </w:tc>
        <w:tc>
          <w:tcPr>
            <w:tcW w:type="dxa" w:w="1584"/>
            <w:vAlign w:val="top"/>
            <w:tcMar>
              <w:top w:w="40" w:type="dxa"/>
              <w:left w:w="65" w:type="dxa"/>
              <w:bottom w:w="35" w:type="dxa"/>
              <w:right w:w="65" w:type="dxa"/>
            </w:tcMar>
          </w:tcPr>
          <w:p>
            <w:pPr>
              <w:pStyle w:val="TableCompact"/>
            </w:pPr>
            <w:r>
              <w:t>37,026</w:t>
            </w:r>
          </w:p>
        </w:tc>
        <w:tc>
          <w:tcPr>
            <w:tcW w:type="dxa" w:w="1310"/>
            <w:vAlign w:val="top"/>
            <w:tcMar>
              <w:top w:w="40" w:type="dxa"/>
              <w:left w:w="65" w:type="dxa"/>
              <w:bottom w:w="35" w:type="dxa"/>
              <w:right w:w="65" w:type="dxa"/>
            </w:tcMar>
          </w:tcPr>
          <w:p>
            <w:pPr>
              <w:pStyle w:val="TableCompact"/>
            </w:pPr>
            <w:r>
              <w:t>1853</w:t>
            </w:r>
          </w:p>
        </w:tc>
        <w:tc>
          <w:tcPr>
            <w:tcW w:type="dxa" w:w="1310"/>
            <w:vAlign w:val="top"/>
            <w:tcMar>
              <w:top w:w="40" w:type="dxa"/>
              <w:left w:w="65" w:type="dxa"/>
              <w:bottom w:w="35" w:type="dxa"/>
              <w:right w:w="65" w:type="dxa"/>
            </w:tcMar>
          </w:tcPr>
          <w:p>
            <w:pPr>
              <w:pStyle w:val="TableCompact"/>
            </w:pPr>
            <w:r>
              <w:t>83.17%</w:t>
            </w:r>
          </w:p>
        </w:tc>
        <w:tc>
          <w:tcPr>
            <w:tcW w:type="dxa" w:w="1310"/>
            <w:vAlign w:val="top"/>
            <w:tcMar>
              <w:top w:w="40" w:type="dxa"/>
              <w:left w:w="65" w:type="dxa"/>
              <w:bottom w:w="35" w:type="dxa"/>
              <w:right w:w="65" w:type="dxa"/>
            </w:tcMar>
          </w:tcPr>
          <w:p>
            <w:pPr>
              <w:pStyle w:val="TableCompact"/>
            </w:pPr>
            <w:r>
              <w:t>635</w:t>
            </w:r>
          </w:p>
        </w:tc>
        <w:tc>
          <w:tcPr>
            <w:tcW w:type="dxa" w:w="1397"/>
            <w:vAlign w:val="top"/>
            <w:tcMar>
              <w:top w:w="40" w:type="dxa"/>
              <w:left w:w="65" w:type="dxa"/>
              <w:bottom w:w="35" w:type="dxa"/>
              <w:right w:w="65" w:type="dxa"/>
            </w:tcMar>
          </w:tcPr>
          <w:p>
            <w:pPr>
              <w:pStyle w:val="TableCompact"/>
            </w:pPr>
            <w:r>
              <w:t>42</w:t>
            </w:r>
          </w:p>
        </w:tc>
      </w:tr>
      <w:tr>
        <w:trPr>
          <w:cantSplit/>
        </w:trPr>
        <w:tc>
          <w:tcPr>
            <w:tcW w:type="dxa" w:w="965"/>
            <w:vAlign w:val="top"/>
            <w:tcMar>
              <w:top w:w="40" w:type="dxa"/>
              <w:left w:w="65" w:type="dxa"/>
              <w:bottom w:w="35" w:type="dxa"/>
              <w:right w:w="65" w:type="dxa"/>
            </w:tcMar>
          </w:tcPr>
          <w:p>
            <w:pPr>
              <w:pStyle w:val="TableCompact"/>
            </w:pPr>
            <w:r>
              <w:t>23 → 24</w:t>
            </w:r>
          </w:p>
        </w:tc>
        <w:tc>
          <w:tcPr>
            <w:tcW w:type="dxa" w:w="1483"/>
            <w:vAlign w:val="top"/>
            <w:tcMar>
              <w:top w:w="40" w:type="dxa"/>
              <w:left w:w="65" w:type="dxa"/>
              <w:bottom w:w="35" w:type="dxa"/>
              <w:right w:w="65" w:type="dxa"/>
            </w:tcMar>
          </w:tcPr>
          <w:p>
            <w:pPr>
              <w:pStyle w:val="TableCompact"/>
            </w:pPr>
            <w:r>
              <w:t>45.433051</w:t>
            </w:r>
          </w:p>
        </w:tc>
        <w:tc>
          <w:tcPr>
            <w:tcW w:type="dxa" w:w="1584"/>
            <w:vAlign w:val="top"/>
            <w:tcMar>
              <w:top w:w="40" w:type="dxa"/>
              <w:left w:w="65" w:type="dxa"/>
              <w:bottom w:w="35" w:type="dxa"/>
              <w:right w:w="65" w:type="dxa"/>
            </w:tcMar>
          </w:tcPr>
          <w:p>
            <w:pPr>
              <w:pStyle w:val="TableCompact"/>
            </w:pPr>
            <w:r>
              <w:t>39,541</w:t>
            </w:r>
          </w:p>
        </w:tc>
        <w:tc>
          <w:tcPr>
            <w:tcW w:type="dxa" w:w="1310"/>
            <w:vAlign w:val="top"/>
            <w:tcMar>
              <w:top w:w="40" w:type="dxa"/>
              <w:left w:w="65" w:type="dxa"/>
              <w:bottom w:w="35" w:type="dxa"/>
              <w:right w:w="65" w:type="dxa"/>
            </w:tcMar>
          </w:tcPr>
          <w:p>
            <w:pPr>
              <w:pStyle w:val="TableCompact"/>
            </w:pPr>
            <w:r>
              <w:t>758</w:t>
            </w:r>
          </w:p>
        </w:tc>
        <w:tc>
          <w:tcPr>
            <w:tcW w:type="dxa" w:w="1310"/>
            <w:vAlign w:val="top"/>
            <w:tcMar>
              <w:top w:w="40" w:type="dxa"/>
              <w:left w:w="65" w:type="dxa"/>
              <w:bottom w:w="35" w:type="dxa"/>
              <w:right w:w="65" w:type="dxa"/>
            </w:tcMar>
          </w:tcPr>
          <w:p>
            <w:pPr>
              <w:pStyle w:val="TableCompact"/>
            </w:pPr>
            <w:r>
              <w:t>34.19%</w:t>
            </w:r>
          </w:p>
        </w:tc>
        <w:tc>
          <w:tcPr>
            <w:tcW w:type="dxa" w:w="1310"/>
            <w:vAlign w:val="top"/>
            <w:tcMar>
              <w:top w:w="40" w:type="dxa"/>
              <w:left w:w="65" w:type="dxa"/>
              <w:bottom w:w="35" w:type="dxa"/>
              <w:right w:w="65" w:type="dxa"/>
            </w:tcMar>
          </w:tcPr>
          <w:p>
            <w:pPr>
              <w:pStyle w:val="TableCompact"/>
            </w:pPr>
            <w:r>
              <w:t>355</w:t>
            </w:r>
          </w:p>
        </w:tc>
        <w:tc>
          <w:tcPr>
            <w:tcW w:type="dxa" w:w="1397"/>
            <w:vAlign w:val="top"/>
            <w:tcMar>
              <w:top w:w="40" w:type="dxa"/>
              <w:left w:w="65" w:type="dxa"/>
              <w:bottom w:w="35" w:type="dxa"/>
              <w:right w:w="65" w:type="dxa"/>
            </w:tcMar>
          </w:tcPr>
          <w:p>
            <w:pPr>
              <w:pStyle w:val="TableCompact"/>
            </w:pPr>
            <w:r>
              <w:t>9</w:t>
            </w:r>
          </w:p>
        </w:tc>
      </w:tr>
      <w:tr>
        <w:trPr>
          <w:cantSplit/>
        </w:trPr>
        <w:tc>
          <w:tcPr>
            <w:tcW w:type="dxa" w:w="965"/>
            <w:vAlign w:val="top"/>
            <w:tcMar>
              <w:top w:w="40" w:type="dxa"/>
              <w:left w:w="65" w:type="dxa"/>
              <w:bottom w:w="35" w:type="dxa"/>
              <w:right w:w="65" w:type="dxa"/>
            </w:tcMar>
          </w:tcPr>
          <w:p>
            <w:pPr>
              <w:pStyle w:val="TableCompact"/>
            </w:pPr>
            <w:r>
              <w:t>24 → 25</w:t>
            </w:r>
          </w:p>
        </w:tc>
        <w:tc>
          <w:tcPr>
            <w:tcW w:type="dxa" w:w="1483"/>
            <w:vAlign w:val="top"/>
            <w:tcMar>
              <w:top w:w="40" w:type="dxa"/>
              <w:left w:w="65" w:type="dxa"/>
              <w:bottom w:w="35" w:type="dxa"/>
              <w:right w:w="65" w:type="dxa"/>
            </w:tcMar>
          </w:tcPr>
          <w:p>
            <w:pPr>
              <w:pStyle w:val="TableCompact"/>
            </w:pPr>
            <w:r>
              <w:t>46.233257</w:t>
            </w:r>
          </w:p>
        </w:tc>
        <w:tc>
          <w:tcPr>
            <w:tcW w:type="dxa" w:w="1584"/>
            <w:vAlign w:val="top"/>
            <w:tcMar>
              <w:top w:w="40" w:type="dxa"/>
              <w:left w:w="65" w:type="dxa"/>
              <w:bottom w:w="35" w:type="dxa"/>
              <w:right w:w="65" w:type="dxa"/>
            </w:tcMar>
          </w:tcPr>
          <w:p>
            <w:pPr>
              <w:pStyle w:val="TableCompact"/>
            </w:pPr>
            <w:r>
              <w:t>39,692</w:t>
            </w:r>
          </w:p>
        </w:tc>
        <w:tc>
          <w:tcPr>
            <w:tcW w:type="dxa" w:w="1310"/>
            <w:vAlign w:val="top"/>
            <w:tcMar>
              <w:top w:w="40" w:type="dxa"/>
              <w:left w:w="65" w:type="dxa"/>
              <w:bottom w:w="35" w:type="dxa"/>
              <w:right w:w="65" w:type="dxa"/>
            </w:tcMar>
          </w:tcPr>
          <w:p>
            <w:pPr>
              <w:pStyle w:val="TableCompact"/>
            </w:pPr>
            <w:r>
              <w:t>761</w:t>
            </w:r>
          </w:p>
        </w:tc>
        <w:tc>
          <w:tcPr>
            <w:tcW w:type="dxa" w:w="1310"/>
            <w:vAlign w:val="top"/>
            <w:tcMar>
              <w:top w:w="40" w:type="dxa"/>
              <w:left w:w="65" w:type="dxa"/>
              <w:bottom w:w="35" w:type="dxa"/>
              <w:right w:w="65" w:type="dxa"/>
            </w:tcMar>
          </w:tcPr>
          <w:p>
            <w:pPr>
              <w:pStyle w:val="TableCompact"/>
            </w:pPr>
            <w:r>
              <w:t>34.13%</w:t>
            </w:r>
          </w:p>
        </w:tc>
        <w:tc>
          <w:tcPr>
            <w:tcW w:type="dxa" w:w="1310"/>
            <w:vAlign w:val="top"/>
            <w:tcMar>
              <w:top w:w="40" w:type="dxa"/>
              <w:left w:w="65" w:type="dxa"/>
              <w:bottom w:w="35" w:type="dxa"/>
              <w:right w:w="65" w:type="dxa"/>
            </w:tcMar>
          </w:tcPr>
          <w:p>
            <w:pPr>
              <w:pStyle w:val="TableCompact"/>
            </w:pPr>
            <w:r>
              <w:t>358</w:t>
            </w:r>
          </w:p>
        </w:tc>
        <w:tc>
          <w:tcPr>
            <w:tcW w:type="dxa" w:w="1397"/>
            <w:vAlign w:val="top"/>
            <w:tcMar>
              <w:top w:w="40" w:type="dxa"/>
              <w:left w:w="65" w:type="dxa"/>
              <w:bottom w:w="35" w:type="dxa"/>
              <w:right w:w="65" w:type="dxa"/>
            </w:tcMar>
          </w:tcPr>
          <w:p>
            <w:pPr>
              <w:pStyle w:val="TableCompact"/>
            </w:pPr>
            <w:r>
              <w:t>3</w:t>
            </w:r>
          </w:p>
        </w:tc>
      </w:tr>
      <w:tr>
        <w:trPr>
          <w:cantSplit/>
        </w:trPr>
        <w:tc>
          <w:tcPr>
            <w:tcW w:type="dxa" w:w="965"/>
            <w:vAlign w:val="top"/>
            <w:tcMar>
              <w:top w:w="40" w:type="dxa"/>
              <w:left w:w="65" w:type="dxa"/>
              <w:bottom w:w="35" w:type="dxa"/>
              <w:right w:w="65" w:type="dxa"/>
            </w:tcMar>
          </w:tcPr>
          <w:p>
            <w:pPr>
              <w:pStyle w:val="TableCompact"/>
            </w:pPr>
            <w:r>
              <w:t>25 → 26</w:t>
            </w:r>
          </w:p>
        </w:tc>
        <w:tc>
          <w:tcPr>
            <w:tcW w:type="dxa" w:w="1483"/>
            <w:vAlign w:val="top"/>
            <w:tcMar>
              <w:top w:w="40" w:type="dxa"/>
              <w:left w:w="65" w:type="dxa"/>
              <w:bottom w:w="35" w:type="dxa"/>
              <w:right w:w="65" w:type="dxa"/>
            </w:tcMar>
          </w:tcPr>
          <w:p>
            <w:pPr>
              <w:pStyle w:val="TableCompact"/>
            </w:pPr>
            <w:r>
              <w:t>45.879239</w:t>
            </w:r>
          </w:p>
        </w:tc>
        <w:tc>
          <w:tcPr>
            <w:tcW w:type="dxa" w:w="1584"/>
            <w:vAlign w:val="top"/>
            <w:tcMar>
              <w:top w:w="40" w:type="dxa"/>
              <w:left w:w="65" w:type="dxa"/>
              <w:bottom w:w="35" w:type="dxa"/>
              <w:right w:w="65" w:type="dxa"/>
            </w:tcMar>
          </w:tcPr>
          <w:p>
            <w:pPr>
              <w:pStyle w:val="TableCompact"/>
            </w:pPr>
            <w:r>
              <w:t>39,817</w:t>
            </w:r>
          </w:p>
        </w:tc>
        <w:tc>
          <w:tcPr>
            <w:tcW w:type="dxa" w:w="1310"/>
            <w:vAlign w:val="top"/>
            <w:tcMar>
              <w:top w:w="40" w:type="dxa"/>
              <w:left w:w="65" w:type="dxa"/>
              <w:bottom w:w="35" w:type="dxa"/>
              <w:right w:w="65" w:type="dxa"/>
            </w:tcMar>
          </w:tcPr>
          <w:p>
            <w:pPr>
              <w:pStyle w:val="TableCompact"/>
            </w:pPr>
            <w:r>
              <w:t>695</w:t>
            </w:r>
          </w:p>
        </w:tc>
        <w:tc>
          <w:tcPr>
            <w:tcW w:type="dxa" w:w="1310"/>
            <w:vAlign w:val="top"/>
            <w:tcMar>
              <w:top w:w="40" w:type="dxa"/>
              <w:left w:w="65" w:type="dxa"/>
              <w:bottom w:w="35" w:type="dxa"/>
              <w:right w:w="65" w:type="dxa"/>
            </w:tcMar>
          </w:tcPr>
          <w:p>
            <w:pPr>
              <w:pStyle w:val="TableCompact"/>
            </w:pPr>
            <w:r>
              <w:t>31.24%</w:t>
            </w:r>
          </w:p>
        </w:tc>
        <w:tc>
          <w:tcPr>
            <w:tcW w:type="dxa" w:w="1310"/>
            <w:vAlign w:val="top"/>
            <w:tcMar>
              <w:top w:w="40" w:type="dxa"/>
              <w:left w:w="65" w:type="dxa"/>
              <w:bottom w:w="35" w:type="dxa"/>
              <w:right w:w="65" w:type="dxa"/>
            </w:tcMar>
          </w:tcPr>
          <w:p>
            <w:pPr>
              <w:pStyle w:val="TableCompact"/>
            </w:pPr>
            <w:r>
              <w:t>353</w:t>
            </w:r>
          </w:p>
        </w:tc>
        <w:tc>
          <w:tcPr>
            <w:tcW w:type="dxa" w:w="1397"/>
            <w:vAlign w:val="top"/>
            <w:tcMar>
              <w:top w:w="40" w:type="dxa"/>
              <w:left w:w="65" w:type="dxa"/>
              <w:bottom w:w="35" w:type="dxa"/>
              <w:right w:w="65" w:type="dxa"/>
            </w:tcMar>
          </w:tcPr>
          <w:p>
            <w:pPr>
              <w:pStyle w:val="TableCompact"/>
            </w:pPr>
            <w:r>
              <w:t>5</w:t>
            </w:r>
          </w:p>
        </w:tc>
      </w:tr>
      <w:tr>
        <w:trPr>
          <w:cantSplit/>
        </w:trPr>
        <w:tc>
          <w:tcPr>
            <w:tcW w:type="dxa" w:w="965"/>
            <w:vAlign w:val="top"/>
            <w:tcMar>
              <w:top w:w="40" w:type="dxa"/>
              <w:left w:w="65" w:type="dxa"/>
              <w:bottom w:w="35" w:type="dxa"/>
              <w:right w:w="65" w:type="dxa"/>
            </w:tcMar>
          </w:tcPr>
          <w:p>
            <w:pPr>
              <w:pStyle w:val="TableCompact"/>
            </w:pPr>
            <w:r>
              <w:t>26 → 27</w:t>
            </w:r>
          </w:p>
        </w:tc>
        <w:tc>
          <w:tcPr>
            <w:tcW w:type="dxa" w:w="1483"/>
            <w:vAlign w:val="top"/>
            <w:tcMar>
              <w:top w:w="40" w:type="dxa"/>
              <w:left w:w="65" w:type="dxa"/>
              <w:bottom w:w="35" w:type="dxa"/>
              <w:right w:w="65" w:type="dxa"/>
            </w:tcMar>
          </w:tcPr>
          <w:p>
            <w:pPr>
              <w:pStyle w:val="TableCompact"/>
            </w:pPr>
            <w:r>
              <w:t>49.548593</w:t>
            </w:r>
          </w:p>
        </w:tc>
        <w:tc>
          <w:tcPr>
            <w:tcW w:type="dxa" w:w="1584"/>
            <w:vAlign w:val="top"/>
            <w:tcMar>
              <w:top w:w="40" w:type="dxa"/>
              <w:left w:w="65" w:type="dxa"/>
              <w:bottom w:w="35" w:type="dxa"/>
              <w:right w:w="65" w:type="dxa"/>
            </w:tcMar>
          </w:tcPr>
          <w:p>
            <w:pPr>
              <w:pStyle w:val="TableCompact"/>
            </w:pPr>
            <w:r>
              <w:t>40,142</w:t>
            </w:r>
          </w:p>
        </w:tc>
        <w:tc>
          <w:tcPr>
            <w:tcW w:type="dxa" w:w="1310"/>
            <w:vAlign w:val="top"/>
            <w:tcMar>
              <w:top w:w="40" w:type="dxa"/>
              <w:left w:w="65" w:type="dxa"/>
              <w:bottom w:w="35" w:type="dxa"/>
              <w:right w:w="65" w:type="dxa"/>
            </w:tcMar>
          </w:tcPr>
          <w:p>
            <w:pPr>
              <w:pStyle w:val="TableCompact"/>
            </w:pPr>
            <w:r>
              <w:t>887</w:t>
            </w:r>
          </w:p>
        </w:tc>
        <w:tc>
          <w:tcPr>
            <w:tcW w:type="dxa" w:w="1310"/>
            <w:vAlign w:val="top"/>
            <w:tcMar>
              <w:top w:w="40" w:type="dxa"/>
              <w:left w:w="65" w:type="dxa"/>
              <w:bottom w:w="35" w:type="dxa"/>
              <w:right w:w="65" w:type="dxa"/>
            </w:tcMar>
          </w:tcPr>
          <w:p>
            <w:pPr>
              <w:pStyle w:val="TableCompact"/>
            </w:pPr>
            <w:r>
              <w:t>39.46%</w:t>
            </w:r>
          </w:p>
        </w:tc>
        <w:tc>
          <w:tcPr>
            <w:tcW w:type="dxa" w:w="1310"/>
            <w:vAlign w:val="top"/>
            <w:tcMar>
              <w:top w:w="40" w:type="dxa"/>
              <w:left w:w="65" w:type="dxa"/>
              <w:bottom w:w="35" w:type="dxa"/>
              <w:right w:w="65" w:type="dxa"/>
            </w:tcMar>
          </w:tcPr>
          <w:p>
            <w:pPr>
              <w:pStyle w:val="TableCompact"/>
            </w:pPr>
            <w:r>
              <w:t>427</w:t>
            </w:r>
          </w:p>
        </w:tc>
        <w:tc>
          <w:tcPr>
            <w:tcW w:type="dxa" w:w="1397"/>
            <w:vAlign w:val="top"/>
            <w:tcMar>
              <w:top w:w="40" w:type="dxa"/>
              <w:left w:w="65" w:type="dxa"/>
              <w:bottom w:w="35" w:type="dxa"/>
              <w:right w:w="65" w:type="dxa"/>
            </w:tcMar>
          </w:tcPr>
          <w:p>
            <w:pPr>
              <w:pStyle w:val="TableCompact"/>
            </w:pPr>
            <w:r>
              <w:t>36</w:t>
            </w:r>
          </w:p>
        </w:tc>
      </w:tr>
      <w:tr>
        <w:trPr>
          <w:cantSplit/>
        </w:trPr>
        <w:tc>
          <w:tcPr>
            <w:tcW w:type="dxa" w:w="965"/>
            <w:vAlign w:val="top"/>
            <w:tcMar>
              <w:top w:w="40" w:type="dxa"/>
              <w:left w:w="65" w:type="dxa"/>
              <w:bottom w:w="35" w:type="dxa"/>
              <w:right w:w="65" w:type="dxa"/>
            </w:tcMar>
          </w:tcPr>
          <w:p>
            <w:pPr>
              <w:pStyle w:val="TableCompact"/>
            </w:pPr>
            <w:r>
              <w:t>27 → 28</w:t>
            </w:r>
          </w:p>
        </w:tc>
        <w:tc>
          <w:tcPr>
            <w:tcW w:type="dxa" w:w="1483"/>
            <w:vAlign w:val="top"/>
            <w:tcMar>
              <w:top w:w="40" w:type="dxa"/>
              <w:left w:w="65" w:type="dxa"/>
              <w:bottom w:w="35" w:type="dxa"/>
              <w:right w:w="65" w:type="dxa"/>
            </w:tcMar>
          </w:tcPr>
          <w:p>
            <w:pPr>
              <w:pStyle w:val="TableCompact"/>
            </w:pPr>
            <w:r>
              <w:t>48.339898</w:t>
            </w:r>
          </w:p>
        </w:tc>
        <w:tc>
          <w:tcPr>
            <w:tcW w:type="dxa" w:w="1584"/>
            <w:vAlign w:val="top"/>
            <w:tcMar>
              <w:top w:w="40" w:type="dxa"/>
              <w:left w:w="65" w:type="dxa"/>
              <w:bottom w:w="35" w:type="dxa"/>
              <w:right w:w="65" w:type="dxa"/>
            </w:tcMar>
          </w:tcPr>
          <w:p>
            <w:pPr>
              <w:pStyle w:val="TableCompact"/>
            </w:pPr>
            <w:r>
              <w:t>40,356</w:t>
            </w:r>
          </w:p>
        </w:tc>
        <w:tc>
          <w:tcPr>
            <w:tcW w:type="dxa" w:w="1310"/>
            <w:vAlign w:val="top"/>
            <w:tcMar>
              <w:top w:w="40" w:type="dxa"/>
              <w:left w:w="65" w:type="dxa"/>
              <w:bottom w:w="35" w:type="dxa"/>
              <w:right w:w="65" w:type="dxa"/>
            </w:tcMar>
          </w:tcPr>
          <w:p>
            <w:pPr>
              <w:pStyle w:val="TableCompact"/>
            </w:pPr>
            <w:r>
              <w:t>728</w:t>
            </w:r>
          </w:p>
        </w:tc>
        <w:tc>
          <w:tcPr>
            <w:tcW w:type="dxa" w:w="1310"/>
            <w:vAlign w:val="top"/>
            <w:tcMar>
              <w:top w:w="40" w:type="dxa"/>
              <w:left w:w="65" w:type="dxa"/>
              <w:bottom w:w="35" w:type="dxa"/>
              <w:right w:w="65" w:type="dxa"/>
            </w:tcMar>
          </w:tcPr>
          <w:p>
            <w:pPr>
              <w:pStyle w:val="TableCompact"/>
            </w:pPr>
            <w:r>
              <w:t>32.36%</w:t>
            </w:r>
          </w:p>
        </w:tc>
        <w:tc>
          <w:tcPr>
            <w:tcW w:type="dxa" w:w="1310"/>
            <w:vAlign w:val="top"/>
            <w:tcMar>
              <w:top w:w="40" w:type="dxa"/>
              <w:left w:w="65" w:type="dxa"/>
              <w:bottom w:w="35" w:type="dxa"/>
              <w:right w:w="65" w:type="dxa"/>
            </w:tcMar>
          </w:tcPr>
          <w:p>
            <w:pPr>
              <w:pStyle w:val="TableCompact"/>
            </w:pPr>
            <w:r>
              <w:t>343</w:t>
            </w:r>
          </w:p>
        </w:tc>
        <w:tc>
          <w:tcPr>
            <w:tcW w:type="dxa" w:w="1397"/>
            <w:vAlign w:val="top"/>
            <w:tcMar>
              <w:top w:w="40" w:type="dxa"/>
              <w:left w:w="65" w:type="dxa"/>
              <w:bottom w:w="35" w:type="dxa"/>
              <w:right w:w="65" w:type="dxa"/>
            </w:tcMar>
          </w:tcPr>
          <w:p>
            <w:pPr>
              <w:pStyle w:val="TableCompact"/>
            </w:pPr>
            <w:r>
              <w:t>2</w:t>
            </w:r>
          </w:p>
        </w:tc>
      </w:tr>
      <w:tr>
        <w:trPr>
          <w:cantSplit/>
        </w:trPr>
        <w:tc>
          <w:tcPr>
            <w:tcW w:type="dxa" w:w="965"/>
            <w:vAlign w:val="top"/>
            <w:tcMar>
              <w:top w:w="40" w:type="dxa"/>
              <w:left w:w="65" w:type="dxa"/>
              <w:bottom w:w="35" w:type="dxa"/>
              <w:right w:w="65" w:type="dxa"/>
            </w:tcMar>
          </w:tcPr>
          <w:p>
            <w:pPr>
              <w:pStyle w:val="TableCompact"/>
            </w:pPr>
            <w:r>
              <w:t>28 → RFC</w:t>
            </w:r>
          </w:p>
        </w:tc>
        <w:tc>
          <w:tcPr>
            <w:tcW w:type="dxa" w:w="1483"/>
            <w:vAlign w:val="top"/>
            <w:tcMar>
              <w:top w:w="40" w:type="dxa"/>
              <w:left w:w="65" w:type="dxa"/>
              <w:bottom w:w="35" w:type="dxa"/>
              <w:right w:w="65" w:type="dxa"/>
            </w:tcMar>
          </w:tcPr>
          <w:p>
            <w:pPr>
              <w:pStyle w:val="TableCompact"/>
            </w:pPr>
            <w:r>
              <w:t>48.071811</w:t>
            </w:r>
          </w:p>
        </w:tc>
        <w:tc>
          <w:tcPr>
            <w:tcW w:type="dxa" w:w="1584"/>
            <w:vAlign w:val="top"/>
            <w:tcMar>
              <w:top w:w="40" w:type="dxa"/>
              <w:left w:w="65" w:type="dxa"/>
              <w:bottom w:w="35" w:type="dxa"/>
              <w:right w:w="65" w:type="dxa"/>
            </w:tcMar>
          </w:tcPr>
          <w:p>
            <w:pPr>
              <w:pStyle w:val="TableCompact"/>
            </w:pPr>
            <w:r>
              <w:t>37,572</w:t>
            </w:r>
          </w:p>
        </w:tc>
        <w:tc>
          <w:tcPr>
            <w:tcW w:type="dxa" w:w="1310"/>
            <w:vAlign w:val="top"/>
            <w:tcMar>
              <w:top w:w="40" w:type="dxa"/>
              <w:left w:w="65" w:type="dxa"/>
              <w:bottom w:w="35" w:type="dxa"/>
              <w:right w:w="65" w:type="dxa"/>
            </w:tcMar>
          </w:tcPr>
          <w:p>
            <w:pPr>
              <w:pStyle w:val="TableCompact"/>
            </w:pPr>
            <w:r>
              <w:t>1723</w:t>
            </w:r>
          </w:p>
        </w:tc>
        <w:tc>
          <w:tcPr>
            <w:tcW w:type="dxa" w:w="1310"/>
            <w:vAlign w:val="top"/>
            <w:tcMar>
              <w:top w:w="40" w:type="dxa"/>
              <w:left w:w="65" w:type="dxa"/>
              <w:bottom w:w="35" w:type="dxa"/>
              <w:right w:w="65" w:type="dxa"/>
            </w:tcMar>
          </w:tcPr>
          <w:p>
            <w:pPr>
              <w:pStyle w:val="TableCompact"/>
            </w:pPr>
            <w:r>
              <w:t>76.68%</w:t>
            </w:r>
          </w:p>
        </w:tc>
        <w:tc>
          <w:tcPr>
            <w:tcW w:type="dxa" w:w="1310"/>
            <w:vAlign w:val="top"/>
            <w:tcMar>
              <w:top w:w="40" w:type="dxa"/>
              <w:left w:w="65" w:type="dxa"/>
              <w:bottom w:w="35" w:type="dxa"/>
              <w:right w:w="65" w:type="dxa"/>
            </w:tcMar>
          </w:tcPr>
          <w:p>
            <w:pPr>
              <w:pStyle w:val="TableCompact"/>
            </w:pPr>
            <w:r>
              <w:t>573</w:t>
            </w:r>
          </w:p>
        </w:tc>
        <w:tc>
          <w:tcPr>
            <w:tcW w:type="dxa" w:w="1397"/>
            <w:vAlign w:val="top"/>
            <w:tcMar>
              <w:top w:w="40" w:type="dxa"/>
              <w:left w:w="65" w:type="dxa"/>
              <w:bottom w:w="35" w:type="dxa"/>
              <w:right w:w="65" w:type="dxa"/>
            </w:tcMar>
          </w:tcPr>
          <w:p>
            <w:pPr>
              <w:pStyle w:val="TableCompact"/>
            </w:pPr>
            <w:r>
              <w:t>51</w:t>
            </w:r>
          </w:p>
        </w:tc>
      </w:tr>
      <w:tr>
        <w:trPr>
          <w:cantSplit/>
        </w:trPr>
        <w:tc>
          <w:tcPr>
            <w:tcW w:type="dxa" w:w="965"/>
            <w:vAlign w:val="top"/>
            <w:tcMar>
              <w:top w:w="40" w:type="dxa"/>
              <w:left w:w="65" w:type="dxa"/>
              <w:bottom w:w="35" w:type="dxa"/>
              <w:right w:w="65" w:type="dxa"/>
            </w:tcMar>
          </w:tcPr>
          <w:p>
            <w:pPr>
              <w:pStyle w:val="TableCompact"/>
            </w:pPr>
            <w:r>
              <w:t>Sum</w:t>
            </w:r>
          </w:p>
        </w:tc>
        <w:tc>
          <w:tcPr>
            <w:tcW w:type="dxa" w:w="1483"/>
            <w:vAlign w:val="top"/>
            <w:tcMar>
              <w:top w:w="40" w:type="dxa"/>
              <w:left w:w="65" w:type="dxa"/>
              <w:bottom w:w="35" w:type="dxa"/>
              <w:right w:w="65" w:type="dxa"/>
            </w:tcMar>
          </w:tcPr>
          <w:p>
            <w:pPr>
              <w:pStyle w:val="TableCompact"/>
            </w:pPr>
            <w:r>
              <w:t>655.628153</w:t>
            </w:r>
          </w:p>
        </w:tc>
        <w:tc>
          <w:tcPr>
            <w:tcW w:type="dxa" w:w="1584"/>
            <w:vAlign w:val="top"/>
            <w:tcMar>
              <w:top w:w="40" w:type="dxa"/>
              <w:left w:w="65" w:type="dxa"/>
              <w:bottom w:w="35" w:type="dxa"/>
              <w:right w:w="65" w:type="dxa"/>
            </w:tcMar>
          </w:tcPr>
          <w:p>
            <w:pPr>
              <w:pStyle w:val="TableCompact"/>
            </w:pPr>
            <w:r>
              <w:t>877,103</w:t>
            </w:r>
          </w:p>
        </w:tc>
        <w:tc>
          <w:tcPr>
            <w:tcW w:type="dxa" w:w="1310"/>
            <w:vAlign w:val="top"/>
            <w:tcMar>
              <w:top w:w="40" w:type="dxa"/>
              <w:left w:w="65" w:type="dxa"/>
              <w:bottom w:w="35" w:type="dxa"/>
              <w:right w:w="65" w:type="dxa"/>
            </w:tcMar>
          </w:tcPr>
          <w:p>
            <w:pPr>
              <w:pStyle w:val="TableCompact"/>
            </w:pPr>
            <w:r>
              <w:t>26884</w:t>
            </w:r>
          </w:p>
        </w:tc>
        <w:tc>
          <w:tcPr>
            <w:tcW w:type="dxa" w:w="1310"/>
            <w:vAlign w:val="top"/>
            <w:tcMar>
              <w:top w:w="40" w:type="dxa"/>
              <w:left w:w="65" w:type="dxa"/>
              <w:bottom w:w="35" w:type="dxa"/>
              <w:right w:w="65" w:type="dxa"/>
            </w:tcMar>
          </w:tcPr>
          <w:p>
            <w:pPr>
              <w:pStyle w:val="TableCompact"/>
            </w:pPr>
            <w:r>
              <w:t>50.77%</w:t>
            </w:r>
          </w:p>
        </w:tc>
        <w:tc>
          <w:tcPr>
            <w:tcW w:type="dxa" w:w="1310"/>
            <w:vAlign w:val="top"/>
            <w:tcMar>
              <w:top w:w="40" w:type="dxa"/>
              <w:left w:w="65" w:type="dxa"/>
              <w:bottom w:w="35" w:type="dxa"/>
              <w:right w:w="65" w:type="dxa"/>
            </w:tcMar>
          </w:tcPr>
          <w:p>
            <w:pPr>
              <w:pStyle w:val="TableCompact"/>
            </w:pPr>
            <w:r>
              <w:t>10576</w:t>
            </w:r>
          </w:p>
        </w:tc>
        <w:tc>
          <w:tcPr>
            <w:tcW w:type="dxa" w:w="1397"/>
            <w:vAlign w:val="top"/>
            <w:tcMar>
              <w:top w:w="40" w:type="dxa"/>
              <w:left w:w="65" w:type="dxa"/>
              <w:bottom w:w="35" w:type="dxa"/>
              <w:right w:w="65" w:type="dxa"/>
            </w:tcMar>
          </w:tcPr>
          <w:p>
            <w:pPr>
              <w:pStyle w:val="TableCompact"/>
            </w:pPr>
            <w:r>
              <w:t>619</w:t>
            </w:r>
          </w:p>
        </w:tc>
      </w:tr>
    </w:tbl>
    <w:p>
      <w:pPr>
        <w:spacing w:after="0"/>
      </w:pPr>
    </w:p>
    <w:p>
      <w:pPr/>
      <w:r>
        <w:t>Total reported pipeline runtime is 693.598690 seconds; the pair sum is 655.628153 seconds. Runtime includes mixed cache usage and is not normalized across machines. The manifest creation-​to-​filesystem timestamp observation is approximately 694.91 seconds, not a separately instrumented timer. Original unrounded pair values remain in the run report.</w:t>
      </w:r>
    </w:p>
    <w:p>
      <w:pPr>
        <w:pStyle w:val="Heading2"/>
      </w:pPr>
      <w:r>
        <w:t>Appendix I: Development run history</w:t>
      </w:r>
    </w:p>
    <w:p>
      <w:pPr/>
      <w:r>
        <w:t xml:space="preserve">All listed run names refer to existing directories under </w:t>
      </w:r>
      <w:r>
        <w:rPr>
          <w:rStyle w:val="CodeCharacter"/>
        </w:rPr>
        <w:t>corpus/​processed/​alignments/​draft-​ietf-​tls-​tls13</w:t>
      </w:r>
      <w:r>
        <w:t>. Completed smoke runs demonstrate limited execution scopes; they do not replace the final 29-pair run. For stopped runs, counts refer to preserved completed pair reports, not a successful manifest.</w:t>
      </w:r>
    </w:p>
    <w:p>
      <w:pPr>
        <w:pStyle w:val="Caption"/>
        <w:keepNext/>
      </w:pPr>
      <w:r>
        <w:t>Preserved development attempts; logical sequence is shown without inventing missing timestamps.</w:t>
      </w:r>
    </w:p>
    <w:tbl>
      <w:tblPr>
        <w:tblStyle w:val="TableGrid"/>
        <w:tblW w:type="auto" w:w="0"/>
        <w:jc w:val="center"/>
        <w:tblLayout w:type="fixed"/>
        <w:tblLook w:firstColumn="1" w:firstRow="1" w:lastColumn="0" w:lastRow="0" w:noHBand="0" w:noVBand="1" w:val="04A0"/>
      </w:tblPr>
      <w:tblGrid>
        <w:gridCol w:w="2880"/>
        <w:gridCol w:w="792"/>
        <w:gridCol w:w="2016"/>
        <w:gridCol w:w="3672"/>
      </w:tblGrid>
      <w:tr>
        <w:trPr>
          <w:tblHeader w:val="true"/>
          <w:cantSplit/>
        </w:trPr>
        <w:tc>
          <w:tcPr>
            <w:tcW w:type="dxa" w:w="2880"/>
            <w:vAlign w:val="top"/>
            <w:tcMar>
              <w:top w:w="40" w:type="dxa"/>
              <w:left w:w="65" w:type="dxa"/>
              <w:bottom w:w="35" w:type="dxa"/>
              <w:right w:w="65" w:type="dxa"/>
            </w:tcMar>
          </w:tcPr>
          <w:p>
            <w:pPr>
              <w:pStyle w:val="TableHeader"/>
            </w:pPr>
            <w:r>
              <w:t>Run directory</w:t>
            </w:r>
          </w:p>
        </w:tc>
        <w:tc>
          <w:tcPr>
            <w:tcW w:type="dxa" w:w="792"/>
            <w:vAlign w:val="top"/>
            <w:tcMar>
              <w:top w:w="40" w:type="dxa"/>
              <w:left w:w="65" w:type="dxa"/>
              <w:bottom w:w="35" w:type="dxa"/>
              <w:right w:w="65" w:type="dxa"/>
            </w:tcMar>
          </w:tcPr>
          <w:p>
            <w:pPr>
              <w:pStyle w:val="TableHeader"/>
            </w:pPr>
            <w:r>
              <w:t>Pairs</w:t>
            </w:r>
          </w:p>
        </w:tc>
        <w:tc>
          <w:tcPr>
            <w:tcW w:type="dxa" w:w="2016"/>
            <w:vAlign w:val="top"/>
            <w:tcMar>
              <w:top w:w="40" w:type="dxa"/>
              <w:left w:w="65" w:type="dxa"/>
              <w:bottom w:w="35" w:type="dxa"/>
              <w:right w:w="65" w:type="dxa"/>
            </w:tcMar>
          </w:tcPr>
          <w:p>
            <w:pPr>
              <w:pStyle w:val="TableHeader"/>
            </w:pPr>
            <w:r>
              <w:t>Seconds</w:t>
            </w:r>
          </w:p>
        </w:tc>
        <w:tc>
          <w:tcPr>
            <w:tcW w:type="dxa" w:w="3672"/>
            <w:vAlign w:val="top"/>
            <w:tcMar>
              <w:top w:w="40" w:type="dxa"/>
              <w:left w:w="65" w:type="dxa"/>
              <w:bottom w:w="35" w:type="dxa"/>
              <w:right w:w="65" w:type="dxa"/>
            </w:tcMar>
          </w:tcPr>
          <w:p>
            <w:pPr>
              <w:pStyle w:val="TableHeader"/>
            </w:pPr>
            <w:r>
              <w:t>Disposition</w:t>
            </w:r>
          </w:p>
        </w:tc>
      </w:tr>
      <w:tr>
        <w:trPr>
          <w:cantSplit/>
        </w:trPr>
        <w:tc>
          <w:tcPr>
            <w:tcW w:type="dxa" w:w="2880"/>
            <w:vAlign w:val="top"/>
            <w:tcMar>
              <w:top w:w="40" w:type="dxa"/>
              <w:left w:w="65" w:type="dxa"/>
              <w:bottom w:w="35" w:type="dxa"/>
              <w:right w:w="65" w:type="dxa"/>
            </w:tcMar>
          </w:tcPr>
          <w:p>
            <w:pPr>
              <w:pStyle w:val="TableText"/>
            </w:pPr>
            <w:r>
              <w:rPr>
                <w:rStyle w:val="CodeCharacter"/>
              </w:rPr>
              <w:t>smoke-​early-​lexical-​v1</w:t>
            </w:r>
          </w:p>
        </w:tc>
        <w:tc>
          <w:tcPr>
            <w:tcW w:type="dxa" w:w="792"/>
            <w:vAlign w:val="top"/>
            <w:tcMar>
              <w:top w:w="40" w:type="dxa"/>
              <w:left w:w="65" w:type="dxa"/>
              <w:bottom w:w="35" w:type="dxa"/>
              <w:right w:w="65" w:type="dxa"/>
            </w:tcMar>
          </w:tcPr>
          <w:p>
            <w:pPr>
              <w:pStyle w:val="TableText"/>
            </w:pPr>
            <w:r>
              <w:t>1</w:t>
            </w:r>
          </w:p>
        </w:tc>
        <w:tc>
          <w:tcPr>
            <w:tcW w:type="dxa" w:w="2016"/>
            <w:vAlign w:val="top"/>
            <w:tcMar>
              <w:top w:w="40" w:type="dxa"/>
              <w:left w:w="65" w:type="dxa"/>
              <w:bottom w:w="35" w:type="dxa"/>
              <w:right w:w="65" w:type="dxa"/>
            </w:tcMar>
          </w:tcPr>
          <w:p>
            <w:pPr>
              <w:pStyle w:val="TableText"/>
            </w:pPr>
            <w:r>
              <w:t>4.614444</w:t>
            </w:r>
          </w:p>
        </w:tc>
        <w:tc>
          <w:tcPr>
            <w:tcW w:type="dxa" w:w="3672"/>
            <w:vAlign w:val="top"/>
            <w:tcMar>
              <w:top w:w="40" w:type="dxa"/>
              <w:left w:w="65" w:type="dxa"/>
              <w:bottom w:w="35" w:type="dxa"/>
              <w:right w:w="65" w:type="dxa"/>
            </w:tcMar>
          </w:tcPr>
          <w:p>
            <w:pPr>
              <w:pStyle w:val="TableText"/>
            </w:pPr>
            <w:r>
              <w:t>COMPLETE smoke; early 00–01 or late 27–28.</w:t>
            </w:r>
          </w:p>
        </w:tc>
      </w:tr>
      <w:tr>
        <w:trPr>
          <w:cantSplit/>
        </w:trPr>
        <w:tc>
          <w:tcPr>
            <w:tcW w:type="dxa" w:w="2880"/>
            <w:vAlign w:val="top"/>
            <w:tcMar>
              <w:top w:w="40" w:type="dxa"/>
              <w:left w:w="65" w:type="dxa"/>
              <w:bottom w:w="35" w:type="dxa"/>
              <w:right w:w="65" w:type="dxa"/>
            </w:tcMar>
          </w:tcPr>
          <w:p>
            <w:pPr>
              <w:pStyle w:val="TableText"/>
            </w:pPr>
            <w:r>
              <w:rPr>
                <w:rStyle w:val="CodeCharacter"/>
              </w:rPr>
              <w:t>smoke-​late-​lexical-​v1</w:t>
            </w:r>
          </w:p>
        </w:tc>
        <w:tc>
          <w:tcPr>
            <w:tcW w:type="dxa" w:w="792"/>
            <w:vAlign w:val="top"/>
            <w:tcMar>
              <w:top w:w="40" w:type="dxa"/>
              <w:left w:w="65" w:type="dxa"/>
              <w:bottom w:w="35" w:type="dxa"/>
              <w:right w:w="65" w:type="dxa"/>
            </w:tcMar>
          </w:tcPr>
          <w:p>
            <w:pPr>
              <w:pStyle w:val="TableText"/>
            </w:pPr>
            <w:r>
              <w:t>1</w:t>
            </w:r>
          </w:p>
        </w:tc>
        <w:tc>
          <w:tcPr>
            <w:tcW w:type="dxa" w:w="2016"/>
            <w:vAlign w:val="top"/>
            <w:tcMar>
              <w:top w:w="40" w:type="dxa"/>
              <w:left w:w="65" w:type="dxa"/>
              <w:bottom w:w="35" w:type="dxa"/>
              <w:right w:w="65" w:type="dxa"/>
            </w:tcMar>
          </w:tcPr>
          <w:p>
            <w:pPr>
              <w:pStyle w:val="TableText"/>
            </w:pPr>
            <w:r>
              <w:t>7.513295</w:t>
            </w:r>
          </w:p>
        </w:tc>
        <w:tc>
          <w:tcPr>
            <w:tcW w:type="dxa" w:w="3672"/>
            <w:vAlign w:val="top"/>
            <w:tcMar>
              <w:top w:w="40" w:type="dxa"/>
              <w:left w:w="65" w:type="dxa"/>
              <w:bottom w:w="35" w:type="dxa"/>
              <w:right w:w="65" w:type="dxa"/>
            </w:tcMar>
          </w:tcPr>
          <w:p>
            <w:pPr>
              <w:pStyle w:val="TableText"/>
            </w:pPr>
            <w:r>
              <w:t>COMPLETE smoke; early 00–01 or late 27–28.</w:t>
            </w:r>
          </w:p>
        </w:tc>
      </w:tr>
      <w:tr>
        <w:trPr>
          <w:cantSplit/>
        </w:trPr>
        <w:tc>
          <w:tcPr>
            <w:tcW w:type="dxa" w:w="2880"/>
            <w:vAlign w:val="top"/>
            <w:tcMar>
              <w:top w:w="40" w:type="dxa"/>
              <w:left w:w="65" w:type="dxa"/>
              <w:bottom w:w="35" w:type="dxa"/>
              <w:right w:w="65" w:type="dxa"/>
            </w:tcMar>
          </w:tcPr>
          <w:p>
            <w:pPr>
              <w:pStyle w:val="TableText"/>
            </w:pPr>
            <w:r>
              <w:rPr>
                <w:rStyle w:val="CodeCharacter"/>
              </w:rPr>
              <w:t>smoke-​early-​semantic-​v1</w:t>
            </w:r>
          </w:p>
        </w:tc>
        <w:tc>
          <w:tcPr>
            <w:tcW w:type="dxa" w:w="792"/>
            <w:vAlign w:val="top"/>
            <w:tcMar>
              <w:top w:w="40" w:type="dxa"/>
              <w:left w:w="65" w:type="dxa"/>
              <w:bottom w:w="35" w:type="dxa"/>
              <w:right w:w="65" w:type="dxa"/>
            </w:tcMar>
          </w:tcPr>
          <w:p>
            <w:pPr>
              <w:pStyle w:val="TableText"/>
            </w:pPr>
            <w:r>
              <w:t>1</w:t>
            </w:r>
          </w:p>
        </w:tc>
        <w:tc>
          <w:tcPr>
            <w:tcW w:type="dxa" w:w="2016"/>
            <w:vAlign w:val="top"/>
            <w:tcMar>
              <w:top w:w="40" w:type="dxa"/>
              <w:left w:w="65" w:type="dxa"/>
              <w:bottom w:w="35" w:type="dxa"/>
              <w:right w:w="65" w:type="dxa"/>
            </w:tcMar>
          </w:tcPr>
          <w:p>
            <w:pPr>
              <w:pStyle w:val="TableText"/>
            </w:pPr>
            <w:r>
              <w:t>29.760789</w:t>
            </w:r>
          </w:p>
        </w:tc>
        <w:tc>
          <w:tcPr>
            <w:tcW w:type="dxa" w:w="3672"/>
            <w:vAlign w:val="top"/>
            <w:tcMar>
              <w:top w:w="40" w:type="dxa"/>
              <w:left w:w="65" w:type="dxa"/>
              <w:bottom w:w="35" w:type="dxa"/>
              <w:right w:w="65" w:type="dxa"/>
            </w:tcMar>
          </w:tcPr>
          <w:p>
            <w:pPr>
              <w:pStyle w:val="TableText"/>
            </w:pPr>
            <w:r>
              <w:t>COMPLETE smoke; early 00–01 or late 27–28.</w:t>
            </w:r>
          </w:p>
        </w:tc>
      </w:tr>
      <w:tr>
        <w:trPr>
          <w:cantSplit/>
        </w:trPr>
        <w:tc>
          <w:tcPr>
            <w:tcW w:type="dxa" w:w="2880"/>
            <w:vAlign w:val="top"/>
            <w:tcMar>
              <w:top w:w="40" w:type="dxa"/>
              <w:left w:w="65" w:type="dxa"/>
              <w:bottom w:w="35" w:type="dxa"/>
              <w:right w:w="65" w:type="dxa"/>
            </w:tcMar>
          </w:tcPr>
          <w:p>
            <w:pPr>
              <w:pStyle w:val="TableText"/>
            </w:pPr>
            <w:r>
              <w:rPr>
                <w:rStyle w:val="CodeCharacter"/>
              </w:rPr>
              <w:t>smoke-​late-​semantic-​v1</w:t>
            </w:r>
          </w:p>
        </w:tc>
        <w:tc>
          <w:tcPr>
            <w:tcW w:type="dxa" w:w="792"/>
            <w:vAlign w:val="top"/>
            <w:tcMar>
              <w:top w:w="40" w:type="dxa"/>
              <w:left w:w="65" w:type="dxa"/>
              <w:bottom w:w="35" w:type="dxa"/>
              <w:right w:w="65" w:type="dxa"/>
            </w:tcMar>
          </w:tcPr>
          <w:p>
            <w:pPr>
              <w:pStyle w:val="TableText"/>
            </w:pPr>
            <w:r>
              <w:t>1</w:t>
            </w:r>
          </w:p>
        </w:tc>
        <w:tc>
          <w:tcPr>
            <w:tcW w:type="dxa" w:w="2016"/>
            <w:vAlign w:val="top"/>
            <w:tcMar>
              <w:top w:w="40" w:type="dxa"/>
              <w:left w:w="65" w:type="dxa"/>
              <w:bottom w:w="35" w:type="dxa"/>
              <w:right w:w="65" w:type="dxa"/>
            </w:tcMar>
          </w:tcPr>
          <w:p>
            <w:pPr>
              <w:pStyle w:val="TableText"/>
            </w:pPr>
            <w:r>
              <w:t>54.580873</w:t>
            </w:r>
          </w:p>
        </w:tc>
        <w:tc>
          <w:tcPr>
            <w:tcW w:type="dxa" w:w="3672"/>
            <w:vAlign w:val="top"/>
            <w:tcMar>
              <w:top w:w="40" w:type="dxa"/>
              <w:left w:w="65" w:type="dxa"/>
              <w:bottom w:w="35" w:type="dxa"/>
              <w:right w:w="65" w:type="dxa"/>
            </w:tcMar>
          </w:tcPr>
          <w:p>
            <w:pPr>
              <w:pStyle w:val="TableText"/>
            </w:pPr>
            <w:r>
              <w:t>COMPLETE smoke; early 00–01 or late 27–28.</w:t>
            </w:r>
          </w:p>
        </w:tc>
      </w:tr>
      <w:tr>
        <w:trPr>
          <w:cantSplit/>
        </w:trPr>
        <w:tc>
          <w:tcPr>
            <w:tcW w:type="dxa" w:w="2880"/>
            <w:vAlign w:val="top"/>
            <w:tcMar>
              <w:top w:w="40" w:type="dxa"/>
              <w:left w:w="65" w:type="dxa"/>
              <w:bottom w:w="35" w:type="dxa"/>
              <w:right w:w="65" w:type="dxa"/>
            </w:tcMar>
          </w:tcPr>
          <w:p>
            <w:pPr>
              <w:pStyle w:val="TableText"/>
            </w:pPr>
            <w:r>
              <w:rPr>
                <w:rStyle w:val="CodeCharacter"/>
              </w:rPr>
              <w:t>pilot-semantic-v1</w:t>
            </w:r>
          </w:p>
        </w:tc>
        <w:tc>
          <w:tcPr>
            <w:tcW w:type="dxa" w:w="792"/>
            <w:vAlign w:val="top"/>
            <w:tcMar>
              <w:top w:w="40" w:type="dxa"/>
              <w:left w:w="65" w:type="dxa"/>
              <w:bottom w:w="35" w:type="dxa"/>
              <w:right w:w="65" w:type="dxa"/>
            </w:tcMar>
          </w:tcPr>
          <w:p>
            <w:pPr>
              <w:pStyle w:val="TableText"/>
            </w:pPr>
            <w:r>
              <w:t>7</w:t>
            </w:r>
          </w:p>
        </w:tc>
        <w:tc>
          <w:tcPr>
            <w:tcW w:type="dxa" w:w="2016"/>
            <w:vAlign w:val="top"/>
            <w:tcMar>
              <w:top w:w="40" w:type="dxa"/>
              <w:left w:w="65" w:type="dxa"/>
              <w:bottom w:w="35" w:type="dxa"/>
              <w:right w:w="65" w:type="dxa"/>
            </w:tcMar>
          </w:tcPr>
          <w:p>
            <w:pPr>
              <w:pStyle w:val="TableText"/>
            </w:pPr>
            <w:r>
              <w:t>Not recorded as a full-run total</w:t>
            </w:r>
          </w:p>
        </w:tc>
        <w:tc>
          <w:tcPr>
            <w:tcW w:type="dxa" w:w="3672"/>
            <w:vAlign w:val="top"/>
            <w:tcMar>
              <w:top w:w="40" w:type="dxa"/>
              <w:left w:w="65" w:type="dxa"/>
              <w:bottom w:w="35" w:type="dxa"/>
              <w:right w:w="65" w:type="dxa"/>
            </w:tcMar>
          </w:tcPr>
          <w:p>
            <w:pPr>
              <w:pStyle w:val="TableText"/>
            </w:pPr>
            <w:r>
              <w:t>Failed at revision 08; decode expansion.</w:t>
            </w:r>
          </w:p>
        </w:tc>
      </w:tr>
      <w:tr>
        <w:trPr>
          <w:cantSplit/>
        </w:trPr>
        <w:tc>
          <w:tcPr>
            <w:tcW w:type="dxa" w:w="2880"/>
            <w:vAlign w:val="top"/>
            <w:tcMar>
              <w:top w:w="40" w:type="dxa"/>
              <w:left w:w="65" w:type="dxa"/>
              <w:bottom w:w="35" w:type="dxa"/>
              <w:right w:w="65" w:type="dxa"/>
            </w:tcMar>
          </w:tcPr>
          <w:p>
            <w:pPr>
              <w:pStyle w:val="TableText"/>
            </w:pPr>
            <w:r>
              <w:rPr>
                <w:rStyle w:val="CodeCharacter"/>
              </w:rPr>
              <w:t>smoke-​window-​regression-​v2</w:t>
            </w:r>
          </w:p>
        </w:tc>
        <w:tc>
          <w:tcPr>
            <w:tcW w:type="dxa" w:w="792"/>
            <w:vAlign w:val="top"/>
            <w:tcMar>
              <w:top w:w="40" w:type="dxa"/>
              <w:left w:w="65" w:type="dxa"/>
              <w:bottom w:w="35" w:type="dxa"/>
              <w:right w:w="65" w:type="dxa"/>
            </w:tcMar>
          </w:tcPr>
          <w:p>
            <w:pPr>
              <w:pStyle w:val="TableText"/>
            </w:pPr>
            <w:r>
              <w:t>1</w:t>
            </w:r>
          </w:p>
        </w:tc>
        <w:tc>
          <w:tcPr>
            <w:tcW w:type="dxa" w:w="2016"/>
            <w:vAlign w:val="top"/>
            <w:tcMar>
              <w:top w:w="40" w:type="dxa"/>
              <w:left w:w="65" w:type="dxa"/>
              <w:bottom w:w="35" w:type="dxa"/>
              <w:right w:w="65" w:type="dxa"/>
            </w:tcMar>
          </w:tcPr>
          <w:p>
            <w:pPr>
              <w:pStyle w:val="TableText"/>
            </w:pPr>
            <w:r>
              <w:t>33.887901</w:t>
            </w:r>
          </w:p>
        </w:tc>
        <w:tc>
          <w:tcPr>
            <w:tcW w:type="dxa" w:w="3672"/>
            <w:vAlign w:val="top"/>
            <w:tcMar>
              <w:top w:w="40" w:type="dxa"/>
              <w:left w:w="65" w:type="dxa"/>
              <w:bottom w:w="35" w:type="dxa"/>
              <w:right w:w="65" w:type="dxa"/>
            </w:tcMar>
          </w:tcPr>
          <w:p>
            <w:pPr>
              <w:pStyle w:val="TableText"/>
            </w:pPr>
            <w:r>
              <w:t>Intermediate window-policy smoke; not final inference policy.</w:t>
            </w:r>
          </w:p>
        </w:tc>
      </w:tr>
      <w:tr>
        <w:trPr>
          <w:cantSplit/>
        </w:trPr>
        <w:tc>
          <w:tcPr>
            <w:tcW w:type="dxa" w:w="2880"/>
            <w:vAlign w:val="top"/>
            <w:tcMar>
              <w:top w:w="40" w:type="dxa"/>
              <w:left w:w="65" w:type="dxa"/>
              <w:bottom w:w="35" w:type="dxa"/>
              <w:right w:w="65" w:type="dxa"/>
            </w:tcMar>
          </w:tcPr>
          <w:p>
            <w:pPr>
              <w:pStyle w:val="TableText"/>
            </w:pPr>
            <w:r>
              <w:rPr>
                <w:rStyle w:val="CodeCharacter"/>
              </w:rPr>
              <w:t>pilot-semantic-v3</w:t>
            </w:r>
          </w:p>
        </w:tc>
        <w:tc>
          <w:tcPr>
            <w:tcW w:type="dxa" w:w="792"/>
            <w:vAlign w:val="top"/>
            <w:tcMar>
              <w:top w:w="40" w:type="dxa"/>
              <w:left w:w="65" w:type="dxa"/>
              <w:bottom w:w="35" w:type="dxa"/>
              <w:right w:w="65" w:type="dxa"/>
            </w:tcMar>
          </w:tcPr>
          <w:p>
            <w:pPr>
              <w:pStyle w:val="TableText"/>
            </w:pPr>
            <w:r>
              <w:t>15</w:t>
            </w:r>
          </w:p>
        </w:tc>
        <w:tc>
          <w:tcPr>
            <w:tcW w:type="dxa" w:w="2016"/>
            <w:vAlign w:val="top"/>
            <w:tcMar>
              <w:top w:w="40" w:type="dxa"/>
              <w:left w:w="65" w:type="dxa"/>
              <w:bottom w:w="35" w:type="dxa"/>
              <w:right w:w="65" w:type="dxa"/>
            </w:tcMar>
          </w:tcPr>
          <w:p>
            <w:pPr>
              <w:pStyle w:val="TableText"/>
            </w:pPr>
            <w:r>
              <w:t>Not recorded as a full-run total</w:t>
            </w:r>
          </w:p>
        </w:tc>
        <w:tc>
          <w:tcPr>
            <w:tcW w:type="dxa" w:w="3672"/>
            <w:vAlign w:val="top"/>
            <w:tcMar>
              <w:top w:w="40" w:type="dxa"/>
              <w:left w:w="65" w:type="dxa"/>
              <w:bottom w:w="35" w:type="dxa"/>
              <w:right w:w="65" w:type="dxa"/>
            </w:tcMar>
          </w:tcPr>
          <w:p>
            <w:pPr>
              <w:pStyle w:val="TableText"/>
            </w:pPr>
            <w:r>
              <w:t>Stopped after chronology audit.</w:t>
            </w:r>
          </w:p>
        </w:tc>
      </w:tr>
      <w:tr>
        <w:trPr>
          <w:cantSplit/>
        </w:trPr>
        <w:tc>
          <w:tcPr>
            <w:tcW w:type="dxa" w:w="2880"/>
            <w:vAlign w:val="top"/>
            <w:tcMar>
              <w:top w:w="40" w:type="dxa"/>
              <w:left w:w="65" w:type="dxa"/>
              <w:bottom w:w="35" w:type="dxa"/>
              <w:right w:w="65" w:type="dxa"/>
            </w:tcMar>
          </w:tcPr>
          <w:p>
            <w:pPr>
              <w:pStyle w:val="TableText"/>
            </w:pPr>
            <w:r>
              <w:rPr>
                <w:rStyle w:val="CodeCharacter"/>
              </w:rPr>
              <w:t>pilot-semantic-v4</w:t>
            </w:r>
          </w:p>
        </w:tc>
        <w:tc>
          <w:tcPr>
            <w:tcW w:type="dxa" w:w="792"/>
            <w:vAlign w:val="top"/>
            <w:tcMar>
              <w:top w:w="40" w:type="dxa"/>
              <w:left w:w="65" w:type="dxa"/>
              <w:bottom w:w="35" w:type="dxa"/>
              <w:right w:w="65" w:type="dxa"/>
            </w:tcMar>
          </w:tcPr>
          <w:p>
            <w:pPr>
              <w:pStyle w:val="TableText"/>
            </w:pPr>
            <w:r>
              <w:t>16</w:t>
            </w:r>
          </w:p>
        </w:tc>
        <w:tc>
          <w:tcPr>
            <w:tcW w:type="dxa" w:w="2016"/>
            <w:vAlign w:val="top"/>
            <w:tcMar>
              <w:top w:w="40" w:type="dxa"/>
              <w:left w:w="65" w:type="dxa"/>
              <w:bottom w:w="35" w:type="dxa"/>
              <w:right w:w="65" w:type="dxa"/>
            </w:tcMar>
          </w:tcPr>
          <w:p>
            <w:pPr>
              <w:pStyle w:val="TableText"/>
            </w:pPr>
            <w:r>
              <w:t>Not recorded as a full-run total</w:t>
            </w:r>
          </w:p>
        </w:tc>
        <w:tc>
          <w:tcPr>
            <w:tcW w:type="dxa" w:w="3672"/>
            <w:vAlign w:val="top"/>
            <w:tcMar>
              <w:top w:w="40" w:type="dxa"/>
              <w:left w:w="65" w:type="dxa"/>
              <w:bottom w:w="35" w:type="dxa"/>
              <w:right w:w="65" w:type="dxa"/>
            </w:tcMar>
          </w:tcPr>
          <w:p>
            <w:pPr>
              <w:pStyle w:val="TableText"/>
            </w:pPr>
            <w:r>
              <w:t>Stopped after hash-order audit.</w:t>
            </w:r>
          </w:p>
        </w:tc>
      </w:tr>
      <w:tr>
        <w:trPr>
          <w:cantSplit/>
        </w:trPr>
        <w:tc>
          <w:tcPr>
            <w:tcW w:type="dxa" w:w="2880"/>
            <w:vAlign w:val="top"/>
            <w:tcMar>
              <w:top w:w="40" w:type="dxa"/>
              <w:left w:w="65" w:type="dxa"/>
              <w:bottom w:w="35" w:type="dxa"/>
              <w:right w:w="65" w:type="dxa"/>
            </w:tcMar>
          </w:tcPr>
          <w:p>
            <w:pPr>
              <w:pStyle w:val="TableText"/>
            </w:pPr>
            <w:r>
              <w:rPr>
                <w:rStyle w:val="CodeCharacter"/>
              </w:rPr>
              <w:t>pilot-semantic-v5</w:t>
            </w:r>
          </w:p>
        </w:tc>
        <w:tc>
          <w:tcPr>
            <w:tcW w:type="dxa" w:w="792"/>
            <w:vAlign w:val="top"/>
            <w:tcMar>
              <w:top w:w="40" w:type="dxa"/>
              <w:left w:w="65" w:type="dxa"/>
              <w:bottom w:w="35" w:type="dxa"/>
              <w:right w:w="65" w:type="dxa"/>
            </w:tcMar>
          </w:tcPr>
          <w:p>
            <w:pPr>
              <w:pStyle w:val="TableText"/>
            </w:pPr>
            <w:r>
              <w:t>29</w:t>
            </w:r>
          </w:p>
        </w:tc>
        <w:tc>
          <w:tcPr>
            <w:tcW w:type="dxa" w:w="2016"/>
            <w:vAlign w:val="top"/>
            <w:tcMar>
              <w:top w:w="40" w:type="dxa"/>
              <w:left w:w="65" w:type="dxa"/>
              <w:bottom w:w="35" w:type="dxa"/>
              <w:right w:w="65" w:type="dxa"/>
            </w:tcMar>
          </w:tcPr>
          <w:p>
            <w:pPr>
              <w:pStyle w:val="TableText"/>
            </w:pPr>
            <w:r>
              <w:t>693.598690</w:t>
            </w:r>
          </w:p>
        </w:tc>
        <w:tc>
          <w:tcPr>
            <w:tcW w:type="dxa" w:w="3672"/>
            <w:vAlign w:val="top"/>
            <w:tcMar>
              <w:top w:w="40" w:type="dxa"/>
              <w:left w:w="65" w:type="dxa"/>
              <w:bottom w:w="35" w:type="dxa"/>
              <w:right w:w="65" w:type="dxa"/>
            </w:tcMar>
          </w:tcPr>
          <w:p>
            <w:pPr>
              <w:pStyle w:val="TableText"/>
            </w:pPr>
            <w:r>
              <w:t>COMPLETE; later audit-only correction, artifacts retained.</w:t>
            </w:r>
          </w:p>
        </w:tc>
      </w:tr>
    </w:tbl>
    <w:p>
      <w:pPr>
        <w:spacing w:after="0"/>
      </w:pPr>
    </w:p>
    <w:p>
      <w:pPr/>
      <w:r>
        <w:t xml:space="preserve">The v5 external records are </w:t>
      </w:r>
      <w:r>
        <w:rPr>
          <w:rStyle w:val="CodeCharacter"/>
        </w:rPr>
        <w:t>corpus/​processed/​alignments/​draft-​ietf-​tls-​tls13/​pilot-​semantic-​v5-​validation-​failure.​json</w:t>
      </w:r>
      <w:r>
        <w:t xml:space="preserve"> and </w:t>
      </w:r>
      <w:r>
        <w:rPr>
          <w:rStyle w:val="CodeCharacter"/>
        </w:rPr>
        <w:t>corpus/​processed/​alignments/​draft-​ietf-​tls-​tls13/​pilot-​semantic-​v5-​validation.​json</w:t>
      </w:r>
      <w:r>
        <w:t>. No successful full-run v2 directory exists in the inspected tree; v2 is the named regression smoke run. Earlier failed totals and initialization crash timestamps cannot be reconstructed reliably.</w:t>
      </w:r>
    </w:p>
    <w:p>
      <w:pPr>
        <w:pStyle w:val="Heading2"/>
      </w:pPr>
      <w:r>
        <w:t>Appendix J: Error and correction chronology</w:t>
      </w:r>
    </w:p>
    <w:p>
      <w:pPr/>
      <w:r>
        <w:t>Each issue is distinguished from semantic alignment error. “Test” below identifies either an added regression or the explicitly limited execution evidence when no isolated unit test exists.</w:t>
      </w:r>
    </w:p>
    <w:p>
      <w:pPr>
        <w:pStyle w:val="Heading3"/>
      </w:pPr>
      <w:r>
        <w:t>Windows native imports</w:t>
      </w:r>
    </w:p>
    <w:tbl>
      <w:tblPr>
        <w:tblStyle w:val="TableGrid"/>
        <w:tblW w:type="auto" w:w="0"/>
        <w:jc w:val="center"/>
        <w:tblLayout w:type="fixed"/>
        <w:tblLook w:firstColumn="1" w:firstRow="1" w:lastColumn="0" w:lastRow="0" w:noHBand="0" w:noVBand="1" w:val="04A0"/>
      </w:tblPr>
      <w:tblGrid>
        <w:gridCol w:w="1800"/>
        <w:gridCol w:w="7560"/>
      </w:tblGrid>
      <w:tr>
        <w:trPr>
          <w:tblHeader w:val="true"/>
          <w:cantSplit/>
        </w:trPr>
        <w:tc>
          <w:tcPr>
            <w:tcW w:type="dxa" w:w="1800"/>
            <w:vAlign w:val="top"/>
            <w:tcMar>
              <w:top w:w="40" w:type="dxa"/>
              <w:left w:w="65" w:type="dxa"/>
              <w:bottom w:w="35" w:type="dxa"/>
              <w:right w:w="65" w:type="dxa"/>
            </w:tcMar>
          </w:tcPr>
          <w:p>
            <w:pPr>
              <w:pStyle w:val="TableHeader"/>
            </w:pPr>
            <w:r>
              <w:t>Aspect</w:t>
            </w:r>
          </w:p>
        </w:tc>
        <w:tc>
          <w:tcPr>
            <w:tcW w:type="dxa" w:w="7560"/>
            <w:vAlign w:val="top"/>
            <w:tcMar>
              <w:top w:w="40" w:type="dxa"/>
              <w:left w:w="65" w:type="dxa"/>
              <w:bottom w:w="35" w:type="dxa"/>
              <w:right w:w="65" w:type="dxa"/>
            </w:tcMar>
          </w:tcPr>
          <w:p>
            <w:pPr>
              <w:pStyle w:val="TableHeader"/>
            </w:pPr>
            <w:r>
              <w:t>Evidence</w:t>
            </w:r>
          </w:p>
        </w:tc>
      </w:tr>
      <w:tr>
        <w:trPr>
          <w:cantSplit/>
        </w:trPr>
        <w:tc>
          <w:tcPr>
            <w:tcW w:type="dxa" w:w="1800"/>
            <w:vAlign w:val="top"/>
            <w:tcMar>
              <w:top w:w="40" w:type="dxa"/>
              <w:left w:w="65" w:type="dxa"/>
              <w:bottom w:w="35" w:type="dxa"/>
              <w:right w:w="65" w:type="dxa"/>
            </w:tcMar>
          </w:tcPr>
          <w:p>
            <w:pPr>
              <w:pStyle w:val="TableText"/>
            </w:pPr>
            <w:r>
              <w:t>Symptom</w:t>
            </w:r>
          </w:p>
        </w:tc>
        <w:tc>
          <w:tcPr>
            <w:tcW w:type="dxa" w:w="7560"/>
            <w:vAlign w:val="top"/>
            <w:tcMar>
              <w:top w:w="40" w:type="dxa"/>
              <w:left w:w="65" w:type="dxa"/>
              <w:bottom w:w="35" w:type="dxa"/>
              <w:right w:w="65" w:type="dxa"/>
            </w:tcMar>
          </w:tcPr>
          <w:p>
            <w:pPr>
              <w:pStyle w:val="TableText"/>
            </w:pPr>
            <w:r>
              <w:t>Native numerical/model import failure in the Windows environment.</w:t>
            </w:r>
          </w:p>
        </w:tc>
      </w:tr>
      <w:tr>
        <w:trPr>
          <w:cantSplit/>
        </w:trPr>
        <w:tc>
          <w:tcPr>
            <w:tcW w:type="dxa" w:w="1800"/>
            <w:vAlign w:val="top"/>
            <w:tcMar>
              <w:top w:w="40" w:type="dxa"/>
              <w:left w:w="65" w:type="dxa"/>
              <w:bottom w:w="35" w:type="dxa"/>
              <w:right w:w="65" w:type="dxa"/>
            </w:tcMar>
          </w:tcPr>
          <w:p>
            <w:pPr>
              <w:pStyle w:val="TableText"/>
            </w:pPr>
            <w:r>
              <w:t>Root cause</w:t>
            </w:r>
          </w:p>
        </w:tc>
        <w:tc>
          <w:tcPr>
            <w:tcW w:type="dxa" w:w="7560"/>
            <w:vAlign w:val="top"/>
            <w:tcMar>
              <w:top w:w="40" w:type="dxa"/>
              <w:left w:w="65" w:type="dxa"/>
              <w:bottom w:w="35" w:type="dxa"/>
              <w:right w:w="65" w:type="dxa"/>
            </w:tcMar>
          </w:tcPr>
          <w:p>
            <w:pPr>
              <w:pStyle w:val="TableText"/>
            </w:pPr>
            <w:r>
              <w:t>Environment library search/load order; PyArrow initialization after torch exposed the observed crash.</w:t>
            </w:r>
          </w:p>
        </w:tc>
      </w:tr>
      <w:tr>
        <w:trPr>
          <w:cantSplit/>
        </w:trPr>
        <w:tc>
          <w:tcPr>
            <w:tcW w:type="dxa" w:w="1800"/>
            <w:vAlign w:val="top"/>
            <w:tcMar>
              <w:top w:w="40" w:type="dxa"/>
              <w:left w:w="65" w:type="dxa"/>
              <w:bottom w:w="35" w:type="dxa"/>
              <w:right w:w="65" w:type="dxa"/>
            </w:tcMar>
          </w:tcPr>
          <w:p>
            <w:pPr>
              <w:pStyle w:val="TableText"/>
            </w:pPr>
            <w:r>
              <w:t>Potential impact</w:t>
            </w:r>
          </w:p>
        </w:tc>
        <w:tc>
          <w:tcPr>
            <w:tcW w:type="dxa" w:w="7560"/>
            <w:vAlign w:val="top"/>
            <w:tcMar>
              <w:top w:w="40" w:type="dxa"/>
              <w:left w:w="65" w:type="dxa"/>
              <w:bottom w:w="35" w:type="dxa"/>
              <w:right w:w="65" w:type="dxa"/>
            </w:tcMar>
          </w:tcPr>
          <w:p>
            <w:pPr>
              <w:pStyle w:val="TableText"/>
            </w:pPr>
            <w:r>
              <w:t>Could terminate outside Python failure handling before useful output.</w:t>
            </w:r>
          </w:p>
        </w:tc>
      </w:tr>
      <w:tr>
        <w:trPr>
          <w:cantSplit/>
        </w:trPr>
        <w:tc>
          <w:tcPr>
            <w:tcW w:type="dxa" w:w="1800"/>
            <w:vAlign w:val="top"/>
            <w:tcMar>
              <w:top w:w="40" w:type="dxa"/>
              <w:left w:w="65" w:type="dxa"/>
              <w:bottom w:w="35" w:type="dxa"/>
              <w:right w:w="65" w:type="dxa"/>
            </w:tcMar>
          </w:tcPr>
          <w:p>
            <w:pPr>
              <w:pStyle w:val="TableText"/>
            </w:pPr>
            <w:r>
              <w:t>Corrective action</w:t>
            </w:r>
          </w:p>
        </w:tc>
        <w:tc>
          <w:tcPr>
            <w:tcW w:type="dxa" w:w="7560"/>
            <w:vAlign w:val="top"/>
            <w:tcMar>
              <w:top w:w="40" w:type="dxa"/>
              <w:left w:w="65" w:type="dxa"/>
              <w:bottom w:w="35" w:type="dxa"/>
              <w:right w:w="65" w:type="dxa"/>
            </w:tcMar>
          </w:tcPr>
          <w:p>
            <w:pPr>
              <w:pStyle w:val="TableText"/>
            </w:pPr>
            <w:r>
              <w:t>Use Conda execution and initialize PyArrow first on Windows.</w:t>
            </w:r>
          </w:p>
        </w:tc>
      </w:tr>
      <w:tr>
        <w:trPr>
          <w:cantSplit/>
        </w:trPr>
        <w:tc>
          <w:tcPr>
            <w:tcW w:type="dxa" w:w="1800"/>
            <w:vAlign w:val="top"/>
            <w:tcMar>
              <w:top w:w="40" w:type="dxa"/>
              <w:left w:w="65" w:type="dxa"/>
              <w:bottom w:w="35" w:type="dxa"/>
              <w:right w:w="65" w:type="dxa"/>
            </w:tcMar>
          </w:tcPr>
          <w:p>
            <w:pPr>
              <w:pStyle w:val="TableText"/>
            </w:pPr>
            <w:r>
              <w:t>Test / regression</w:t>
            </w:r>
          </w:p>
        </w:tc>
        <w:tc>
          <w:tcPr>
            <w:tcW w:type="dxa" w:w="7560"/>
            <w:vAlign w:val="top"/>
            <w:tcMar>
              <w:top w:w="40" w:type="dxa"/>
              <w:left w:w="65" w:type="dxa"/>
              <w:bottom w:w="35" w:type="dxa"/>
              <w:right w:w="65" w:type="dxa"/>
            </w:tcMar>
          </w:tcPr>
          <w:p>
            <w:pPr>
              <w:pStyle w:val="TableText"/>
            </w:pPr>
            <w:r>
              <w:t>No isolated native-crash unit test; real pinned-model test and semantic smoke/full execution.</w:t>
            </w:r>
          </w:p>
        </w:tc>
      </w:tr>
      <w:tr>
        <w:trPr>
          <w:cantSplit/>
        </w:trPr>
        <w:tc>
          <w:tcPr>
            <w:tcW w:type="dxa" w:w="1800"/>
            <w:vAlign w:val="top"/>
            <w:tcMar>
              <w:top w:w="40" w:type="dxa"/>
              <w:left w:w="65" w:type="dxa"/>
              <w:bottom w:w="35" w:type="dxa"/>
              <w:right w:w="65" w:type="dxa"/>
            </w:tcMar>
          </w:tcPr>
          <w:p>
            <w:pPr>
              <w:pStyle w:val="TableText"/>
            </w:pPr>
            <w:r>
              <w:t>Final verification</w:t>
            </w:r>
          </w:p>
        </w:tc>
        <w:tc>
          <w:tcPr>
            <w:tcW w:type="dxa" w:w="7560"/>
            <w:vAlign w:val="top"/>
            <w:tcMar>
              <w:top w:w="40" w:type="dxa"/>
              <w:left w:w="65" w:type="dxa"/>
              <w:bottom w:w="35" w:type="dxa"/>
              <w:right w:w="65" w:type="dxa"/>
            </w:tcMar>
          </w:tcPr>
          <w:p>
            <w:pPr>
              <w:pStyle w:val="TableText"/>
            </w:pPr>
            <w:r>
              <w:t>Real-model suite and full TLS run passed; raw native stack unavailable.</w:t>
            </w:r>
          </w:p>
        </w:tc>
      </w:tr>
      <w:tr>
        <w:trPr>
          <w:cantSplit/>
        </w:trPr>
        <w:tc>
          <w:tcPr>
            <w:tcW w:type="dxa" w:w="1800"/>
            <w:vAlign w:val="top"/>
            <w:tcMar>
              <w:top w:w="40" w:type="dxa"/>
              <w:left w:w="65" w:type="dxa"/>
              <w:bottom w:w="35" w:type="dxa"/>
              <w:right w:w="65" w:type="dxa"/>
            </w:tcMar>
          </w:tcPr>
          <w:p>
            <w:pPr>
              <w:pStyle w:val="TableText"/>
            </w:pPr>
            <w:r>
              <w:t>Output disposition</w:t>
            </w:r>
          </w:p>
        </w:tc>
        <w:tc>
          <w:tcPr>
            <w:tcW w:type="dxa" w:w="7560"/>
            <w:vAlign w:val="top"/>
            <w:tcMar>
              <w:top w:w="40" w:type="dxa"/>
              <w:left w:w="65" w:type="dxa"/>
              <w:bottom w:w="35" w:type="dxa"/>
              <w:right w:w="65" w:type="dxa"/>
            </w:tcMar>
          </w:tcPr>
          <w:p>
            <w:pPr>
              <w:pStyle w:val="TableText"/>
            </w:pPr>
            <w:r>
              <w:t>No crashed output promoted; prior material retained.</w:t>
            </w:r>
          </w:p>
        </w:tc>
      </w:tr>
    </w:tbl>
    <w:p>
      <w:pPr>
        <w:spacing w:after="0"/>
      </w:pPr>
    </w:p>
    <w:p>
      <w:pPr>
        <w:pStyle w:val="Heading3"/>
      </w:pPr>
      <w:r>
        <w:t>Long-window expansion</w:t>
      </w:r>
    </w:p>
    <w:tbl>
      <w:tblPr>
        <w:tblStyle w:val="TableGrid"/>
        <w:tblW w:type="auto" w:w="0"/>
        <w:jc w:val="center"/>
        <w:tblLayout w:type="fixed"/>
        <w:tblLook w:firstColumn="1" w:firstRow="1" w:lastColumn="0" w:lastRow="0" w:noHBand="0" w:noVBand="1" w:val="04A0"/>
      </w:tblPr>
      <w:tblGrid>
        <w:gridCol w:w="1800"/>
        <w:gridCol w:w="7560"/>
      </w:tblGrid>
      <w:tr>
        <w:trPr>
          <w:tblHeader w:val="true"/>
          <w:cantSplit/>
        </w:trPr>
        <w:tc>
          <w:tcPr>
            <w:tcW w:type="dxa" w:w="1800"/>
            <w:vAlign w:val="top"/>
            <w:tcMar>
              <w:top w:w="40" w:type="dxa"/>
              <w:left w:w="65" w:type="dxa"/>
              <w:bottom w:w="35" w:type="dxa"/>
              <w:right w:w="65" w:type="dxa"/>
            </w:tcMar>
          </w:tcPr>
          <w:p>
            <w:pPr>
              <w:pStyle w:val="TableHeader"/>
            </w:pPr>
            <w:r>
              <w:t>Aspect</w:t>
            </w:r>
          </w:p>
        </w:tc>
        <w:tc>
          <w:tcPr>
            <w:tcW w:type="dxa" w:w="7560"/>
            <w:vAlign w:val="top"/>
            <w:tcMar>
              <w:top w:w="40" w:type="dxa"/>
              <w:left w:w="65" w:type="dxa"/>
              <w:bottom w:w="35" w:type="dxa"/>
              <w:right w:w="65" w:type="dxa"/>
            </w:tcMar>
          </w:tcPr>
          <w:p>
            <w:pPr>
              <w:pStyle w:val="TableHeader"/>
            </w:pPr>
            <w:r>
              <w:t>Evidence</w:t>
            </w:r>
          </w:p>
        </w:tc>
      </w:tr>
      <w:tr>
        <w:trPr>
          <w:cantSplit/>
        </w:trPr>
        <w:tc>
          <w:tcPr>
            <w:tcW w:type="dxa" w:w="1800"/>
            <w:vAlign w:val="top"/>
            <w:tcMar>
              <w:top w:w="40" w:type="dxa"/>
              <w:left w:w="65" w:type="dxa"/>
              <w:bottom w:w="35" w:type="dxa"/>
              <w:right w:w="65" w:type="dxa"/>
            </w:tcMar>
          </w:tcPr>
          <w:p>
            <w:pPr>
              <w:pStyle w:val="TableText"/>
            </w:pPr>
            <w:r>
              <w:t>Symptom</w:t>
            </w:r>
          </w:p>
        </w:tc>
        <w:tc>
          <w:tcPr>
            <w:tcW w:type="dxa" w:w="7560"/>
            <w:vAlign w:val="top"/>
            <w:tcMar>
              <w:top w:w="40" w:type="dxa"/>
              <w:left w:w="65" w:type="dxa"/>
              <w:bottom w:w="35" w:type="dxa"/>
              <w:right w:w="65" w:type="dxa"/>
            </w:tcMar>
          </w:tcPr>
          <w:p>
            <w:pPr>
              <w:pStyle w:val="TableText"/>
            </w:pPr>
            <w:r>
              <w:t>Full v1 stopped during revision 08 after seven pairs.</w:t>
            </w:r>
          </w:p>
        </w:tc>
      </w:tr>
      <w:tr>
        <w:trPr>
          <w:cantSplit/>
        </w:trPr>
        <w:tc>
          <w:tcPr>
            <w:tcW w:type="dxa" w:w="1800"/>
            <w:vAlign w:val="top"/>
            <w:tcMar>
              <w:top w:w="40" w:type="dxa"/>
              <w:left w:w="65" w:type="dxa"/>
              <w:bottom w:w="35" w:type="dxa"/>
              <w:right w:w="65" w:type="dxa"/>
            </w:tcMar>
          </w:tcPr>
          <w:p>
            <w:pPr>
              <w:pStyle w:val="TableText"/>
            </w:pPr>
            <w:r>
              <w:t>Root cause</w:t>
            </w:r>
          </w:p>
        </w:tc>
        <w:tc>
          <w:tcPr>
            <w:tcW w:type="dxa" w:w="7560"/>
            <w:vAlign w:val="top"/>
            <w:tcMar>
              <w:top w:w="40" w:type="dxa"/>
              <w:left w:w="65" w:type="dxa"/>
              <w:bottom w:w="35" w:type="dxa"/>
              <w:right w:w="65" w:type="dxa"/>
            </w:tcMar>
          </w:tcPr>
          <w:p>
            <w:pPr>
              <w:pStyle w:val="TableText"/>
            </w:pPr>
            <w:r>
              <w:t>Decoded token slices retokenized longer than the 254-ID content budget.</w:t>
            </w:r>
          </w:p>
        </w:tc>
      </w:tr>
      <w:tr>
        <w:trPr>
          <w:cantSplit/>
        </w:trPr>
        <w:tc>
          <w:tcPr>
            <w:tcW w:type="dxa" w:w="1800"/>
            <w:vAlign w:val="top"/>
            <w:tcMar>
              <w:top w:w="40" w:type="dxa"/>
              <w:left w:w="65" w:type="dxa"/>
              <w:bottom w:w="35" w:type="dxa"/>
              <w:right w:w="65" w:type="dxa"/>
            </w:tcMar>
          </w:tcPr>
          <w:p>
            <w:pPr>
              <w:pStyle w:val="TableText"/>
            </w:pPr>
            <w:r>
              <w:t>Potential impact</w:t>
            </w:r>
          </w:p>
        </w:tc>
        <w:tc>
          <w:tcPr>
            <w:tcW w:type="dxa" w:w="7560"/>
            <w:vAlign w:val="top"/>
            <w:tcMar>
              <w:top w:w="40" w:type="dxa"/>
              <w:left w:w="65" w:type="dxa"/>
              <w:bottom w:w="35" w:type="dxa"/>
              <w:right w:w="65" w:type="dxa"/>
            </w:tcMar>
          </w:tcPr>
          <w:p>
            <w:pPr>
              <w:pStyle w:val="TableText"/>
            </w:pPr>
            <w:r>
              <w:t>Overlength inference or silent loss if truncation were allowed.</w:t>
            </w:r>
          </w:p>
        </w:tc>
      </w:tr>
      <w:tr>
        <w:trPr>
          <w:cantSplit/>
        </w:trPr>
        <w:tc>
          <w:tcPr>
            <w:tcW w:type="dxa" w:w="1800"/>
            <w:vAlign w:val="top"/>
            <w:tcMar>
              <w:top w:w="40" w:type="dxa"/>
              <w:left w:w="65" w:type="dxa"/>
              <w:bottom w:w="35" w:type="dxa"/>
              <w:right w:w="65" w:type="dxa"/>
            </w:tcMar>
          </w:tcPr>
          <w:p>
            <w:pPr>
              <w:pStyle w:val="TableText"/>
            </w:pPr>
            <w:r>
              <w:t>Corrective action</w:t>
            </w:r>
          </w:p>
        </w:tc>
        <w:tc>
          <w:tcPr>
            <w:tcW w:type="dxa" w:w="7560"/>
            <w:vAlign w:val="top"/>
            <w:tcMar>
              <w:top w:w="40" w:type="dxa"/>
              <w:left w:w="65" w:type="dxa"/>
              <w:bottom w:w="35" w:type="dxa"/>
              <w:right w:w="65" w:type="dxa"/>
            </w:tcMar>
          </w:tcPr>
          <w:p>
            <w:pPr>
              <w:pStyle w:val="TableText"/>
            </w:pPr>
            <w:r>
              <w:t>Original-ID windows; explicit special-token and padded-batch checks.</w:t>
            </w:r>
          </w:p>
        </w:tc>
      </w:tr>
      <w:tr>
        <w:trPr>
          <w:cantSplit/>
        </w:trPr>
        <w:tc>
          <w:tcPr>
            <w:tcW w:type="dxa" w:w="1800"/>
            <w:vAlign w:val="top"/>
            <w:tcMar>
              <w:top w:w="40" w:type="dxa"/>
              <w:left w:w="65" w:type="dxa"/>
              <w:bottom w:w="35" w:type="dxa"/>
              <w:right w:w="65" w:type="dxa"/>
            </w:tcMar>
          </w:tcPr>
          <w:p>
            <w:pPr>
              <w:pStyle w:val="TableText"/>
            </w:pPr>
            <w:r>
              <w:t>Test / regression</w:t>
            </w:r>
          </w:p>
        </w:tc>
        <w:tc>
          <w:tcPr>
            <w:tcW w:type="dxa" w:w="7560"/>
            <w:vAlign w:val="top"/>
            <w:tcMar>
              <w:top w:w="40" w:type="dxa"/>
              <w:left w:w="65" w:type="dxa"/>
              <w:bottom w:w="35" w:type="dxa"/>
              <w:right w:w="65" w:type="dxa"/>
            </w:tcMar>
          </w:tcPr>
          <w:p>
            <w:pPr>
              <w:pStyle w:val="TableText"/>
            </w:pPr>
            <w:r>
              <w:t>Actual 935-ID fixture; at/over limit, long, punctuation, blank, overlap and coverage tests.</w:t>
            </w:r>
          </w:p>
        </w:tc>
      </w:tr>
      <w:tr>
        <w:trPr>
          <w:cantSplit/>
        </w:trPr>
        <w:tc>
          <w:tcPr>
            <w:tcW w:type="dxa" w:w="1800"/>
            <w:vAlign w:val="top"/>
            <w:tcMar>
              <w:top w:w="40" w:type="dxa"/>
              <w:left w:w="65" w:type="dxa"/>
              <w:bottom w:w="35" w:type="dxa"/>
              <w:right w:w="65" w:type="dxa"/>
            </w:tcMar>
          </w:tcPr>
          <w:p>
            <w:pPr>
              <w:pStyle w:val="TableText"/>
            </w:pPr>
            <w:r>
              <w:t>Final verification</w:t>
            </w:r>
          </w:p>
        </w:tc>
        <w:tc>
          <w:tcPr>
            <w:tcW w:type="dxa" w:w="7560"/>
            <w:vAlign w:val="top"/>
            <w:tcMar>
              <w:top w:w="40" w:type="dxa"/>
              <w:left w:w="65" w:type="dxa"/>
              <w:bottom w:w="35" w:type="dxa"/>
              <w:right w:w="65" w:type="dxa"/>
            </w:tcMar>
          </w:tcPr>
          <w:p>
            <w:pPr>
              <w:pStyle w:val="TableText"/>
            </w:pPr>
            <w:r>
              <w:t>All 52,361 final windows pass; TLS-08 has five complete windows.</w:t>
            </w:r>
          </w:p>
        </w:tc>
      </w:tr>
      <w:tr>
        <w:trPr>
          <w:cantSplit/>
        </w:trPr>
        <w:tc>
          <w:tcPr>
            <w:tcW w:type="dxa" w:w="1800"/>
            <w:vAlign w:val="top"/>
            <w:tcMar>
              <w:top w:w="40" w:type="dxa"/>
              <w:left w:w="65" w:type="dxa"/>
              <w:bottom w:w="35" w:type="dxa"/>
              <w:right w:w="65" w:type="dxa"/>
            </w:tcMar>
          </w:tcPr>
          <w:p>
            <w:pPr>
              <w:pStyle w:val="TableText"/>
            </w:pPr>
            <w:r>
              <w:t>Output disposition</w:t>
            </w:r>
          </w:p>
        </w:tc>
        <w:tc>
          <w:tcPr>
            <w:tcW w:type="dxa" w:w="7560"/>
            <w:vAlign w:val="top"/>
            <w:tcMar>
              <w:top w:w="40" w:type="dxa"/>
              <w:left w:w="65" w:type="dxa"/>
              <w:bottom w:w="35" w:type="dxa"/>
              <w:right w:w="65" w:type="dxa"/>
            </w:tcMar>
          </w:tcPr>
          <w:p>
            <w:pPr>
              <w:pStyle w:val="TableText"/>
            </w:pPr>
            <w:r>
              <w:t>v1 retained; old-policy caches kept separate; new full-run directory.</w:t>
            </w:r>
          </w:p>
        </w:tc>
      </w:tr>
    </w:tbl>
    <w:p>
      <w:pPr>
        <w:spacing w:after="0"/>
      </w:pPr>
    </w:p>
    <w:p>
      <w:pPr>
        <w:pStyle w:val="Heading3"/>
      </w:pPr>
      <w:r>
        <w:t>Tokenizer API compatibility</w:t>
      </w:r>
    </w:p>
    <w:tbl>
      <w:tblPr>
        <w:tblStyle w:val="TableGrid"/>
        <w:tblW w:type="auto" w:w="0"/>
        <w:jc w:val="center"/>
        <w:tblLayout w:type="fixed"/>
        <w:tblLook w:firstColumn="1" w:firstRow="1" w:lastColumn="0" w:lastRow="0" w:noHBand="0" w:noVBand="1" w:val="04A0"/>
      </w:tblPr>
      <w:tblGrid>
        <w:gridCol w:w="1800"/>
        <w:gridCol w:w="7560"/>
      </w:tblGrid>
      <w:tr>
        <w:trPr>
          <w:tblHeader w:val="true"/>
          <w:cantSplit/>
        </w:trPr>
        <w:tc>
          <w:tcPr>
            <w:tcW w:type="dxa" w:w="1800"/>
            <w:vAlign w:val="top"/>
            <w:tcMar>
              <w:top w:w="40" w:type="dxa"/>
              <w:left w:w="65" w:type="dxa"/>
              <w:bottom w:w="35" w:type="dxa"/>
              <w:right w:w="65" w:type="dxa"/>
            </w:tcMar>
          </w:tcPr>
          <w:p>
            <w:pPr>
              <w:pStyle w:val="TableHeader"/>
            </w:pPr>
            <w:r>
              <w:t>Aspect</w:t>
            </w:r>
          </w:p>
        </w:tc>
        <w:tc>
          <w:tcPr>
            <w:tcW w:type="dxa" w:w="7560"/>
            <w:vAlign w:val="top"/>
            <w:tcMar>
              <w:top w:w="40" w:type="dxa"/>
              <w:left w:w="65" w:type="dxa"/>
              <w:bottom w:w="35" w:type="dxa"/>
              <w:right w:w="65" w:type="dxa"/>
            </w:tcMar>
          </w:tcPr>
          <w:p>
            <w:pPr>
              <w:pStyle w:val="TableHeader"/>
            </w:pPr>
            <w:r>
              <w:t>Evidence</w:t>
            </w:r>
          </w:p>
        </w:tc>
      </w:tr>
      <w:tr>
        <w:trPr>
          <w:cantSplit/>
        </w:trPr>
        <w:tc>
          <w:tcPr>
            <w:tcW w:type="dxa" w:w="1800"/>
            <w:vAlign w:val="top"/>
            <w:tcMar>
              <w:top w:w="40" w:type="dxa"/>
              <w:left w:w="65" w:type="dxa"/>
              <w:bottom w:w="35" w:type="dxa"/>
              <w:right w:w="65" w:type="dxa"/>
            </w:tcMar>
          </w:tcPr>
          <w:p>
            <w:pPr>
              <w:pStyle w:val="TableText"/>
            </w:pPr>
            <w:r>
              <w:t>Symptom</w:t>
            </w:r>
          </w:p>
        </w:tc>
        <w:tc>
          <w:tcPr>
            <w:tcW w:type="dxa" w:w="7560"/>
            <w:vAlign w:val="top"/>
            <w:tcMar>
              <w:top w:w="40" w:type="dxa"/>
              <w:left w:w="65" w:type="dxa"/>
              <w:bottom w:w="35" w:type="dxa"/>
              <w:right w:w="65" w:type="dxa"/>
            </w:tcMar>
          </w:tcPr>
          <w:p>
            <w:pPr>
              <w:pStyle w:val="TableText"/>
            </w:pPr>
            <w:r>
              <w:t>Legacy prepare_for_model unavailable in the installed tokenizer API.</w:t>
            </w:r>
          </w:p>
        </w:tc>
      </w:tr>
      <w:tr>
        <w:trPr>
          <w:cantSplit/>
        </w:trPr>
        <w:tc>
          <w:tcPr>
            <w:tcW w:type="dxa" w:w="1800"/>
            <w:vAlign w:val="top"/>
            <w:tcMar>
              <w:top w:w="40" w:type="dxa"/>
              <w:left w:w="65" w:type="dxa"/>
              <w:bottom w:w="35" w:type="dxa"/>
              <w:right w:w="65" w:type="dxa"/>
            </w:tcMar>
          </w:tcPr>
          <w:p>
            <w:pPr>
              <w:pStyle w:val="TableText"/>
            </w:pPr>
            <w:r>
              <w:t>Root cause</w:t>
            </w:r>
          </w:p>
        </w:tc>
        <w:tc>
          <w:tcPr>
            <w:tcW w:type="dxa" w:w="7560"/>
            <w:vAlign w:val="top"/>
            <w:tcMar>
              <w:top w:w="40" w:type="dxa"/>
              <w:left w:w="65" w:type="dxa"/>
              <w:bottom w:w="35" w:type="dxa"/>
              <w:right w:w="65" w:type="dxa"/>
            </w:tcMar>
          </w:tcPr>
          <w:p>
            <w:pPr>
              <w:pStyle w:val="TableText"/>
            </w:pPr>
            <w:r>
              <w:t>Transformers API changed; direct-ID preparation needed a compatible path.</w:t>
            </w:r>
          </w:p>
        </w:tc>
      </w:tr>
      <w:tr>
        <w:trPr>
          <w:cantSplit/>
        </w:trPr>
        <w:tc>
          <w:tcPr>
            <w:tcW w:type="dxa" w:w="1800"/>
            <w:vAlign w:val="top"/>
            <w:tcMar>
              <w:top w:w="40" w:type="dxa"/>
              <w:left w:w="65" w:type="dxa"/>
              <w:bottom w:w="35" w:type="dxa"/>
              <w:right w:w="65" w:type="dxa"/>
            </w:tcMar>
          </w:tcPr>
          <w:p>
            <w:pPr>
              <w:pStyle w:val="TableText"/>
            </w:pPr>
            <w:r>
              <w:t>Potential impact</w:t>
            </w:r>
          </w:p>
        </w:tc>
        <w:tc>
          <w:tcPr>
            <w:tcW w:type="dxa" w:w="7560"/>
            <w:vAlign w:val="top"/>
            <w:tcMar>
              <w:top w:w="40" w:type="dxa"/>
              <w:left w:w="65" w:type="dxa"/>
              <w:bottom w:w="35" w:type="dxa"/>
              <w:right w:w="65" w:type="dxa"/>
            </w:tcMar>
          </w:tcPr>
          <w:p>
            <w:pPr>
              <w:pStyle w:val="TableText"/>
            </w:pPr>
            <w:r>
              <w:t>Incorrect special-token template or reintroduction of decode/retokenize.</w:t>
            </w:r>
          </w:p>
        </w:tc>
      </w:tr>
      <w:tr>
        <w:trPr>
          <w:cantSplit/>
        </w:trPr>
        <w:tc>
          <w:tcPr>
            <w:tcW w:type="dxa" w:w="1800"/>
            <w:vAlign w:val="top"/>
            <w:tcMar>
              <w:top w:w="40" w:type="dxa"/>
              <w:left w:w="65" w:type="dxa"/>
              <w:bottom w:w="35" w:type="dxa"/>
              <w:right w:w="65" w:type="dxa"/>
            </w:tcMar>
          </w:tcPr>
          <w:p>
            <w:pPr>
              <w:pStyle w:val="TableText"/>
            </w:pPr>
            <w:r>
              <w:t>Corrective action</w:t>
            </w:r>
          </w:p>
        </w:tc>
        <w:tc>
          <w:tcPr>
            <w:tcW w:type="dxa" w:w="7560"/>
            <w:vAlign w:val="top"/>
            <w:tcMar>
              <w:top w:w="40" w:type="dxa"/>
              <w:left w:w="65" w:type="dxa"/>
              <w:bottom w:w="35" w:type="dxa"/>
              <w:right w:w="65" w:type="dxa"/>
            </w:tcMar>
          </w:tcPr>
          <w:p>
            <w:pPr>
              <w:pStyle w:val="TableText"/>
            </w:pPr>
            <w:r>
              <w:t>Use legacy method when present; otherwise validate and construct supported BERT template.</w:t>
            </w:r>
          </w:p>
        </w:tc>
      </w:tr>
      <w:tr>
        <w:trPr>
          <w:cantSplit/>
        </w:trPr>
        <w:tc>
          <w:tcPr>
            <w:tcW w:type="dxa" w:w="1800"/>
            <w:vAlign w:val="top"/>
            <w:tcMar>
              <w:top w:w="40" w:type="dxa"/>
              <w:left w:w="65" w:type="dxa"/>
              <w:bottom w:w="35" w:type="dxa"/>
              <w:right w:w="65" w:type="dxa"/>
            </w:tcMar>
          </w:tcPr>
          <w:p>
            <w:pPr>
              <w:pStyle w:val="TableText"/>
            </w:pPr>
            <w:r>
              <w:t>Test / regression</w:t>
            </w:r>
          </w:p>
        </w:tc>
        <w:tc>
          <w:tcPr>
            <w:tcW w:type="dxa" w:w="7560"/>
            <w:vAlign w:val="top"/>
            <w:tcMar>
              <w:top w:w="40" w:type="dxa"/>
              <w:left w:w="65" w:type="dxa"/>
              <w:bottom w:w="35" w:type="dxa"/>
              <w:right w:w="65" w:type="dxa"/>
            </w:tcMar>
          </w:tcPr>
          <w:p>
            <w:pPr>
              <w:pStyle w:val="TableText"/>
            </w:pPr>
            <w:r>
              <w:t>Fake legacy preparation and actual current pinned-model regression.</w:t>
            </w:r>
          </w:p>
        </w:tc>
      </w:tr>
      <w:tr>
        <w:trPr>
          <w:cantSplit/>
        </w:trPr>
        <w:tc>
          <w:tcPr>
            <w:tcW w:type="dxa" w:w="1800"/>
            <w:vAlign w:val="top"/>
            <w:tcMar>
              <w:top w:w="40" w:type="dxa"/>
              <w:left w:w="65" w:type="dxa"/>
              <w:bottom w:w="35" w:type="dxa"/>
              <w:right w:w="65" w:type="dxa"/>
            </w:tcMar>
          </w:tcPr>
          <w:p>
            <w:pPr>
              <w:pStyle w:val="TableText"/>
            </w:pPr>
            <w:r>
              <w:t>Final verification</w:t>
            </w:r>
          </w:p>
        </w:tc>
        <w:tc>
          <w:tcPr>
            <w:tcW w:type="dxa" w:w="7560"/>
            <w:vAlign w:val="top"/>
            <w:tcMar>
              <w:top w:w="40" w:type="dxa"/>
              <w:left w:w="65" w:type="dxa"/>
              <w:bottom w:w="35" w:type="dxa"/>
              <w:right w:w="65" w:type="dxa"/>
            </w:tcMar>
          </w:tcPr>
          <w:p>
            <w:pPr>
              <w:pStyle w:val="TableText"/>
            </w:pPr>
            <w:r>
              <w:t>Real-model test and final inference passed.</w:t>
            </w:r>
          </w:p>
        </w:tc>
      </w:tr>
      <w:tr>
        <w:trPr>
          <w:cantSplit/>
        </w:trPr>
        <w:tc>
          <w:tcPr>
            <w:tcW w:type="dxa" w:w="1800"/>
            <w:vAlign w:val="top"/>
            <w:tcMar>
              <w:top w:w="40" w:type="dxa"/>
              <w:left w:w="65" w:type="dxa"/>
              <w:bottom w:w="35" w:type="dxa"/>
              <w:right w:w="65" w:type="dxa"/>
            </w:tcMar>
          </w:tcPr>
          <w:p>
            <w:pPr>
              <w:pStyle w:val="TableText"/>
            </w:pPr>
            <w:r>
              <w:t>Output disposition</w:t>
            </w:r>
          </w:p>
        </w:tc>
        <w:tc>
          <w:tcPr>
            <w:tcW w:type="dxa" w:w="7560"/>
            <w:vAlign w:val="top"/>
            <w:tcMar>
              <w:top w:w="40" w:type="dxa"/>
              <w:left w:w="65" w:type="dxa"/>
              <w:bottom w:w="35" w:type="dxa"/>
              <w:right w:w="65" w:type="dxa"/>
            </w:tcMar>
          </w:tcPr>
          <w:p>
            <w:pPr>
              <w:pStyle w:val="TableText"/>
            </w:pPr>
            <w:r>
              <w:t>No model package patched; cache policy identifies corrected path.</w:t>
            </w:r>
          </w:p>
        </w:tc>
      </w:tr>
    </w:tbl>
    <w:p>
      <w:pPr>
        <w:spacing w:after="0"/>
      </w:pPr>
    </w:p>
    <w:p>
      <w:pPr>
        <w:pStyle w:val="Heading3"/>
      </w:pPr>
      <w:r>
        <w:t>Same-day chronology</w:t>
      </w:r>
    </w:p>
    <w:tbl>
      <w:tblPr>
        <w:tblStyle w:val="TableGrid"/>
        <w:tblW w:type="auto" w:w="0"/>
        <w:jc w:val="center"/>
        <w:tblLayout w:type="fixed"/>
        <w:tblLook w:firstColumn="1" w:firstRow="1" w:lastColumn="0" w:lastRow="0" w:noHBand="0" w:noVBand="1" w:val="04A0"/>
      </w:tblPr>
      <w:tblGrid>
        <w:gridCol w:w="1800"/>
        <w:gridCol w:w="7560"/>
      </w:tblGrid>
      <w:tr>
        <w:trPr>
          <w:tblHeader w:val="true"/>
          <w:cantSplit/>
        </w:trPr>
        <w:tc>
          <w:tcPr>
            <w:tcW w:type="dxa" w:w="1800"/>
            <w:vAlign w:val="top"/>
            <w:tcMar>
              <w:top w:w="40" w:type="dxa"/>
              <w:left w:w="65" w:type="dxa"/>
              <w:bottom w:w="35" w:type="dxa"/>
              <w:right w:w="65" w:type="dxa"/>
            </w:tcMar>
          </w:tcPr>
          <w:p>
            <w:pPr>
              <w:pStyle w:val="TableHeader"/>
            </w:pPr>
            <w:r>
              <w:t>Aspect</w:t>
            </w:r>
          </w:p>
        </w:tc>
        <w:tc>
          <w:tcPr>
            <w:tcW w:type="dxa" w:w="7560"/>
            <w:vAlign w:val="top"/>
            <w:tcMar>
              <w:top w:w="40" w:type="dxa"/>
              <w:left w:w="65" w:type="dxa"/>
              <w:bottom w:w="35" w:type="dxa"/>
              <w:right w:w="65" w:type="dxa"/>
            </w:tcMar>
          </w:tcPr>
          <w:p>
            <w:pPr>
              <w:pStyle w:val="TableHeader"/>
            </w:pPr>
            <w:r>
              <w:t>Evidence</w:t>
            </w:r>
          </w:p>
        </w:tc>
      </w:tr>
      <w:tr>
        <w:trPr>
          <w:cantSplit/>
        </w:trPr>
        <w:tc>
          <w:tcPr>
            <w:tcW w:type="dxa" w:w="1800"/>
            <w:vAlign w:val="top"/>
            <w:tcMar>
              <w:top w:w="40" w:type="dxa"/>
              <w:left w:w="65" w:type="dxa"/>
              <w:bottom w:w="35" w:type="dxa"/>
              <w:right w:w="65" w:type="dxa"/>
            </w:tcMar>
          </w:tcPr>
          <w:p>
            <w:pPr>
              <w:pStyle w:val="TableText"/>
            </w:pPr>
            <w:r>
              <w:t>Symptom</w:t>
            </w:r>
          </w:p>
        </w:tc>
        <w:tc>
          <w:tcPr>
            <w:tcW w:type="dxa" w:w="7560"/>
            <w:vAlign w:val="top"/>
            <w:tcMar>
              <w:top w:w="40" w:type="dxa"/>
              <w:left w:w="65" w:type="dxa"/>
              <w:bottom w:w="35" w:type="dxa"/>
              <w:right w:w="65" w:type="dxa"/>
            </w:tcMar>
          </w:tcPr>
          <w:p>
            <w:pPr>
              <w:pStyle w:val="TableText"/>
            </w:pPr>
            <w:r>
              <w:t>Temporal policy rejected TLS-00 history for TLS-01.</w:t>
            </w:r>
          </w:p>
        </w:tc>
      </w:tr>
      <w:tr>
        <w:trPr>
          <w:cantSplit/>
        </w:trPr>
        <w:tc>
          <w:tcPr>
            <w:tcW w:type="dxa" w:w="1800"/>
            <w:vAlign w:val="top"/>
            <w:tcMar>
              <w:top w:w="40" w:type="dxa"/>
              <w:left w:w="65" w:type="dxa"/>
              <w:bottom w:w="35" w:type="dxa"/>
              <w:right w:w="65" w:type="dxa"/>
            </w:tcMar>
          </w:tcPr>
          <w:p>
            <w:pPr>
              <w:pStyle w:val="TableText"/>
            </w:pPr>
            <w:r>
              <w:t>Root cause</w:t>
            </w:r>
          </w:p>
        </w:tc>
        <w:tc>
          <w:tcPr>
            <w:tcW w:type="dxa" w:w="7560"/>
            <w:vAlign w:val="top"/>
            <w:tcMar>
              <w:top w:w="40" w:type="dxa"/>
              <w:left w:w="65" w:type="dxa"/>
              <w:bottom w:w="35" w:type="dxa"/>
              <w:right w:w="65" w:type="dxa"/>
            </w:tcMar>
          </w:tcPr>
          <w:p>
            <w:pPr>
              <w:pStyle w:val="TableText"/>
            </w:pPr>
            <w:r>
              <w:t>Both submissions dated 2014-04-17; generic same-day external rule was too broad.</w:t>
            </w:r>
          </w:p>
        </w:tc>
      </w:tr>
      <w:tr>
        <w:trPr>
          <w:cantSplit/>
        </w:trPr>
        <w:tc>
          <w:tcPr>
            <w:tcW w:type="dxa" w:w="1800"/>
            <w:vAlign w:val="top"/>
            <w:tcMar>
              <w:top w:w="40" w:type="dxa"/>
              <w:left w:w="65" w:type="dxa"/>
              <w:bottom w:w="35" w:type="dxa"/>
              <w:right w:w="65" w:type="dxa"/>
            </w:tcMar>
          </w:tcPr>
          <w:p>
            <w:pPr>
              <w:pStyle w:val="TableText"/>
            </w:pPr>
            <w:r>
              <w:t>Potential impact</w:t>
            </w:r>
          </w:p>
        </w:tc>
        <w:tc>
          <w:tcPr>
            <w:tcW w:type="dxa" w:w="7560"/>
            <w:vAlign w:val="top"/>
            <w:tcMar>
              <w:top w:w="40" w:type="dxa"/>
              <w:left w:w="65" w:type="dxa"/>
              <w:bottom w:w="35" w:type="dxa"/>
              <w:right w:w="65" w:type="dxa"/>
            </w:tcMar>
          </w:tcPr>
          <w:p>
            <w:pPr>
              <w:pStyle w:val="TableText"/>
            </w:pPr>
            <w:r>
              <w:t>Valid features blocked, or unsafe external admission if relaxed globally.</w:t>
            </w:r>
          </w:p>
        </w:tc>
      </w:tr>
      <w:tr>
        <w:trPr>
          <w:cantSplit/>
        </w:trPr>
        <w:tc>
          <w:tcPr>
            <w:tcW w:type="dxa" w:w="1800"/>
            <w:vAlign w:val="top"/>
            <w:tcMar>
              <w:top w:w="40" w:type="dxa"/>
              <w:left w:w="65" w:type="dxa"/>
              <w:bottom w:w="35" w:type="dxa"/>
              <w:right w:w="65" w:type="dxa"/>
            </w:tcMar>
          </w:tcPr>
          <w:p>
            <w:pPr>
              <w:pStyle w:val="TableText"/>
            </w:pPr>
            <w:r>
              <w:t>Corrective action</w:t>
            </w:r>
          </w:p>
        </w:tc>
        <w:tc>
          <w:tcPr>
            <w:tcW w:type="dxa" w:w="7560"/>
            <w:vAlign w:val="top"/>
            <w:tcMar>
              <w:top w:w="40" w:type="dxa"/>
              <w:left w:w="65" w:type="dxa"/>
              <w:bottom w:w="35" w:type="dxa"/>
              <w:right w:w="65" w:type="dxa"/>
            </w:tcMar>
          </w:tcPr>
          <w:p>
            <w:pPr>
              <w:pStyle w:val="TableText"/>
            </w:pPr>
            <w:r>
              <w:t>Admit validated same-family numerical predecessors only; preflight all targets.</w:t>
            </w:r>
          </w:p>
        </w:tc>
      </w:tr>
      <w:tr>
        <w:trPr>
          <w:cantSplit/>
        </w:trPr>
        <w:tc>
          <w:tcPr>
            <w:tcW w:type="dxa" w:w="1800"/>
            <w:vAlign w:val="top"/>
            <w:tcMar>
              <w:top w:w="40" w:type="dxa"/>
              <w:left w:w="65" w:type="dxa"/>
              <w:bottom w:w="35" w:type="dxa"/>
              <w:right w:w="65" w:type="dxa"/>
            </w:tcMar>
          </w:tcPr>
          <w:p>
            <w:pPr>
              <w:pStyle w:val="TableText"/>
            </w:pPr>
            <w:r>
              <w:t>Test / regression</w:t>
            </w:r>
          </w:p>
        </w:tc>
        <w:tc>
          <w:tcPr>
            <w:tcW w:type="dxa" w:w="7560"/>
            <w:vAlign w:val="top"/>
            <w:tcMar>
              <w:top w:w="40" w:type="dxa"/>
              <w:left w:w="65" w:type="dxa"/>
              <w:bottom w:w="35" w:type="dxa"/>
              <w:right w:w="65" w:type="dxa"/>
            </w:tcMar>
          </w:tcPr>
          <w:p>
            <w:pPr>
              <w:pStyle w:val="TableText"/>
            </w:pPr>
            <w:r>
              <w:t>Actual same-day draft regression; later revision and external same-day rejection.</w:t>
            </w:r>
          </w:p>
        </w:tc>
      </w:tr>
      <w:tr>
        <w:trPr>
          <w:cantSplit/>
        </w:trPr>
        <w:tc>
          <w:tcPr>
            <w:tcW w:type="dxa" w:w="1800"/>
            <w:vAlign w:val="top"/>
            <w:tcMar>
              <w:top w:w="40" w:type="dxa"/>
              <w:left w:w="65" w:type="dxa"/>
              <w:bottom w:w="35" w:type="dxa"/>
              <w:right w:w="65" w:type="dxa"/>
            </w:tcMar>
          </w:tcPr>
          <w:p>
            <w:pPr>
              <w:pStyle w:val="TableText"/>
            </w:pPr>
            <w:r>
              <w:t>Final verification</w:t>
            </w:r>
          </w:p>
        </w:tc>
        <w:tc>
          <w:tcPr>
            <w:tcW w:type="dxa" w:w="7560"/>
            <w:vAlign w:val="top"/>
            <w:tcMar>
              <w:top w:w="40" w:type="dxa"/>
              <w:left w:w="65" w:type="dxa"/>
              <w:bottom w:w="35" w:type="dxa"/>
              <w:right w:w="65" w:type="dxa"/>
            </w:tcMar>
          </w:tcPr>
          <w:p>
            <w:pPr>
              <w:pStyle w:val="TableText"/>
            </w:pPr>
            <w:r>
              <w:t>All 29 feature prefixes and serialized dependencies passed.</w:t>
            </w:r>
          </w:p>
        </w:tc>
      </w:tr>
      <w:tr>
        <w:trPr>
          <w:cantSplit/>
        </w:trPr>
        <w:tc>
          <w:tcPr>
            <w:tcW w:type="dxa" w:w="1800"/>
            <w:vAlign w:val="top"/>
            <w:tcMar>
              <w:top w:w="40" w:type="dxa"/>
              <w:left w:w="65" w:type="dxa"/>
              <w:bottom w:w="35" w:type="dxa"/>
              <w:right w:w="65" w:type="dxa"/>
            </w:tcMar>
          </w:tcPr>
          <w:p>
            <w:pPr>
              <w:pStyle w:val="TableText"/>
            </w:pPr>
            <w:r>
              <w:t>Output disposition</w:t>
            </w:r>
          </w:p>
        </w:tc>
        <w:tc>
          <w:tcPr>
            <w:tcW w:type="dxa" w:w="7560"/>
            <w:vAlign w:val="top"/>
            <w:tcMar>
              <w:top w:w="40" w:type="dxa"/>
              <w:left w:w="65" w:type="dxa"/>
              <w:bottom w:w="35" w:type="dxa"/>
              <w:right w:w="65" w:type="dxa"/>
            </w:tcMar>
          </w:tcPr>
          <w:p>
            <w:pPr>
              <w:pStyle w:val="TableText"/>
            </w:pPr>
            <w:r>
              <w:t>v3 stopped and preserved; v4/v5 used new directories.</w:t>
            </w:r>
          </w:p>
        </w:tc>
      </w:tr>
    </w:tbl>
    <w:p>
      <w:pPr>
        <w:spacing w:after="0"/>
      </w:pPr>
    </w:p>
    <w:p>
      <w:pPr>
        <w:pStyle w:val="Heading3"/>
      </w:pPr>
      <w:r>
        <w:t>Hash-order ties</w:t>
      </w:r>
    </w:p>
    <w:tbl>
      <w:tblPr>
        <w:tblStyle w:val="TableGrid"/>
        <w:tblW w:type="auto" w:w="0"/>
        <w:jc w:val="center"/>
        <w:tblLayout w:type="fixed"/>
        <w:tblLook w:firstColumn="1" w:firstRow="1" w:lastColumn="0" w:lastRow="0" w:noHBand="0" w:noVBand="1" w:val="04A0"/>
      </w:tblPr>
      <w:tblGrid>
        <w:gridCol w:w="1800"/>
        <w:gridCol w:w="7560"/>
      </w:tblGrid>
      <w:tr>
        <w:trPr>
          <w:tblHeader w:val="true"/>
          <w:cantSplit/>
        </w:trPr>
        <w:tc>
          <w:tcPr>
            <w:tcW w:type="dxa" w:w="1800"/>
            <w:vAlign w:val="top"/>
            <w:tcMar>
              <w:top w:w="40" w:type="dxa"/>
              <w:left w:w="65" w:type="dxa"/>
              <w:bottom w:w="35" w:type="dxa"/>
              <w:right w:w="65" w:type="dxa"/>
            </w:tcMar>
          </w:tcPr>
          <w:p>
            <w:pPr>
              <w:pStyle w:val="TableHeader"/>
            </w:pPr>
            <w:r>
              <w:t>Aspect</w:t>
            </w:r>
          </w:p>
        </w:tc>
        <w:tc>
          <w:tcPr>
            <w:tcW w:type="dxa" w:w="7560"/>
            <w:vAlign w:val="top"/>
            <w:tcMar>
              <w:top w:w="40" w:type="dxa"/>
              <w:left w:w="65" w:type="dxa"/>
              <w:bottom w:w="35" w:type="dxa"/>
              <w:right w:w="65" w:type="dxa"/>
            </w:tcMar>
          </w:tcPr>
          <w:p>
            <w:pPr>
              <w:pStyle w:val="TableHeader"/>
            </w:pPr>
            <w:r>
              <w:t>Evidence</w:t>
            </w:r>
          </w:p>
        </w:tc>
      </w:tr>
      <w:tr>
        <w:trPr>
          <w:cantSplit/>
        </w:trPr>
        <w:tc>
          <w:tcPr>
            <w:tcW w:type="dxa" w:w="1800"/>
            <w:vAlign w:val="top"/>
            <w:tcMar>
              <w:top w:w="40" w:type="dxa"/>
              <w:left w:w="65" w:type="dxa"/>
              <w:bottom w:w="35" w:type="dxa"/>
              <w:right w:w="65" w:type="dxa"/>
            </w:tcMar>
          </w:tcPr>
          <w:p>
            <w:pPr>
              <w:pStyle w:val="TableText"/>
            </w:pPr>
            <w:r>
              <w:t>Symptom</w:t>
            </w:r>
          </w:p>
        </w:tc>
        <w:tc>
          <w:tcPr>
            <w:tcW w:type="dxa" w:w="7560"/>
            <w:vAlign w:val="top"/>
            <w:tcMar>
              <w:top w:w="40" w:type="dxa"/>
              <w:left w:w="65" w:type="dxa"/>
              <w:bottom w:w="35" w:type="dxa"/>
              <w:right w:w="65" w:type="dxa"/>
            </w:tcMar>
          </w:tcPr>
          <w:p>
            <w:pPr>
              <w:pStyle w:val="TableText"/>
            </w:pPr>
            <w:r>
              <w:t>Same cached inputs changed an insertion/​uncertainty result.</w:t>
            </w:r>
          </w:p>
        </w:tc>
      </w:tr>
      <w:tr>
        <w:trPr>
          <w:cantSplit/>
        </w:trPr>
        <w:tc>
          <w:tcPr>
            <w:tcW w:type="dxa" w:w="1800"/>
            <w:vAlign w:val="top"/>
            <w:tcMar>
              <w:top w:w="40" w:type="dxa"/>
              <w:left w:w="65" w:type="dxa"/>
              <w:bottom w:w="35" w:type="dxa"/>
              <w:right w:w="65" w:type="dxa"/>
            </w:tcMar>
          </w:tcPr>
          <w:p>
            <w:pPr>
              <w:pStyle w:val="TableText"/>
            </w:pPr>
            <w:r>
              <w:t>Root cause</w:t>
            </w:r>
          </w:p>
        </w:tc>
        <w:tc>
          <w:tcPr>
            <w:tcW w:type="dxa" w:w="7560"/>
            <w:vAlign w:val="top"/>
            <w:tcMar>
              <w:top w:w="40" w:type="dxa"/>
              <w:left w:w="65" w:type="dxa"/>
              <w:bottom w:w="35" w:type="dxa"/>
              <w:right w:w="65" w:type="dxa"/>
            </w:tcMar>
          </w:tcPr>
          <w:p>
            <w:pPr>
              <w:pStyle w:val="TableText"/>
            </w:pPr>
            <w:r>
              <w:t>Counter insertion order inherited hashed content-token traversal.</w:t>
            </w:r>
          </w:p>
        </w:tc>
      </w:tr>
      <w:tr>
        <w:trPr>
          <w:cantSplit/>
        </w:trPr>
        <w:tc>
          <w:tcPr>
            <w:tcW w:type="dxa" w:w="1800"/>
            <w:vAlign w:val="top"/>
            <w:tcMar>
              <w:top w:w="40" w:type="dxa"/>
              <w:left w:w="65" w:type="dxa"/>
              <w:bottom w:w="35" w:type="dxa"/>
              <w:right w:w="65" w:type="dxa"/>
            </w:tcMar>
          </w:tcPr>
          <w:p>
            <w:pPr>
              <w:pStyle w:val="TableText"/>
            </w:pPr>
            <w:r>
              <w:t>Potential impact</w:t>
            </w:r>
          </w:p>
        </w:tc>
        <w:tc>
          <w:tcPr>
            <w:tcW w:type="dxa" w:w="7560"/>
            <w:vAlign w:val="top"/>
            <w:tcMar>
              <w:top w:w="40" w:type="dxa"/>
              <w:left w:w="65" w:type="dxa"/>
              <w:bottom w:w="35" w:type="dxa"/>
              <w:right w:w="65" w:type="dxa"/>
            </w:tcMar>
          </w:tcPr>
          <w:p>
            <w:pPr>
              <w:pStyle w:val="TableText"/>
            </w:pPr>
            <w:r>
              <w:t>Process-dependent candidate graphs and relationship decisions.</w:t>
            </w:r>
          </w:p>
        </w:tc>
      </w:tr>
      <w:tr>
        <w:trPr>
          <w:cantSplit/>
        </w:trPr>
        <w:tc>
          <w:tcPr>
            <w:tcW w:type="dxa" w:w="1800"/>
            <w:vAlign w:val="top"/>
            <w:tcMar>
              <w:top w:w="40" w:type="dxa"/>
              <w:left w:w="65" w:type="dxa"/>
              <w:bottom w:w="35" w:type="dxa"/>
              <w:right w:w="65" w:type="dxa"/>
            </w:tcMar>
          </w:tcPr>
          <w:p>
            <w:pPr>
              <w:pStyle w:val="TableText"/>
            </w:pPr>
            <w:r>
              <w:t>Corrective action</w:t>
            </w:r>
          </w:p>
        </w:tc>
        <w:tc>
          <w:tcPr>
            <w:tcW w:type="dxa" w:w="7560"/>
            <w:vAlign w:val="top"/>
            <w:tcMar>
              <w:top w:w="40" w:type="dxa"/>
              <w:left w:w="65" w:type="dxa"/>
              <w:bottom w:w="35" w:type="dxa"/>
              <w:right w:w="65" w:type="dxa"/>
            </w:tcMar>
          </w:tcPr>
          <w:p>
            <w:pPr>
              <w:pStyle w:val="TableText"/>
            </w:pPr>
            <w:r>
              <w:t>Order equal overlap by clause position; sort graph and solver inputs.</w:t>
            </w:r>
          </w:p>
        </w:tc>
      </w:tr>
      <w:tr>
        <w:trPr>
          <w:cantSplit/>
        </w:trPr>
        <w:tc>
          <w:tcPr>
            <w:tcW w:type="dxa" w:w="1800"/>
            <w:vAlign w:val="top"/>
            <w:tcMar>
              <w:top w:w="40" w:type="dxa"/>
              <w:left w:w="65" w:type="dxa"/>
              <w:bottom w:w="35" w:type="dxa"/>
              <w:right w:w="65" w:type="dxa"/>
            </w:tcMar>
          </w:tcPr>
          <w:p>
            <w:pPr>
              <w:pStyle w:val="TableText"/>
            </w:pPr>
            <w:r>
              <w:t>Test / regression</w:t>
            </w:r>
          </w:p>
        </w:tc>
        <w:tc>
          <w:tcPr>
            <w:tcW w:type="dxa" w:w="7560"/>
            <w:vAlign w:val="top"/>
            <w:tcMar>
              <w:top w:w="40" w:type="dxa"/>
              <w:left w:w="65" w:type="dxa"/>
              <w:bottom w:w="35" w:type="dxa"/>
              <w:right w:w="65" w:type="dxa"/>
            </w:tcMar>
          </w:tcPr>
          <w:p>
            <w:pPr>
              <w:pStyle w:val="TableText"/>
            </w:pPr>
            <w:r>
              <w:t>Three subprocesses with distinct PYTHONHASHSEED compare candidate/score digests.</w:t>
            </w:r>
          </w:p>
        </w:tc>
      </w:tr>
      <w:tr>
        <w:trPr>
          <w:cantSplit/>
        </w:trPr>
        <w:tc>
          <w:tcPr>
            <w:tcW w:type="dxa" w:w="1800"/>
            <w:vAlign w:val="top"/>
            <w:tcMar>
              <w:top w:w="40" w:type="dxa"/>
              <w:left w:w="65" w:type="dxa"/>
              <w:bottom w:w="35" w:type="dxa"/>
              <w:right w:w="65" w:type="dxa"/>
            </w:tcMar>
          </w:tcPr>
          <w:p>
            <w:pPr>
              <w:pStyle w:val="TableText"/>
            </w:pPr>
            <w:r>
              <w:t>Final verification</w:t>
            </w:r>
          </w:p>
        </w:tc>
        <w:tc>
          <w:tcPr>
            <w:tcW w:type="dxa" w:w="7560"/>
            <w:vAlign w:val="top"/>
            <w:tcMar>
              <w:top w:w="40" w:type="dxa"/>
              <w:left w:w="65" w:type="dxa"/>
              <w:bottom w:w="35" w:type="dxa"/>
              <w:right w:w="65" w:type="dxa"/>
            </w:tcMar>
          </w:tcPr>
          <w:p>
            <w:pPr>
              <w:pStyle w:val="TableText"/>
            </w:pPr>
            <w:r>
              <w:t>Cross-process test and final full suite passed.</w:t>
            </w:r>
          </w:p>
        </w:tc>
      </w:tr>
      <w:tr>
        <w:trPr>
          <w:cantSplit/>
        </w:trPr>
        <w:tc>
          <w:tcPr>
            <w:tcW w:type="dxa" w:w="1800"/>
            <w:vAlign w:val="top"/>
            <w:tcMar>
              <w:top w:w="40" w:type="dxa"/>
              <w:left w:w="65" w:type="dxa"/>
              <w:bottom w:w="35" w:type="dxa"/>
              <w:right w:w="65" w:type="dxa"/>
            </w:tcMar>
          </w:tcPr>
          <w:p>
            <w:pPr>
              <w:pStyle w:val="TableText"/>
            </w:pPr>
            <w:r>
              <w:t>Output disposition</w:t>
            </w:r>
          </w:p>
        </w:tc>
        <w:tc>
          <w:tcPr>
            <w:tcW w:type="dxa" w:w="7560"/>
            <w:vAlign w:val="top"/>
            <w:tcMar>
              <w:top w:w="40" w:type="dxa"/>
              <w:left w:w="65" w:type="dxa"/>
              <w:bottom w:w="35" w:type="dxa"/>
              <w:right w:w="65" w:type="dxa"/>
            </w:tcMar>
          </w:tcPr>
          <w:p>
            <w:pPr>
              <w:pStyle w:val="TableText"/>
            </w:pPr>
            <w:r>
              <w:t>v4 stopped and preserved; retained valid embeddings reused.</w:t>
            </w:r>
          </w:p>
        </w:tc>
      </w:tr>
    </w:tbl>
    <w:p>
      <w:pPr>
        <w:spacing w:after="0"/>
      </w:pPr>
    </w:p>
    <w:p>
      <w:pPr>
        <w:pStyle w:val="Heading3"/>
      </w:pPr>
      <w:r>
        <w:t>Audit padding</w:t>
      </w:r>
    </w:p>
    <w:tbl>
      <w:tblPr>
        <w:tblStyle w:val="TableGrid"/>
        <w:tblW w:type="auto" w:w="0"/>
        <w:jc w:val="center"/>
        <w:tblLayout w:type="fixed"/>
        <w:tblLook w:firstColumn="1" w:firstRow="1" w:lastColumn="0" w:lastRow="0" w:noHBand="0" w:noVBand="1" w:val="04A0"/>
      </w:tblPr>
      <w:tblGrid>
        <w:gridCol w:w="1800"/>
        <w:gridCol w:w="7560"/>
      </w:tblGrid>
      <w:tr>
        <w:trPr>
          <w:tblHeader w:val="true"/>
          <w:cantSplit/>
        </w:trPr>
        <w:tc>
          <w:tcPr>
            <w:tcW w:type="dxa" w:w="1800"/>
            <w:vAlign w:val="top"/>
            <w:tcMar>
              <w:top w:w="40" w:type="dxa"/>
              <w:left w:w="65" w:type="dxa"/>
              <w:bottom w:w="35" w:type="dxa"/>
              <w:right w:w="65" w:type="dxa"/>
            </w:tcMar>
          </w:tcPr>
          <w:p>
            <w:pPr>
              <w:pStyle w:val="TableHeader"/>
            </w:pPr>
            <w:r>
              <w:t>Aspect</w:t>
            </w:r>
          </w:p>
        </w:tc>
        <w:tc>
          <w:tcPr>
            <w:tcW w:type="dxa" w:w="7560"/>
            <w:vAlign w:val="top"/>
            <w:tcMar>
              <w:top w:w="40" w:type="dxa"/>
              <w:left w:w="65" w:type="dxa"/>
              <w:bottom w:w="35" w:type="dxa"/>
              <w:right w:w="65" w:type="dxa"/>
            </w:tcMar>
          </w:tcPr>
          <w:p>
            <w:pPr>
              <w:pStyle w:val="TableHeader"/>
            </w:pPr>
            <w:r>
              <w:t>Evidence</w:t>
            </w:r>
          </w:p>
        </w:tc>
      </w:tr>
      <w:tr>
        <w:trPr>
          <w:cantSplit/>
        </w:trPr>
        <w:tc>
          <w:tcPr>
            <w:tcW w:type="dxa" w:w="1800"/>
            <w:vAlign w:val="top"/>
            <w:tcMar>
              <w:top w:w="40" w:type="dxa"/>
              <w:left w:w="65" w:type="dxa"/>
              <w:bottom w:w="35" w:type="dxa"/>
              <w:right w:w="65" w:type="dxa"/>
            </w:tcMar>
          </w:tcPr>
          <w:p>
            <w:pPr>
              <w:pStyle w:val="TableText"/>
            </w:pPr>
            <w:r>
              <w:t>Symptom</w:t>
            </w:r>
          </w:p>
        </w:tc>
        <w:tc>
          <w:tcPr>
            <w:tcW w:type="dxa" w:w="7560"/>
            <w:vAlign w:val="top"/>
            <w:tcMar>
              <w:top w:w="40" w:type="dxa"/>
              <w:left w:w="65" w:type="dxa"/>
              <w:bottom w:w="35" w:type="dxa"/>
              <w:right w:w="65" w:type="dxa"/>
            </w:tcMar>
          </w:tcPr>
          <w:p>
            <w:pPr>
              <w:pStyle w:val="TableText"/>
            </w:pPr>
            <w:r>
              <w:t>Standalone audit falsely reported truncation for TLS-00 first clause.</w:t>
            </w:r>
          </w:p>
        </w:tc>
      </w:tr>
      <w:tr>
        <w:trPr>
          <w:cantSplit/>
        </w:trPr>
        <w:tc>
          <w:tcPr>
            <w:tcW w:type="dxa" w:w="1800"/>
            <w:vAlign w:val="top"/>
            <w:tcMar>
              <w:top w:w="40" w:type="dxa"/>
              <w:left w:w="65" w:type="dxa"/>
              <w:bottom w:w="35" w:type="dxa"/>
              <w:right w:w="65" w:type="dxa"/>
            </w:tcMar>
          </w:tcPr>
          <w:p>
            <w:pPr>
              <w:pStyle w:val="TableText"/>
            </w:pPr>
            <w:r>
              <w:t>Root cause</w:t>
            </w:r>
          </w:p>
        </w:tc>
        <w:tc>
          <w:tcPr>
            <w:tcW w:type="dxa" w:w="7560"/>
            <w:vAlign w:val="top"/>
            <w:tcMar>
              <w:top w:w="40" w:type="dxa"/>
              <w:left w:w="65" w:type="dxa"/>
              <w:bottom w:w="35" w:type="dxa"/>
              <w:right w:w="65" w:type="dxa"/>
            </w:tcMar>
          </w:tcPr>
          <w:p>
            <w:pPr>
              <w:pStyle w:val="TableText"/>
            </w:pPr>
            <w:r>
              <w:t>Serialized tokenizer padded to 128 IDs; audit disabled truncation but not padding.</w:t>
            </w:r>
          </w:p>
        </w:tc>
      </w:tr>
      <w:tr>
        <w:trPr>
          <w:cantSplit/>
        </w:trPr>
        <w:tc>
          <w:tcPr>
            <w:tcW w:type="dxa" w:w="1800"/>
            <w:vAlign w:val="top"/>
            <w:tcMar>
              <w:top w:w="40" w:type="dxa"/>
              <w:left w:w="65" w:type="dxa"/>
              <w:bottom w:w="35" w:type="dxa"/>
              <w:right w:w="65" w:type="dxa"/>
            </w:tcMar>
          </w:tcPr>
          <w:p>
            <w:pPr>
              <w:pStyle w:val="TableText"/>
            </w:pPr>
            <w:r>
              <w:t>Potential impact</w:t>
            </w:r>
          </w:p>
        </w:tc>
        <w:tc>
          <w:tcPr>
            <w:tcW w:type="dxa" w:w="7560"/>
            <w:vAlign w:val="top"/>
            <w:tcMar>
              <w:top w:w="40" w:type="dxa"/>
              <w:left w:w="65" w:type="dxa"/>
              <w:bottom w:w="35" w:type="dxa"/>
              <w:right w:w="65" w:type="dxa"/>
            </w:tcMar>
          </w:tcPr>
          <w:p>
            <w:pPr>
              <w:pStyle w:val="TableText"/>
            </w:pPr>
            <w:r>
              <w:t>False integrity rejection of correct original-ID windows.</w:t>
            </w:r>
          </w:p>
        </w:tc>
      </w:tr>
      <w:tr>
        <w:trPr>
          <w:cantSplit/>
        </w:trPr>
        <w:tc>
          <w:tcPr>
            <w:tcW w:type="dxa" w:w="1800"/>
            <w:vAlign w:val="top"/>
            <w:tcMar>
              <w:top w:w="40" w:type="dxa"/>
              <w:left w:w="65" w:type="dxa"/>
              <w:bottom w:w="35" w:type="dxa"/>
              <w:right w:w="65" w:type="dxa"/>
            </w:tcMar>
          </w:tcPr>
          <w:p>
            <w:pPr>
              <w:pStyle w:val="TableText"/>
            </w:pPr>
            <w:r>
              <w:t>Corrective action</w:t>
            </w:r>
          </w:p>
        </w:tc>
        <w:tc>
          <w:tcPr>
            <w:tcW w:type="dxa" w:w="7560"/>
            <w:vAlign w:val="top"/>
            <w:tcMar>
              <w:top w:w="40" w:type="dxa"/>
              <w:left w:w="65" w:type="dxa"/>
              <w:bottom w:w="35" w:type="dxa"/>
              <w:right w:w="65" w:type="dxa"/>
            </w:tcMar>
          </w:tcPr>
          <w:p>
            <w:pPr>
              <w:pStyle w:val="TableText"/>
            </w:pPr>
            <w:r>
              <w:t>Disable both serialized padding and truncation in audit tokenizer.</w:t>
            </w:r>
          </w:p>
        </w:tc>
      </w:tr>
      <w:tr>
        <w:trPr>
          <w:cantSplit/>
        </w:trPr>
        <w:tc>
          <w:tcPr>
            <w:tcW w:type="dxa" w:w="1800"/>
            <w:vAlign w:val="top"/>
            <w:tcMar>
              <w:top w:w="40" w:type="dxa"/>
              <w:left w:w="65" w:type="dxa"/>
              <w:bottom w:w="35" w:type="dxa"/>
              <w:right w:w="65" w:type="dxa"/>
            </w:tcMar>
          </w:tcPr>
          <w:p>
            <w:pPr>
              <w:pStyle w:val="TableText"/>
            </w:pPr>
            <w:r>
              <w:t>Test / regression</w:t>
            </w:r>
          </w:p>
        </w:tc>
        <w:tc>
          <w:tcPr>
            <w:tcW w:type="dxa" w:w="7560"/>
            <w:vAlign w:val="top"/>
            <w:tcMar>
              <w:top w:w="40" w:type="dxa"/>
              <w:left w:w="65" w:type="dxa"/>
              <w:bottom w:w="35" w:type="dxa"/>
              <w:right w:w="65" w:type="dxa"/>
            </w:tcMar>
          </w:tcPr>
          <w:p>
            <w:pPr>
              <w:pStyle w:val="TableText"/>
            </w:pPr>
            <w:r>
              <w:t>Serialized fixed-​padding/​truncation fixture tests short, empty and 935-token inputs.</w:t>
            </w:r>
          </w:p>
        </w:tc>
      </w:tr>
      <w:tr>
        <w:trPr>
          <w:cantSplit/>
        </w:trPr>
        <w:tc>
          <w:tcPr>
            <w:tcW w:type="dxa" w:w="1800"/>
            <w:vAlign w:val="top"/>
            <w:tcMar>
              <w:top w:w="40" w:type="dxa"/>
              <w:left w:w="65" w:type="dxa"/>
              <w:bottom w:w="35" w:type="dxa"/>
              <w:right w:w="65" w:type="dxa"/>
            </w:tcMar>
          </w:tcPr>
          <w:p>
            <w:pPr>
              <w:pStyle w:val="TableText"/>
            </w:pPr>
            <w:r>
              <w:t>Final verification</w:t>
            </w:r>
          </w:p>
        </w:tc>
        <w:tc>
          <w:tcPr>
            <w:tcW w:type="dxa" w:w="7560"/>
            <w:vAlign w:val="top"/>
            <w:tcMar>
              <w:top w:w="40" w:type="dxa"/>
              <w:left w:w="65" w:type="dxa"/>
              <w:bottom w:w="35" w:type="dxa"/>
              <w:right w:w="65" w:type="dxa"/>
            </w:tcMar>
          </w:tcPr>
          <w:p>
            <w:pPr>
              <w:pStyle w:val="TableText"/>
            </w:pPr>
            <w:r>
              <w:t>18 real IDs match window hash; corrected full audit PASS.</w:t>
            </w:r>
          </w:p>
        </w:tc>
      </w:tr>
      <w:tr>
        <w:trPr>
          <w:cantSplit/>
        </w:trPr>
        <w:tc>
          <w:tcPr>
            <w:tcW w:type="dxa" w:w="1800"/>
            <w:vAlign w:val="top"/>
            <w:tcMar>
              <w:top w:w="40" w:type="dxa"/>
              <w:left w:w="65" w:type="dxa"/>
              <w:bottom w:w="35" w:type="dxa"/>
              <w:right w:w="65" w:type="dxa"/>
            </w:tcMar>
          </w:tcPr>
          <w:p>
            <w:pPr>
              <w:pStyle w:val="TableText"/>
            </w:pPr>
            <w:r>
              <w:t>Output disposition</w:t>
            </w:r>
          </w:p>
        </w:tc>
        <w:tc>
          <w:tcPr>
            <w:tcW w:type="dxa" w:w="7560"/>
            <w:vAlign w:val="top"/>
            <w:tcMar>
              <w:top w:w="40" w:type="dxa"/>
              <w:left w:w="65" w:type="dxa"/>
              <w:bottom w:w="35" w:type="dxa"/>
              <w:right w:w="65" w:type="dxa"/>
            </w:tcMar>
          </w:tcPr>
          <w:p>
            <w:pPr>
              <w:pStyle w:val="TableText"/>
            </w:pPr>
            <w:r>
              <w:t>v5 artifacts unchanged; separate failure and corrected-validator sidecars retained.</w:t>
            </w:r>
          </w:p>
        </w:tc>
      </w:tr>
    </w:tbl>
    <w:p>
      <w:pPr>
        <w:spacing w:after="0"/>
      </w:pPr>
    </w:p>
    <w:p>
      <w:pPr/>
      <w:r>
        <w:t>The complete legacy source at every intermediate fix, raw Windows crash dump, exhaustive chronological shell transcript and per-component CPU timing are not retained. Their absence limits historical reconstruction but does not change the preserved final manifest or current audit evidence.</w:t>
      </w:r>
    </w:p>
    <w:p>
      <w:pPr>
        <w:pStyle w:val="Heading2"/>
      </w:pPr>
      <w:r>
        <w:t>Appendix K: Complete test history</w:t>
      </w:r>
    </w:p>
    <w:p>
      <w:pPr/>
      <w:r>
        <w:t>This appendix contains the complete reconstructable history relevant to the delivered fixes. It does not assert that every historical shell invocation or raw pytest log was retained. Counts and durations are drawn from the preserved implementation report and recorded development-session results; final code and fixture inventories were inspected again for this chapter. Report preparation does not modify tests or rerun alignment.</w:t>
      </w:r>
    </w:p>
    <w:p>
      <w:pPr>
        <w:pStyle w:val="Caption"/>
        <w:keepNext/>
      </w:pPr>
      <w:r>
        <w:t>Recorded command/result history. Environment activation is required as described in Appendix C.</w:t>
      </w:r>
    </w:p>
    <w:tbl>
      <w:tblPr>
        <w:tblStyle w:val="TableGrid"/>
        <w:tblW w:type="auto" w:w="0"/>
        <w:jc w:val="center"/>
        <w:tblLayout w:type="fixed"/>
        <w:tblLook w:firstColumn="1" w:firstRow="1" w:lastColumn="0" w:lastRow="0" w:noHBand="0" w:noVBand="1" w:val="04A0"/>
      </w:tblPr>
      <w:tblGrid>
        <w:gridCol w:w="2376"/>
        <w:gridCol w:w="2592"/>
        <w:gridCol w:w="2592"/>
        <w:gridCol w:w="1800"/>
      </w:tblGrid>
      <w:tr>
        <w:trPr>
          <w:tblHeader w:val="true"/>
          <w:cantSplit/>
        </w:trPr>
        <w:tc>
          <w:tcPr>
            <w:tcW w:type="dxa" w:w="2376"/>
            <w:vAlign w:val="top"/>
            <w:tcMar>
              <w:top w:w="40" w:type="dxa"/>
              <w:left w:w="65" w:type="dxa"/>
              <w:bottom w:w="35" w:type="dxa"/>
              <w:right w:w="65" w:type="dxa"/>
            </w:tcMar>
          </w:tcPr>
          <w:p>
            <w:pPr>
              <w:pStyle w:val="TableHeader"/>
            </w:pPr>
            <w:r>
              <w:t>Stage</w:t>
            </w:r>
          </w:p>
        </w:tc>
        <w:tc>
          <w:tcPr>
            <w:tcW w:type="dxa" w:w="2592"/>
            <w:vAlign w:val="top"/>
            <w:tcMar>
              <w:top w:w="40" w:type="dxa"/>
              <w:left w:w="65" w:type="dxa"/>
              <w:bottom w:w="35" w:type="dxa"/>
              <w:right w:w="65" w:type="dxa"/>
            </w:tcMar>
          </w:tcPr>
          <w:p>
            <w:pPr>
              <w:pStyle w:val="TableHeader"/>
            </w:pPr>
            <w:r>
              <w:t>Command</w:t>
            </w:r>
          </w:p>
        </w:tc>
        <w:tc>
          <w:tcPr>
            <w:tcW w:type="dxa" w:w="2592"/>
            <w:vAlign w:val="top"/>
            <w:tcMar>
              <w:top w:w="40" w:type="dxa"/>
              <w:left w:w="65" w:type="dxa"/>
              <w:bottom w:w="35" w:type="dxa"/>
              <w:right w:w="65" w:type="dxa"/>
            </w:tcMar>
          </w:tcPr>
          <w:p>
            <w:pPr>
              <w:pStyle w:val="TableHeader"/>
            </w:pPr>
            <w:r>
              <w:t>Result</w:t>
            </w:r>
          </w:p>
        </w:tc>
        <w:tc>
          <w:tcPr>
            <w:tcW w:type="dxa" w:w="1800"/>
            <w:vAlign w:val="top"/>
            <w:tcMar>
              <w:top w:w="40" w:type="dxa"/>
              <w:left w:w="65" w:type="dxa"/>
              <w:bottom w:w="35" w:type="dxa"/>
              <w:right w:w="65" w:type="dxa"/>
            </w:tcMar>
          </w:tcPr>
          <w:p>
            <w:pPr>
              <w:pStyle w:val="TableHeader"/>
            </w:pPr>
            <w:r>
              <w:t>Evidence limit</w:t>
            </w:r>
          </w:p>
        </w:tc>
      </w:tr>
      <w:tr>
        <w:trPr>
          <w:cantSplit/>
        </w:trPr>
        <w:tc>
          <w:tcPr>
            <w:tcW w:type="dxa" w:w="2376"/>
            <w:vAlign w:val="top"/>
            <w:tcMar>
              <w:top w:w="40" w:type="dxa"/>
              <w:left w:w="65" w:type="dxa"/>
              <w:bottom w:w="35" w:type="dxa"/>
              <w:right w:w="65" w:type="dxa"/>
            </w:tcMar>
          </w:tcPr>
          <w:p>
            <w:pPr>
              <w:pStyle w:val="TableText"/>
            </w:pPr>
            <w:r>
              <w:t>Before interrupted full run</w:t>
            </w:r>
          </w:p>
        </w:tc>
        <w:tc>
          <w:tcPr>
            <w:tcW w:type="dxa" w:w="2592"/>
            <w:vAlign w:val="top"/>
            <w:tcMar>
              <w:top w:w="40" w:type="dxa"/>
              <w:left w:w="65" w:type="dxa"/>
              <w:bottom w:w="35" w:type="dxa"/>
              <w:right w:w="65" w:type="dxa"/>
            </w:tcMar>
          </w:tcPr>
          <w:p>
            <w:pPr>
              <w:pStyle w:val="TableText"/>
            </w:pPr>
            <w:r>
              <w:rPr>
                <w:rStyle w:val="CodeCharacter"/>
              </w:rPr>
              <w:t>python -m pytest tests/ -q</w:t>
            </w:r>
          </w:p>
        </w:tc>
        <w:tc>
          <w:tcPr>
            <w:tcW w:type="dxa" w:w="2592"/>
            <w:vAlign w:val="top"/>
            <w:tcMar>
              <w:top w:w="40" w:type="dxa"/>
              <w:left w:w="65" w:type="dxa"/>
              <w:bottom w:w="35" w:type="dxa"/>
              <w:right w:w="65" w:type="dxa"/>
            </w:tcMar>
          </w:tcPr>
          <w:p>
            <w:pPr>
              <w:pStyle w:val="TableText"/>
            </w:pPr>
            <w:r>
              <w:t>91 passed in 3.75s</w:t>
            </w:r>
          </w:p>
        </w:tc>
        <w:tc>
          <w:tcPr>
            <w:tcW w:type="dxa" w:w="1800"/>
            <w:vAlign w:val="top"/>
            <w:tcMar>
              <w:top w:w="40" w:type="dxa"/>
              <w:left w:w="65" w:type="dxa"/>
              <w:bottom w:w="35" w:type="dxa"/>
              <w:right w:w="65" w:type="dxa"/>
            </w:tcMar>
          </w:tcPr>
          <w:p>
            <w:pPr>
              <w:pStyle w:val="TableText"/>
            </w:pPr>
            <w:r>
              <w:t>Last confirmed state supplied in the recovery request; raw log not retained.</w:t>
            </w:r>
          </w:p>
        </w:tc>
      </w:tr>
      <w:tr>
        <w:trPr>
          <w:cantSplit/>
        </w:trPr>
        <w:tc>
          <w:tcPr>
            <w:tcW w:type="dxa" w:w="2376"/>
            <w:vAlign w:val="top"/>
            <w:tcMar>
              <w:top w:w="40" w:type="dxa"/>
              <w:left w:w="65" w:type="dxa"/>
              <w:bottom w:w="35" w:type="dxa"/>
              <w:right w:w="65" w:type="dxa"/>
            </w:tcMar>
          </w:tcPr>
          <w:p>
            <w:pPr>
              <w:pStyle w:val="TableText"/>
            </w:pPr>
            <w:r>
              <w:t>Direct-ID regression stage</w:t>
            </w:r>
          </w:p>
        </w:tc>
        <w:tc>
          <w:tcPr>
            <w:tcW w:type="dxa" w:w="2592"/>
            <w:vAlign w:val="top"/>
            <w:tcMar>
              <w:top w:w="40" w:type="dxa"/>
              <w:left w:w="65" w:type="dxa"/>
              <w:bottom w:w="35" w:type="dxa"/>
              <w:right w:w="65" w:type="dxa"/>
            </w:tcMar>
          </w:tcPr>
          <w:p>
            <w:pPr>
              <w:pStyle w:val="TableText"/>
            </w:pPr>
            <w:r>
              <w:rPr>
                <w:rStyle w:val="CodeCharacter"/>
              </w:rPr>
              <w:t>python -m pytest tests/​test_​alignment_​embeddings.​py -q</w:t>
            </w:r>
          </w:p>
        </w:tc>
        <w:tc>
          <w:tcPr>
            <w:tcW w:type="dxa" w:w="2592"/>
            <w:vAlign w:val="top"/>
            <w:tcMar>
              <w:top w:w="40" w:type="dxa"/>
              <w:left w:w="65" w:type="dxa"/>
              <w:bottom w:w="35" w:type="dxa"/>
              <w:right w:w="65" w:type="dxa"/>
            </w:tcMar>
          </w:tcPr>
          <w:p>
            <w:pPr>
              <w:pStyle w:val="TableText"/>
            </w:pPr>
            <w:r>
              <w:t>28 passed; 2 warnings; 5.95s</w:t>
            </w:r>
          </w:p>
        </w:tc>
        <w:tc>
          <w:tcPr>
            <w:tcW w:type="dxa" w:w="1800"/>
            <w:vAlign w:val="top"/>
            <w:tcMar>
              <w:top w:w="40" w:type="dxa"/>
              <w:left w:w="65" w:type="dxa"/>
              <w:bottom w:w="35" w:type="dxa"/>
              <w:right w:w="65" w:type="dxa"/>
            </w:tcMar>
          </w:tcPr>
          <w:p>
            <w:pPr>
              <w:pStyle w:val="TableText"/>
            </w:pPr>
            <w:r>
              <w:t>Recorded development result before audit-padding test.</w:t>
            </w:r>
          </w:p>
        </w:tc>
      </w:tr>
      <w:tr>
        <w:trPr>
          <w:cantSplit/>
        </w:trPr>
        <w:tc>
          <w:tcPr>
            <w:tcW w:type="dxa" w:w="2376"/>
            <w:vAlign w:val="top"/>
            <w:tcMar>
              <w:top w:w="40" w:type="dxa"/>
              <w:left w:w="65" w:type="dxa"/>
              <w:bottom w:w="35" w:type="dxa"/>
              <w:right w:w="65" w:type="dxa"/>
            </w:tcMar>
          </w:tcPr>
          <w:p>
            <w:pPr>
              <w:pStyle w:val="TableText"/>
            </w:pPr>
            <w:r>
              <w:t>Same-day correction</w:t>
            </w:r>
          </w:p>
        </w:tc>
        <w:tc>
          <w:tcPr>
            <w:tcW w:type="dxa" w:w="2592"/>
            <w:vAlign w:val="top"/>
            <w:tcMar>
              <w:top w:w="40" w:type="dxa"/>
              <w:left w:w="65" w:type="dxa"/>
              <w:bottom w:w="35" w:type="dxa"/>
              <w:right w:w="65" w:type="dxa"/>
            </w:tcMar>
          </w:tcPr>
          <w:p>
            <w:pPr>
              <w:pStyle w:val="TableText"/>
            </w:pPr>
            <w:r>
              <w:rPr>
                <w:rStyle w:val="CodeCharacter"/>
              </w:rPr>
              <w:t>python -m pytest tests/​test_​alignment_​temporal.​py -q</w:t>
            </w:r>
          </w:p>
        </w:tc>
        <w:tc>
          <w:tcPr>
            <w:tcW w:type="dxa" w:w="2592"/>
            <w:vAlign w:val="top"/>
            <w:tcMar>
              <w:top w:w="40" w:type="dxa"/>
              <w:left w:w="65" w:type="dxa"/>
              <w:bottom w:w="35" w:type="dxa"/>
              <w:right w:w="65" w:type="dxa"/>
            </w:tcMar>
          </w:tcPr>
          <w:p>
            <w:pPr>
              <w:pStyle w:val="TableText"/>
            </w:pPr>
            <w:r>
              <w:t>5 passed in 0.59s</w:t>
            </w:r>
          </w:p>
        </w:tc>
        <w:tc>
          <w:tcPr>
            <w:tcW w:type="dxa" w:w="1800"/>
            <w:vAlign w:val="top"/>
            <w:tcMar>
              <w:top w:w="40" w:type="dxa"/>
              <w:left w:w="65" w:type="dxa"/>
              <w:bottom w:w="35" w:type="dxa"/>
              <w:right w:w="65" w:type="dxa"/>
            </w:tcMar>
          </w:tcPr>
          <w:p>
            <w:pPr>
              <w:pStyle w:val="TableText"/>
            </w:pPr>
            <w:r>
              <w:t>Recorded focused chronology verification.</w:t>
            </w:r>
          </w:p>
        </w:tc>
      </w:tr>
      <w:tr>
        <w:trPr>
          <w:cantSplit/>
        </w:trPr>
        <w:tc>
          <w:tcPr>
            <w:tcW w:type="dxa" w:w="2376"/>
            <w:vAlign w:val="top"/>
            <w:tcMar>
              <w:top w:w="40" w:type="dxa"/>
              <w:left w:w="65" w:type="dxa"/>
              <w:bottom w:w="35" w:type="dxa"/>
              <w:right w:w="65" w:type="dxa"/>
            </w:tcMar>
          </w:tcPr>
          <w:p>
            <w:pPr>
              <w:pStyle w:val="TableText"/>
            </w:pPr>
            <w:r>
              <w:t>Before hash-seed regression</w:t>
            </w:r>
          </w:p>
        </w:tc>
        <w:tc>
          <w:tcPr>
            <w:tcW w:type="dxa" w:w="2592"/>
            <w:vAlign w:val="top"/>
            <w:tcMar>
              <w:top w:w="40" w:type="dxa"/>
              <w:left w:w="65" w:type="dxa"/>
              <w:bottom w:w="35" w:type="dxa"/>
              <w:right w:w="65" w:type="dxa"/>
            </w:tcMar>
          </w:tcPr>
          <w:p>
            <w:pPr>
              <w:pStyle w:val="TableText"/>
            </w:pPr>
            <w:r>
              <w:rPr>
                <w:rStyle w:val="CodeCharacter"/>
              </w:rPr>
              <w:t>python -m pytest tests/ -q</w:t>
            </w:r>
          </w:p>
        </w:tc>
        <w:tc>
          <w:tcPr>
            <w:tcW w:type="dxa" w:w="2592"/>
            <w:vAlign w:val="top"/>
            <w:tcMar>
              <w:top w:w="40" w:type="dxa"/>
              <w:left w:w="65" w:type="dxa"/>
              <w:bottom w:w="35" w:type="dxa"/>
              <w:right w:w="65" w:type="dxa"/>
            </w:tcMar>
          </w:tcPr>
          <w:p>
            <w:pPr>
              <w:pStyle w:val="TableText"/>
            </w:pPr>
            <w:r>
              <w:t>119 passed; 2 warnings; 9.79s</w:t>
            </w:r>
          </w:p>
        </w:tc>
        <w:tc>
          <w:tcPr>
            <w:tcW w:type="dxa" w:w="1800"/>
            <w:vAlign w:val="top"/>
            <w:tcMar>
              <w:top w:w="40" w:type="dxa"/>
              <w:left w:w="65" w:type="dxa"/>
              <w:bottom w:w="35" w:type="dxa"/>
              <w:right w:w="65" w:type="dxa"/>
            </w:tcMar>
          </w:tcPr>
          <w:p>
            <w:pPr>
              <w:pStyle w:val="TableText"/>
            </w:pPr>
            <w:r>
              <w:t>Recorded intermediate suite; not final count.</w:t>
            </w:r>
          </w:p>
        </w:tc>
      </w:tr>
      <w:tr>
        <w:trPr>
          <w:cantSplit/>
        </w:trPr>
        <w:tc>
          <w:tcPr>
            <w:tcW w:type="dxa" w:w="2376"/>
            <w:vAlign w:val="top"/>
            <w:tcMar>
              <w:top w:w="40" w:type="dxa"/>
              <w:left w:w="65" w:type="dxa"/>
              <w:bottom w:w="35" w:type="dxa"/>
              <w:right w:w="65" w:type="dxa"/>
            </w:tcMar>
          </w:tcPr>
          <w:p>
            <w:pPr>
              <w:pStyle w:val="TableText"/>
            </w:pPr>
            <w:r>
              <w:t>Before final full run</w:t>
            </w:r>
          </w:p>
        </w:tc>
        <w:tc>
          <w:tcPr>
            <w:tcW w:type="dxa" w:w="2592"/>
            <w:vAlign w:val="top"/>
            <w:tcMar>
              <w:top w:w="40" w:type="dxa"/>
              <w:left w:w="65" w:type="dxa"/>
              <w:bottom w:w="35" w:type="dxa"/>
              <w:right w:w="65" w:type="dxa"/>
            </w:tcMar>
          </w:tcPr>
          <w:p>
            <w:pPr>
              <w:pStyle w:val="TableText"/>
            </w:pPr>
            <w:r>
              <w:rPr>
                <w:rStyle w:val="CodeCharacter"/>
              </w:rPr>
              <w:t>python -m pytest tests/ -q</w:t>
            </w:r>
          </w:p>
        </w:tc>
        <w:tc>
          <w:tcPr>
            <w:tcW w:type="dxa" w:w="2592"/>
            <w:vAlign w:val="top"/>
            <w:tcMar>
              <w:top w:w="40" w:type="dxa"/>
              <w:left w:w="65" w:type="dxa"/>
              <w:bottom w:w="35" w:type="dxa"/>
              <w:right w:w="65" w:type="dxa"/>
            </w:tcMar>
          </w:tcPr>
          <w:p>
            <w:pPr>
              <w:pStyle w:val="TableText"/>
            </w:pPr>
            <w:r>
              <w:t>120 passed; 2 warnings; 209.34s; no skips</w:t>
            </w:r>
          </w:p>
        </w:tc>
        <w:tc>
          <w:tcPr>
            <w:tcW w:type="dxa" w:w="1800"/>
            <w:vAlign w:val="top"/>
            <w:tcMar>
              <w:top w:w="40" w:type="dxa"/>
              <w:left w:w="65" w:type="dxa"/>
              <w:bottom w:w="35" w:type="dxa"/>
              <w:right w:w="65" w:type="dxa"/>
            </w:tcMar>
          </w:tcPr>
          <w:p>
            <w:pPr>
              <w:pStyle w:val="TableText"/>
            </w:pPr>
            <w:r>
              <w:t>Recorded after deterministic candidate fix; slower startup is not diagnosed as a code regression.</w:t>
            </w:r>
          </w:p>
        </w:tc>
      </w:tr>
      <w:tr>
        <w:trPr>
          <w:cantSplit/>
        </w:trPr>
        <w:tc>
          <w:tcPr>
            <w:tcW w:type="dxa" w:w="2376"/>
            <w:vAlign w:val="top"/>
            <w:tcMar>
              <w:top w:w="40" w:type="dxa"/>
              <w:left w:w="65" w:type="dxa"/>
              <w:bottom w:w="35" w:type="dxa"/>
              <w:right w:w="65" w:type="dxa"/>
            </w:tcMar>
          </w:tcPr>
          <w:p>
            <w:pPr>
              <w:pStyle w:val="TableText"/>
            </w:pPr>
            <w:r>
              <w:t>After audit-padding correction</w:t>
            </w:r>
          </w:p>
        </w:tc>
        <w:tc>
          <w:tcPr>
            <w:tcW w:type="dxa" w:w="2592"/>
            <w:vAlign w:val="top"/>
            <w:tcMar>
              <w:top w:w="40" w:type="dxa"/>
              <w:left w:w="65" w:type="dxa"/>
              <w:bottom w:w="35" w:type="dxa"/>
              <w:right w:w="65" w:type="dxa"/>
            </w:tcMar>
          </w:tcPr>
          <w:p>
            <w:pPr>
              <w:pStyle w:val="TableText"/>
            </w:pPr>
            <w:r>
              <w:rPr>
                <w:rStyle w:val="CodeCharacter"/>
              </w:rPr>
              <w:t>python -m pytest tests/​test_​alignment_​embeddings.​py -q</w:t>
            </w:r>
          </w:p>
        </w:tc>
        <w:tc>
          <w:tcPr>
            <w:tcW w:type="dxa" w:w="2592"/>
            <w:vAlign w:val="top"/>
            <w:tcMar>
              <w:top w:w="40" w:type="dxa"/>
              <w:left w:w="65" w:type="dxa"/>
              <w:bottom w:w="35" w:type="dxa"/>
              <w:right w:w="65" w:type="dxa"/>
            </w:tcMar>
          </w:tcPr>
          <w:p>
            <w:pPr>
              <w:pStyle w:val="TableText"/>
            </w:pPr>
            <w:r>
              <w:t>29 passed; 2 warnings; 6.11s; no skips</w:t>
            </w:r>
          </w:p>
        </w:tc>
        <w:tc>
          <w:tcPr>
            <w:tcW w:type="dxa" w:w="1800"/>
            <w:vAlign w:val="top"/>
            <w:tcMar>
              <w:top w:w="40" w:type="dxa"/>
              <w:left w:w="65" w:type="dxa"/>
              <w:bottom w:w="35" w:type="dxa"/>
              <w:right w:w="65" w:type="dxa"/>
            </w:tcMar>
          </w:tcPr>
          <w:p>
            <w:pPr>
              <w:pStyle w:val="TableText"/>
            </w:pPr>
            <w:r>
              <w:t>Final focused suite, including real local model.</w:t>
            </w:r>
          </w:p>
        </w:tc>
      </w:tr>
      <w:tr>
        <w:trPr>
          <w:cantSplit/>
        </w:trPr>
        <w:tc>
          <w:tcPr>
            <w:tcW w:type="dxa" w:w="2376"/>
            <w:vAlign w:val="top"/>
            <w:tcMar>
              <w:top w:w="40" w:type="dxa"/>
              <w:left w:w="65" w:type="dxa"/>
              <w:bottom w:w="35" w:type="dxa"/>
              <w:right w:w="65" w:type="dxa"/>
            </w:tcMar>
          </w:tcPr>
          <w:p>
            <w:pPr>
              <w:pStyle w:val="TableText"/>
            </w:pPr>
            <w:r>
              <w:t>Final complete suite</w:t>
            </w:r>
          </w:p>
        </w:tc>
        <w:tc>
          <w:tcPr>
            <w:tcW w:type="dxa" w:w="2592"/>
            <w:vAlign w:val="top"/>
            <w:tcMar>
              <w:top w:w="40" w:type="dxa"/>
              <w:left w:w="65" w:type="dxa"/>
              <w:bottom w:w="35" w:type="dxa"/>
              <w:right w:w="65" w:type="dxa"/>
            </w:tcMar>
          </w:tcPr>
          <w:p>
            <w:pPr>
              <w:pStyle w:val="TableText"/>
            </w:pPr>
            <w:r>
              <w:rPr>
                <w:rStyle w:val="CodeCharacter"/>
              </w:rPr>
              <w:t>python -m pytest tests/ -q</w:t>
            </w:r>
          </w:p>
        </w:tc>
        <w:tc>
          <w:tcPr>
            <w:tcW w:type="dxa" w:w="2592"/>
            <w:vAlign w:val="top"/>
            <w:tcMar>
              <w:top w:w="40" w:type="dxa"/>
              <w:left w:w="65" w:type="dxa"/>
              <w:bottom w:w="35" w:type="dxa"/>
              <w:right w:w="65" w:type="dxa"/>
            </w:tcMar>
          </w:tcPr>
          <w:p>
            <w:pPr>
              <w:pStyle w:val="TableText"/>
            </w:pPr>
            <w:r>
              <w:t>121 passed; 2 warnings; 11.76s; no skips</w:t>
            </w:r>
          </w:p>
        </w:tc>
        <w:tc>
          <w:tcPr>
            <w:tcW w:type="dxa" w:w="1800"/>
            <w:vAlign w:val="top"/>
            <w:tcMar>
              <w:top w:w="40" w:type="dxa"/>
              <w:left w:w="65" w:type="dxa"/>
              <w:bottom w:w="35" w:type="dxa"/>
              <w:right w:w="65" w:type="dxa"/>
            </w:tcMar>
          </w:tcPr>
          <w:p>
            <w:pPr>
              <w:pStyle w:val="TableText"/>
            </w:pPr>
            <w:r>
              <w:t>Final implementation result.</w:t>
            </w:r>
          </w:p>
        </w:tc>
      </w:tr>
      <w:tr>
        <w:trPr>
          <w:cantSplit/>
        </w:trPr>
        <w:tc>
          <w:tcPr>
            <w:tcW w:type="dxa" w:w="2376"/>
            <w:vAlign w:val="top"/>
            <w:tcMar>
              <w:top w:w="40" w:type="dxa"/>
              <w:left w:w="65" w:type="dxa"/>
              <w:bottom w:w="35" w:type="dxa"/>
              <w:right w:w="65" w:type="dxa"/>
            </w:tcMar>
          </w:tcPr>
          <w:p>
            <w:pPr>
              <w:pStyle w:val="TableText"/>
            </w:pPr>
            <w:r>
              <w:t>Static checks</w:t>
            </w:r>
          </w:p>
        </w:tc>
        <w:tc>
          <w:tcPr>
            <w:tcW w:type="dxa" w:w="2592"/>
            <w:vAlign w:val="top"/>
            <w:tcMar>
              <w:top w:w="40" w:type="dxa"/>
              <w:left w:w="65" w:type="dxa"/>
              <w:bottom w:w="35" w:type="dxa"/>
              <w:right w:w="65" w:type="dxa"/>
            </w:tcMar>
          </w:tcPr>
          <w:p>
            <w:pPr>
              <w:pStyle w:val="TableText"/>
            </w:pPr>
            <w:r>
              <w:rPr>
                <w:rStyle w:val="CodeCharacter"/>
              </w:rPr>
              <w:t>python -m ruff check alignment/​version_​alignment eval/​alignment_​metrics.​py tests/​test_​alignment*.​py</w:t>
            </w:r>
          </w:p>
        </w:tc>
        <w:tc>
          <w:tcPr>
            <w:tcW w:type="dxa" w:w="2592"/>
            <w:vAlign w:val="top"/>
            <w:tcMar>
              <w:top w:w="40" w:type="dxa"/>
              <w:left w:w="65" w:type="dxa"/>
              <w:bottom w:w="35" w:type="dxa"/>
              <w:right w:w="65" w:type="dxa"/>
            </w:tcMar>
          </w:tcPr>
          <w:p>
            <w:pPr>
              <w:pStyle w:val="TableText"/>
            </w:pPr>
            <w:r>
              <w:t>All checks passed</w:t>
            </w:r>
          </w:p>
        </w:tc>
        <w:tc>
          <w:tcPr>
            <w:tcW w:type="dxa" w:w="1800"/>
            <w:vAlign w:val="top"/>
            <w:tcMar>
              <w:top w:w="40" w:type="dxa"/>
              <w:left w:w="65" w:type="dxa"/>
              <w:bottom w:w="35" w:type="dxa"/>
              <w:right w:w="65" w:type="dxa"/>
            </w:tcMar>
          </w:tcPr>
          <w:p>
            <w:pPr>
              <w:pStyle w:val="TableText"/>
            </w:pPr>
            <w:r>
              <w:t>Final recorded Ruff result.</w:t>
            </w:r>
          </w:p>
        </w:tc>
      </w:tr>
      <w:tr>
        <w:trPr>
          <w:cantSplit/>
        </w:trPr>
        <w:tc>
          <w:tcPr>
            <w:tcW w:type="dxa" w:w="2376"/>
            <w:vAlign w:val="top"/>
            <w:tcMar>
              <w:top w:w="40" w:type="dxa"/>
              <w:left w:w="65" w:type="dxa"/>
              <w:bottom w:w="35" w:type="dxa"/>
              <w:right w:w="65" w:type="dxa"/>
            </w:tcMar>
          </w:tcPr>
          <w:p>
            <w:pPr>
              <w:pStyle w:val="TableText"/>
            </w:pPr>
            <w:r>
              <w:t>Whitespace check</w:t>
            </w:r>
          </w:p>
        </w:tc>
        <w:tc>
          <w:tcPr>
            <w:tcW w:type="dxa" w:w="2592"/>
            <w:vAlign w:val="top"/>
            <w:tcMar>
              <w:top w:w="40" w:type="dxa"/>
              <w:left w:w="65" w:type="dxa"/>
              <w:bottom w:w="35" w:type="dxa"/>
              <w:right w:w="65" w:type="dxa"/>
            </w:tcMar>
          </w:tcPr>
          <w:p>
            <w:pPr>
              <w:pStyle w:val="TableText"/>
            </w:pPr>
            <w:r>
              <w:rPr>
                <w:rStyle w:val="CodeCharacter"/>
              </w:rPr>
              <w:t>git diff --check</w:t>
            </w:r>
          </w:p>
        </w:tc>
        <w:tc>
          <w:tcPr>
            <w:tcW w:type="dxa" w:w="2592"/>
            <w:vAlign w:val="top"/>
            <w:tcMar>
              <w:top w:w="40" w:type="dxa"/>
              <w:left w:w="65" w:type="dxa"/>
              <w:bottom w:w="35" w:type="dxa"/>
              <w:right w:w="65" w:type="dxa"/>
            </w:tcMar>
          </w:tcPr>
          <w:p>
            <w:pPr>
              <w:pStyle w:val="TableText"/>
            </w:pPr>
            <w:r>
              <w:t>Exit 0</w:t>
            </w:r>
          </w:p>
        </w:tc>
        <w:tc>
          <w:tcPr>
            <w:tcW w:type="dxa" w:w="1800"/>
            <w:vAlign w:val="top"/>
            <w:tcMar>
              <w:top w:w="40" w:type="dxa"/>
              <w:left w:w="65" w:type="dxa"/>
              <w:bottom w:w="35" w:type="dxa"/>
              <w:right w:w="65" w:type="dxa"/>
            </w:tcMar>
          </w:tcPr>
          <w:p>
            <w:pPr>
              <w:pStyle w:val="TableText"/>
            </w:pPr>
            <w:r>
              <w:t>Only Git LF/CRLF conversion notices.</w:t>
            </w:r>
          </w:p>
        </w:tc>
      </w:tr>
      <w:tr>
        <w:trPr>
          <w:cantSplit/>
        </w:trPr>
        <w:tc>
          <w:tcPr>
            <w:tcW w:type="dxa" w:w="2376"/>
            <w:vAlign w:val="top"/>
            <w:tcMar>
              <w:top w:w="40" w:type="dxa"/>
              <w:left w:w="65" w:type="dxa"/>
              <w:bottom w:w="35" w:type="dxa"/>
              <w:right w:w="65" w:type="dxa"/>
            </w:tcMar>
          </w:tcPr>
          <w:p>
            <w:pPr>
              <w:pStyle w:val="TableText"/>
            </w:pPr>
            <w:r>
              <w:t>Completed-run audit</w:t>
            </w:r>
          </w:p>
        </w:tc>
        <w:tc>
          <w:tcPr>
            <w:tcW w:type="dxa" w:w="2592"/>
            <w:vAlign w:val="top"/>
            <w:tcMar>
              <w:top w:w="40" w:type="dxa"/>
              <w:left w:w="65" w:type="dxa"/>
              <w:bottom w:w="35" w:type="dxa"/>
              <w:right w:w="65" w:type="dxa"/>
            </w:tcMar>
          </w:tcPr>
          <w:p>
            <w:pPr>
              <w:pStyle w:val="TableText"/>
            </w:pPr>
            <w:r>
              <w:rPr>
                <w:rStyle w:val="CodeCharacter"/>
              </w:rPr>
              <w:t>validate_run(run, root, protected)</w:t>
            </w:r>
            <w:r>
              <w:t>; CLI equivalent in Appendix C</w:t>
            </w:r>
          </w:p>
        </w:tc>
        <w:tc>
          <w:tcPr>
            <w:tcW w:type="dxa" w:w="2592"/>
            <w:vAlign w:val="top"/>
            <w:tcMar>
              <w:top w:w="40" w:type="dxa"/>
              <w:left w:w="65" w:type="dxa"/>
              <w:bottom w:w="35" w:type="dxa"/>
              <w:right w:w="65" w:type="dxa"/>
            </w:tcMar>
          </w:tcPr>
          <w:p>
            <w:pPr>
              <w:pStyle w:val="TableText"/>
            </w:pPr>
            <w:r>
              <w:t>PASS</w:t>
            </w:r>
          </w:p>
        </w:tc>
        <w:tc>
          <w:tcPr>
            <w:tcW w:type="dxa" w:w="1800"/>
            <w:vAlign w:val="top"/>
            <w:tcMar>
              <w:top w:w="40" w:type="dxa"/>
              <w:left w:w="65" w:type="dxa"/>
              <w:bottom w:w="35" w:type="dxa"/>
              <w:right w:w="65" w:type="dxa"/>
            </w:tcMar>
          </w:tcPr>
          <w:p>
            <w:pPr>
              <w:pStyle w:val="TableText"/>
            </w:pPr>
            <w:r>
              <w:t>Corrected auditor; successful result persisted outside run.</w:t>
            </w:r>
          </w:p>
        </w:tc>
      </w:tr>
    </w:tbl>
    <w:p>
      <w:pPr>
        <w:spacing w:after="0"/>
      </w:pPr>
    </w:p>
    <w:p>
      <w:pPr/>
      <w:r>
        <w:t xml:space="preserve">The two recurring warnings are third-party SwigPyPacked and SwigPyObject deprecations about missing </w:t>
      </w:r>
      <w:r>
        <w:rPr>
          <w:rStyle w:val="Strong"/>
        </w:rPr>
        <w:t>module</w:t>
      </w:r>
      <w:r>
        <w:t xml:space="preserve"> attributes. No final test failed or skipped. The real-model test is optional only when the pinned snapshot is absent on another machine; it executed locally. Parametrized cases account for the difference between callable counts and executed cases.</w:t>
      </w:r>
    </w:p>
    <w:p>
      <w:pPr>
        <w:pStyle w:val="Caption"/>
        <w:keepNext/>
      </w:pPr>
      <w:r>
        <w:t>Test-function inventory, for locating the verification behind the recorded results.</w:t>
      </w:r>
    </w:p>
    <w:tbl>
      <w:tblPr>
        <w:tblStyle w:val="TableGrid"/>
        <w:tblW w:type="auto" w:w="0"/>
        <w:jc w:val="center"/>
        <w:tblLayout w:type="fixed"/>
        <w:tblLook w:firstColumn="1" w:firstRow="1" w:lastColumn="0" w:lastRow="0" w:noHBand="0" w:noVBand="1" w:val="04A0"/>
      </w:tblPr>
      <w:tblGrid>
        <w:gridCol w:w="2880"/>
        <w:gridCol w:w="1152"/>
        <w:gridCol w:w="5328"/>
      </w:tblGrid>
      <w:tr>
        <w:trPr>
          <w:tblHeader w:val="true"/>
          <w:cantSplit/>
        </w:trPr>
        <w:tc>
          <w:tcPr>
            <w:tcW w:type="dxa" w:w="2880"/>
            <w:vAlign w:val="top"/>
            <w:tcMar>
              <w:top w:w="40" w:type="dxa"/>
              <w:left w:w="65" w:type="dxa"/>
              <w:bottom w:w="35" w:type="dxa"/>
              <w:right w:w="65" w:type="dxa"/>
            </w:tcMar>
          </w:tcPr>
          <w:p>
            <w:pPr>
              <w:pStyle w:val="TableHeader"/>
            </w:pPr>
            <w:r>
              <w:t>Test file</w:t>
            </w:r>
          </w:p>
        </w:tc>
        <w:tc>
          <w:tcPr>
            <w:tcW w:type="dxa" w:w="1152"/>
            <w:vAlign w:val="top"/>
            <w:tcMar>
              <w:top w:w="40" w:type="dxa"/>
              <w:left w:w="65" w:type="dxa"/>
              <w:bottom w:w="35" w:type="dxa"/>
              <w:right w:w="65" w:type="dxa"/>
            </w:tcMar>
          </w:tcPr>
          <w:p>
            <w:pPr>
              <w:pStyle w:val="TableHeader"/>
            </w:pPr>
            <w:r>
              <w:t>Functions</w:t>
            </w:r>
          </w:p>
        </w:tc>
        <w:tc>
          <w:tcPr>
            <w:tcW w:type="dxa" w:w="5328"/>
            <w:vAlign w:val="top"/>
            <w:tcMar>
              <w:top w:w="40" w:type="dxa"/>
              <w:left w:w="65" w:type="dxa"/>
              <w:bottom w:w="35" w:type="dxa"/>
              <w:right w:w="65" w:type="dxa"/>
            </w:tcMar>
          </w:tcPr>
          <w:p>
            <w:pPr>
              <w:pStyle w:val="TableHeader"/>
            </w:pPr>
            <w:r>
              <w:t>Covered test names (test_ prefix omitted)</w:t>
            </w:r>
          </w:p>
        </w:tc>
      </w:tr>
      <w:tr>
        <w:trPr>
          <w:cantSplit/>
        </w:trPr>
        <w:tc>
          <w:tcPr>
            <w:tcW w:type="dxa" w:w="2880"/>
            <w:vAlign w:val="top"/>
            <w:tcMar>
              <w:top w:w="40" w:type="dxa"/>
              <w:left w:w="65" w:type="dxa"/>
              <w:bottom w:w="35" w:type="dxa"/>
              <w:right w:w="65" w:type="dxa"/>
            </w:tcMar>
          </w:tcPr>
          <w:p>
            <w:pPr>
              <w:pStyle w:val="TableText"/>
            </w:pPr>
            <w:r>
              <w:rPr>
                <w:rStyle w:val="CodeCharacter"/>
              </w:rPr>
              <w:t>tests/​test_​alignment_​contracts.​py</w:t>
            </w:r>
          </w:p>
        </w:tc>
        <w:tc>
          <w:tcPr>
            <w:tcW w:type="dxa" w:w="1152"/>
            <w:vAlign w:val="top"/>
            <w:tcMar>
              <w:top w:w="40" w:type="dxa"/>
              <w:left w:w="65" w:type="dxa"/>
              <w:bottom w:w="35" w:type="dxa"/>
              <w:right w:w="65" w:type="dxa"/>
            </w:tcMar>
          </w:tcPr>
          <w:p>
            <w:pPr>
              <w:pStyle w:val="TableText"/>
            </w:pPr>
            <w:r>
              <w:t>3</w:t>
            </w:r>
          </w:p>
        </w:tc>
        <w:tc>
          <w:tcPr>
            <w:tcW w:type="dxa" w:w="5328"/>
            <w:vAlign w:val="top"/>
            <w:tcMar>
              <w:top w:w="40" w:type="dxa"/>
              <w:left w:w="65" w:type="dxa"/>
              <w:bottom w:w="35" w:type="dxa"/>
              <w:right w:w="65" w:type="dxa"/>
            </w:tcMar>
          </w:tcPr>
          <w:p>
            <w:pPr>
              <w:pStyle w:val="TableText"/>
            </w:pPr>
            <w:r>
              <w:t>threshold_order; schema_​matches_​contract; no_​automatic_​ambiguity_​labels_​or_​invalid_​cardinality</w:t>
            </w:r>
          </w:p>
        </w:tc>
      </w:tr>
      <w:tr>
        <w:trPr>
          <w:cantSplit/>
        </w:trPr>
        <w:tc>
          <w:tcPr>
            <w:tcW w:type="dxa" w:w="2880"/>
            <w:vAlign w:val="top"/>
            <w:tcMar>
              <w:top w:w="40" w:type="dxa"/>
              <w:left w:w="65" w:type="dxa"/>
              <w:bottom w:w="35" w:type="dxa"/>
              <w:right w:w="65" w:type="dxa"/>
            </w:tcMar>
          </w:tcPr>
          <w:p>
            <w:pPr>
              <w:pStyle w:val="TableText"/>
            </w:pPr>
            <w:r>
              <w:rPr>
                <w:rStyle w:val="CodeCharacter"/>
              </w:rPr>
              <w:t>tests/​test_​alignment_​embeddings.​py</w:t>
            </w:r>
          </w:p>
        </w:tc>
        <w:tc>
          <w:tcPr>
            <w:tcW w:type="dxa" w:w="1152"/>
            <w:vAlign w:val="top"/>
            <w:tcMar>
              <w:top w:w="40" w:type="dxa"/>
              <w:left w:w="65" w:type="dxa"/>
              <w:bottom w:w="35" w:type="dxa"/>
              <w:right w:w="65" w:type="dxa"/>
            </w:tcMar>
          </w:tcPr>
          <w:p>
            <w:pPr>
              <w:pStyle w:val="TableText"/>
            </w:pPr>
            <w:r>
              <w:t>9</w:t>
            </w:r>
          </w:p>
        </w:tc>
        <w:tc>
          <w:tcPr>
            <w:tcW w:type="dxa" w:w="5328"/>
            <w:vAlign w:val="top"/>
            <w:tcMar>
              <w:top w:w="40" w:type="dxa"/>
              <w:left w:w="65" w:type="dxa"/>
              <w:bottom w:w="35" w:type="dxa"/>
              <w:right w:w="65" w:type="dxa"/>
            </w:tcMar>
          </w:tcPr>
          <w:p>
            <w:pPr>
              <w:pStyle w:val="TableText"/>
            </w:pPr>
            <w:r>
              <w:t>long_​windows_​cache_​and_​corruption; lexical_​does_​not_​load_​model; boundaries_​termination_​and_​exact_​coverage; invalid_​window_​settings_​fail; blank_​clause_​is_​error_​not_​silent_​skip; special_​tokens_​count_​toward_​effective_​limit; tls08_​original_​failing_​clause_​token_​ids; real_​pinned_​encoder_​tls08_​and_​protocol_​punctuation; validation_​ignores_​serialized_​batch_​padding_​and_​truncation</w:t>
            </w:r>
          </w:p>
        </w:tc>
      </w:tr>
      <w:tr>
        <w:trPr>
          <w:cantSplit/>
        </w:trPr>
        <w:tc>
          <w:tcPr>
            <w:tcW w:type="dxa" w:w="2880"/>
            <w:vAlign w:val="top"/>
            <w:tcMar>
              <w:top w:w="40" w:type="dxa"/>
              <w:left w:w="65" w:type="dxa"/>
              <w:bottom w:w="35" w:type="dxa"/>
              <w:right w:w="65" w:type="dxa"/>
            </w:tcMar>
          </w:tcPr>
          <w:p>
            <w:pPr>
              <w:pStyle w:val="TableText"/>
            </w:pPr>
            <w:r>
              <w:rPr>
                <w:rStyle w:val="CodeCharacter"/>
              </w:rPr>
              <w:t>tests/​test_​alignment_​inputs.​py</w:t>
            </w:r>
          </w:p>
        </w:tc>
        <w:tc>
          <w:tcPr>
            <w:tcW w:type="dxa" w:w="1152"/>
            <w:vAlign w:val="top"/>
            <w:tcMar>
              <w:top w:w="40" w:type="dxa"/>
              <w:left w:w="65" w:type="dxa"/>
              <w:bottom w:w="35" w:type="dxa"/>
              <w:right w:w="65" w:type="dxa"/>
            </w:tcMar>
          </w:tcPr>
          <w:p>
            <w:pPr>
              <w:pStyle w:val="TableText"/>
            </w:pPr>
            <w:r>
              <w:t>5</w:t>
            </w:r>
          </w:p>
        </w:tc>
        <w:tc>
          <w:tcPr>
            <w:tcW w:type="dxa" w:w="5328"/>
            <w:vAlign w:val="top"/>
            <w:tcMar>
              <w:top w:w="40" w:type="dxa"/>
              <w:left w:w="65" w:type="dxa"/>
              <w:bottom w:w="35" w:type="dxa"/>
              <w:right w:w="65" w:type="dxa"/>
            </w:tcMar>
          </w:tcPr>
          <w:p>
            <w:pPr>
              <w:pStyle w:val="TableText"/>
            </w:pPr>
            <w:r>
              <w:t>timeline_​rejects_​gap_​duplicate_​and_​reverse_​dates; month_precision; normalization_​preserves_​protected_​tokens; normalization_​formal_​and_​list; real_​tls_​input_​snapshots_​are_​exclusive</w:t>
            </w:r>
          </w:p>
        </w:tc>
      </w:tr>
      <w:tr>
        <w:trPr>
          <w:cantSplit/>
        </w:trPr>
        <w:tc>
          <w:tcPr>
            <w:tcW w:type="dxa" w:w="2880"/>
            <w:vAlign w:val="top"/>
            <w:tcMar>
              <w:top w:w="40" w:type="dxa"/>
              <w:left w:w="65" w:type="dxa"/>
              <w:bottom w:w="35" w:type="dxa"/>
              <w:right w:w="65" w:type="dxa"/>
            </w:tcMar>
          </w:tcPr>
          <w:p>
            <w:pPr>
              <w:pStyle w:val="TableText"/>
            </w:pPr>
            <w:r>
              <w:rPr>
                <w:rStyle w:val="CodeCharacter"/>
              </w:rPr>
              <w:t>tests/​test_​alignment_​integration.​py</w:t>
            </w:r>
          </w:p>
        </w:tc>
        <w:tc>
          <w:tcPr>
            <w:tcW w:type="dxa" w:w="1152"/>
            <w:vAlign w:val="top"/>
            <w:tcMar>
              <w:top w:w="40" w:type="dxa"/>
              <w:left w:w="65" w:type="dxa"/>
              <w:bottom w:w="35" w:type="dxa"/>
              <w:right w:w="65" w:type="dxa"/>
            </w:tcMar>
          </w:tcPr>
          <w:p>
            <w:pPr>
              <w:pStyle w:val="TableText"/>
            </w:pPr>
            <w:r>
              <w:t>3</w:t>
            </w:r>
          </w:p>
        </w:tc>
        <w:tc>
          <w:tcPr>
            <w:tcW w:type="dxa" w:w="5328"/>
            <w:vAlign w:val="top"/>
            <w:tcMar>
              <w:top w:w="40" w:type="dxa"/>
              <w:left w:w="65" w:type="dxa"/>
              <w:bottom w:w="35" w:type="dxa"/>
              <w:right w:w="65" w:type="dxa"/>
            </w:tcMar>
          </w:tcPr>
          <w:p>
            <w:pPr>
              <w:pStyle w:val="TableText"/>
            </w:pPr>
            <w:r>
              <w:t>full_​synthetic_​run_​is_​deterministic_​and_​exclusive; failure_​records_​pair_​stage_​and_​traceback; rejects_​non_​tls_​or_​nonconsecutive_​pair</w:t>
            </w:r>
          </w:p>
        </w:tc>
      </w:tr>
      <w:tr>
        <w:trPr>
          <w:cantSplit/>
        </w:trPr>
        <w:tc>
          <w:tcPr>
            <w:tcW w:type="dxa" w:w="2880"/>
            <w:vAlign w:val="top"/>
            <w:tcMar>
              <w:top w:w="40" w:type="dxa"/>
              <w:left w:w="65" w:type="dxa"/>
              <w:bottom w:w="35" w:type="dxa"/>
              <w:right w:w="65" w:type="dxa"/>
            </w:tcMar>
          </w:tcPr>
          <w:p>
            <w:pPr>
              <w:pStyle w:val="TableText"/>
            </w:pPr>
            <w:r>
              <w:rPr>
                <w:rStyle w:val="CodeCharacter"/>
              </w:rPr>
              <w:t>tests/​test_​alignment_​matching.​py</w:t>
            </w:r>
          </w:p>
        </w:tc>
        <w:tc>
          <w:tcPr>
            <w:tcW w:type="dxa" w:w="1152"/>
            <w:vAlign w:val="top"/>
            <w:tcMar>
              <w:top w:w="40" w:type="dxa"/>
              <w:left w:w="65" w:type="dxa"/>
              <w:bottom w:w="35" w:type="dxa"/>
              <w:right w:w="65" w:type="dxa"/>
            </w:tcMar>
          </w:tcPr>
          <w:p>
            <w:pPr>
              <w:pStyle w:val="TableText"/>
            </w:pPr>
            <w:r>
              <w:t>9</w:t>
            </w:r>
          </w:p>
        </w:tc>
        <w:tc>
          <w:tcPr>
            <w:tcW w:type="dxa" w:w="5328"/>
            <w:vAlign w:val="top"/>
            <w:tcMar>
              <w:top w:w="40" w:type="dxa"/>
              <w:left w:w="65" w:type="dxa"/>
              <w:bottom w:w="35" w:type="dxa"/>
              <w:right w:w="65" w:type="dxa"/>
            </w:tcMar>
          </w:tcPr>
          <w:p>
            <w:pPr>
              <w:pStyle w:val="TableText"/>
            </w:pPr>
            <w:r>
              <w:t>assignment_​beats_​greedy; insert_​delete_​empty_​and_​exact; split_and_merge; protected_​changes_​not_​erased; move_​and_​renumbering; repeated_​text_​uncertain_​and_​semantic_​components; generic_​group_​is_​not_​split; contract_​rejects_​duplicates_​and_​bad_​spans; candidate_​ties_​are_​stable_​across_​python_​hash_​seeds</w:t>
            </w:r>
          </w:p>
        </w:tc>
      </w:tr>
      <w:tr>
        <w:trPr>
          <w:cantSplit/>
        </w:trPr>
        <w:tc>
          <w:tcPr>
            <w:tcW w:type="dxa" w:w="2880"/>
            <w:vAlign w:val="top"/>
            <w:tcMar>
              <w:top w:w="40" w:type="dxa"/>
              <w:left w:w="65" w:type="dxa"/>
              <w:bottom w:w="35" w:type="dxa"/>
              <w:right w:w="65" w:type="dxa"/>
            </w:tcMar>
          </w:tcPr>
          <w:p>
            <w:pPr>
              <w:pStyle w:val="TableText"/>
            </w:pPr>
            <w:r>
              <w:rPr>
                <w:rStyle w:val="CodeCharacter"/>
              </w:rPr>
              <w:t>tests/​test_​alignment_​temporal.​py</w:t>
            </w:r>
          </w:p>
        </w:tc>
        <w:tc>
          <w:tcPr>
            <w:tcW w:type="dxa" w:w="1152"/>
            <w:vAlign w:val="top"/>
            <w:tcMar>
              <w:top w:w="40" w:type="dxa"/>
              <w:left w:w="65" w:type="dxa"/>
              <w:bottom w:w="35" w:type="dxa"/>
              <w:right w:w="65" w:type="dxa"/>
            </w:tcMar>
          </w:tcPr>
          <w:p>
            <w:pPr>
              <w:pStyle w:val="TableText"/>
            </w:pPr>
            <w:r>
              <w:t>5</w:t>
            </w:r>
          </w:p>
        </w:tc>
        <w:tc>
          <w:tcPr>
            <w:tcW w:type="dxa" w:w="5328"/>
            <w:vAlign w:val="top"/>
            <w:tcMar>
              <w:top w:w="40" w:type="dxa"/>
              <w:left w:w="65" w:type="dxa"/>
              <w:bottom w:w="35" w:type="dxa"/>
              <w:right w:w="65" w:type="dxa"/>
            </w:tcMar>
          </w:tcPr>
          <w:p>
            <w:pPr>
              <w:pStyle w:val="TableText"/>
            </w:pPr>
            <w:r>
              <w:t>guard_​future_​roles_​unknown_​transitive_​and_​same_​day; reference_​resolution_​never_​latest_​future; prefix_​features_​and_​lineage_​unchanged_​by_​future; serialization_​and_​gold_​metrics; tls00_​01_​same_​submission_​day_​allows_​only_​predecessors</w:t>
            </w:r>
          </w:p>
        </w:tc>
      </w:tr>
    </w:tbl>
    <w:p>
      <w:pPr>
        <w:spacing w:after="0"/>
      </w:pPr>
    </w:p>
    <w:p>
      <w:pPr/>
      <w:r>
        <w:t xml:space="preserve">Existing </w:t>
      </w:r>
      <w:r>
        <w:rPr>
          <w:rStyle w:val="CodeCharacter"/>
        </w:rPr>
        <w:t>tests/​test_​clause_​segmentation.​py</w:t>
      </w:r>
      <w:r>
        <w:t xml:space="preserve">, </w:t>
      </w:r>
      <w:r>
        <w:rPr>
          <w:rStyle w:val="CodeCharacter"/>
        </w:rPr>
        <w:t>tests/​test_​corpus.​py</w:t>
      </w:r>
      <w:r>
        <w:t xml:space="preserve">, and </w:t>
      </w:r>
      <w:r>
        <w:rPr>
          <w:rStyle w:val="CodeCharacter"/>
        </w:rPr>
        <w:t>tests/​test_​segmentation.​py</w:t>
      </w:r>
      <w:r>
        <w:t xml:space="preserve"> are part of the complete suite. The schema-sync test compares generated contract schema with the saved JSON Schema. Integration tests check immutable path rejection, stable earlier histories and explicit failure records. Synthetic metrics verify evaluator mechanics; they do not supply measured TLS precision or recall.</w:t>
      </w:r>
    </w:p>
    <w:p>
      <w:pPr>
        <w:pStyle w:val="Heading2"/>
      </w:pPr>
      <w:r>
        <w:t>Appendix L: Generated artifact inventory</w:t>
      </w:r>
    </w:p>
    <w:p>
      <w:pPr/>
      <w:r>
        <w:t xml:space="preserve">The successful run root is </w:t>
      </w:r>
      <w:r>
        <w:rPr>
          <w:rStyle w:val="CodeCharacter"/>
        </w:rPr>
        <w:t>corpus/​processed/​alignments/​draft-​ietf-​tls-​tls13/​pilot-​semantic-​v5</w:t>
      </w:r>
      <w:r>
        <w:t>. All run-relative paths in the table resolve below that existing directory. Its manifest contains 185 artifact entries; the manifest itself is additional and is not self-hashed. The inventory groups repeated per-document and per-pair artifacts without implying that the full local dataset is stored in Git.</w:t>
      </w:r>
    </w:p>
    <w:p>
      <w:pPr>
        <w:pStyle w:val="Caption"/>
        <w:keepNext/>
      </w:pPr>
      <w:r>
        <w:t>Complete artifact categories in the successful run.</w:t>
      </w:r>
    </w:p>
    <w:tbl>
      <w:tblPr>
        <w:tblStyle w:val="TableGrid"/>
        <w:tblW w:type="auto" w:w="0"/>
        <w:jc w:val="center"/>
        <w:tblLayout w:type="fixed"/>
        <w:tblLook w:firstColumn="1" w:firstRow="1" w:lastColumn="0" w:lastRow="0" w:noHBand="0" w:noVBand="1" w:val="04A0"/>
      </w:tblPr>
      <w:tblGrid>
        <w:gridCol w:w="3312"/>
        <w:gridCol w:w="720"/>
        <w:gridCol w:w="5328"/>
      </w:tblGrid>
      <w:tr>
        <w:trPr>
          <w:tblHeader w:val="true"/>
          <w:cantSplit/>
        </w:trPr>
        <w:tc>
          <w:tcPr>
            <w:tcW w:type="dxa" w:w="3312"/>
            <w:vAlign w:val="top"/>
            <w:tcMar>
              <w:top w:w="40" w:type="dxa"/>
              <w:left w:w="65" w:type="dxa"/>
              <w:bottom w:w="35" w:type="dxa"/>
              <w:right w:w="65" w:type="dxa"/>
            </w:tcMar>
          </w:tcPr>
          <w:p>
            <w:pPr>
              <w:pStyle w:val="TableHeader"/>
            </w:pPr>
            <w:r>
              <w:t>Run-relative path</w:t>
            </w:r>
          </w:p>
        </w:tc>
        <w:tc>
          <w:tcPr>
            <w:tcW w:type="dxa" w:w="720"/>
            <w:vAlign w:val="top"/>
            <w:tcMar>
              <w:top w:w="40" w:type="dxa"/>
              <w:left w:w="65" w:type="dxa"/>
              <w:bottom w:w="35" w:type="dxa"/>
              <w:right w:w="65" w:type="dxa"/>
            </w:tcMar>
          </w:tcPr>
          <w:p>
            <w:pPr>
              <w:pStyle w:val="TableHeader"/>
            </w:pPr>
            <w:r>
              <w:t>Files</w:t>
            </w:r>
          </w:p>
        </w:tc>
        <w:tc>
          <w:tcPr>
            <w:tcW w:type="dxa" w:w="5328"/>
            <w:vAlign w:val="top"/>
            <w:tcMar>
              <w:top w:w="40" w:type="dxa"/>
              <w:left w:w="65" w:type="dxa"/>
              <w:bottom w:w="35" w:type="dxa"/>
              <w:right w:w="65" w:type="dxa"/>
            </w:tcMar>
          </w:tcPr>
          <w:p>
            <w:pPr>
              <w:pStyle w:val="TableHeader"/>
            </w:pPr>
            <w:r>
              <w:t>Content</w:t>
            </w:r>
          </w:p>
        </w:tc>
      </w:tr>
      <w:tr>
        <w:trPr>
          <w:cantSplit/>
        </w:trPr>
        <w:tc>
          <w:tcPr>
            <w:tcW w:type="dxa" w:w="3312"/>
            <w:vAlign w:val="top"/>
            <w:tcMar>
              <w:top w:w="40" w:type="dxa"/>
              <w:left w:w="65" w:type="dxa"/>
              <w:bottom w:w="35" w:type="dxa"/>
              <w:right w:w="65" w:type="dxa"/>
            </w:tcMar>
          </w:tcPr>
          <w:p>
            <w:pPr>
              <w:pStyle w:val="TableText"/>
            </w:pPr>
            <w:r>
              <w:t>request.json</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Run request, configuration, selected scope and creation timestamp.</w:t>
            </w:r>
          </w:p>
        </w:tc>
      </w:tr>
      <w:tr>
        <w:trPr>
          <w:cantSplit/>
        </w:trPr>
        <w:tc>
          <w:tcPr>
            <w:tcW w:type="dxa" w:w="3312"/>
            <w:vAlign w:val="top"/>
            <w:tcMar>
              <w:top w:w="40" w:type="dxa"/>
              <w:left w:w="65" w:type="dxa"/>
              <w:bottom w:w="35" w:type="dxa"/>
              <w:right w:w="65" w:type="dxa"/>
            </w:tcMar>
          </w:tcPr>
          <w:p>
            <w:pPr>
              <w:pStyle w:val="TableText"/>
            </w:pPr>
            <w:r>
              <w:t>inputs/*.json</w:t>
            </w:r>
          </w:p>
        </w:tc>
        <w:tc>
          <w:tcPr>
            <w:tcW w:type="dxa" w:w="720"/>
            <w:vAlign w:val="top"/>
            <w:tcMar>
              <w:top w:w="40" w:type="dxa"/>
              <w:left w:w="65" w:type="dxa"/>
              <w:bottom w:w="35" w:type="dxa"/>
              <w:right w:w="65" w:type="dxa"/>
            </w:tcMar>
          </w:tcPr>
          <w:p>
            <w:pPr>
              <w:pStyle w:val="TableText"/>
            </w:pPr>
            <w:r>
              <w:t>30</w:t>
            </w:r>
          </w:p>
        </w:tc>
        <w:tc>
          <w:tcPr>
            <w:tcW w:type="dxa" w:w="5328"/>
            <w:vAlign w:val="top"/>
            <w:tcMar>
              <w:top w:w="40" w:type="dxa"/>
              <w:left w:w="65" w:type="dxa"/>
              <w:bottom w:w="35" w:type="dxa"/>
              <w:right w:w="65" w:type="dxa"/>
            </w:tcMar>
          </w:tcPr>
          <w:p>
            <w:pPr>
              <w:pStyle w:val="TableText"/>
            </w:pPr>
            <w:r>
              <w:t>28 preferred snapshots plus prepared TLS-22 and RFC8446; hashes and original provenance.</w:t>
            </w:r>
          </w:p>
        </w:tc>
      </w:tr>
      <w:tr>
        <w:trPr>
          <w:cantSplit/>
        </w:trPr>
        <w:tc>
          <w:tcPr>
            <w:tcW w:type="dxa" w:w="3312"/>
            <w:vAlign w:val="top"/>
            <w:tcMar>
              <w:top w:w="40" w:type="dxa"/>
              <w:left w:w="65" w:type="dxa"/>
              <w:bottom w:w="35" w:type="dxa"/>
              <w:right w:w="65" w:type="dxa"/>
            </w:tcMar>
          </w:tcPr>
          <w:p>
            <w:pPr>
              <w:pStyle w:val="TableText"/>
            </w:pPr>
            <w:r>
              <w:t>model.json</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Pinned model/tokenizer artifacts, packages and effective window policy.</w:t>
            </w:r>
          </w:p>
        </w:tc>
      </w:tr>
      <w:tr>
        <w:trPr>
          <w:cantSplit/>
        </w:trPr>
        <w:tc>
          <w:tcPr>
            <w:tcW w:type="dxa" w:w="3312"/>
            <w:vAlign w:val="top"/>
            <w:tcMar>
              <w:top w:w="40" w:type="dxa"/>
              <w:left w:w="65" w:type="dxa"/>
              <w:bottom w:w="35" w:type="dxa"/>
              <w:right w:w="65" w:type="dxa"/>
            </w:tcMar>
          </w:tcPr>
          <w:p>
            <w:pPr>
              <w:pStyle w:val="TableText"/>
            </w:pPr>
            <w:r>
              <w:t>embedding_​windows/​*.​jsonl</w:t>
            </w:r>
          </w:p>
        </w:tc>
        <w:tc>
          <w:tcPr>
            <w:tcW w:type="dxa" w:w="720"/>
            <w:vAlign w:val="top"/>
            <w:tcMar>
              <w:top w:w="40" w:type="dxa"/>
              <w:left w:w="65" w:type="dxa"/>
              <w:bottom w:w="35" w:type="dxa"/>
              <w:right w:w="65" w:type="dxa"/>
            </w:tcMar>
          </w:tcPr>
          <w:p>
            <w:pPr>
              <w:pStyle w:val="TableText"/>
            </w:pPr>
            <w:r>
              <w:t>30</w:t>
            </w:r>
          </w:p>
        </w:tc>
        <w:tc>
          <w:tcPr>
            <w:tcW w:type="dxa" w:w="5328"/>
            <w:vAlign w:val="top"/>
            <w:tcMar>
              <w:top w:w="40" w:type="dxa"/>
              <w:left w:w="65" w:type="dxa"/>
              <w:bottom w:w="35" w:type="dxa"/>
              <w:right w:w="65" w:type="dxa"/>
            </w:tcMar>
          </w:tcPr>
          <w:p>
            <w:pPr>
              <w:pStyle w:val="TableText"/>
            </w:pPr>
            <w:r>
              <w:t>52,361 token-window provenance records.</w:t>
            </w:r>
          </w:p>
        </w:tc>
      </w:tr>
      <w:tr>
        <w:trPr>
          <w:cantSplit/>
        </w:trPr>
        <w:tc>
          <w:tcPr>
            <w:tcW w:type="dxa" w:w="3312"/>
            <w:vAlign w:val="top"/>
            <w:tcMar>
              <w:top w:w="40" w:type="dxa"/>
              <w:left w:w="65" w:type="dxa"/>
              <w:bottom w:w="35" w:type="dxa"/>
              <w:right w:w="65" w:type="dxa"/>
            </w:tcMar>
          </w:tcPr>
          <w:p>
            <w:pPr>
              <w:pStyle w:val="TableText"/>
            </w:pPr>
            <w:r>
              <w:t>pairs/​*/​candidates.​jsonl</w:t>
            </w:r>
          </w:p>
        </w:tc>
        <w:tc>
          <w:tcPr>
            <w:tcW w:type="dxa" w:w="720"/>
            <w:vAlign w:val="top"/>
            <w:tcMar>
              <w:top w:w="40" w:type="dxa"/>
              <w:left w:w="65" w:type="dxa"/>
              <w:bottom w:w="35" w:type="dxa"/>
              <w:right w:w="65" w:type="dxa"/>
            </w:tcMar>
          </w:tcPr>
          <w:p>
            <w:pPr>
              <w:pStyle w:val="TableText"/>
            </w:pPr>
            <w:r>
              <w:t>29</w:t>
            </w:r>
          </w:p>
        </w:tc>
        <w:tc>
          <w:tcPr>
            <w:tcW w:type="dxa" w:w="5328"/>
            <w:vAlign w:val="top"/>
            <w:tcMar>
              <w:top w:w="40" w:type="dxa"/>
              <w:left w:w="65" w:type="dxa"/>
              <w:bottom w:w="35" w:type="dxa"/>
              <w:right w:w="65" w:type="dxa"/>
            </w:tcMar>
          </w:tcPr>
          <w:p>
            <w:pPr>
              <w:pStyle w:val="TableText"/>
            </w:pPr>
            <w:r>
              <w:t>877,103 candidate hypotheses over all pairs.</w:t>
            </w:r>
          </w:p>
        </w:tc>
      </w:tr>
      <w:tr>
        <w:trPr>
          <w:cantSplit/>
        </w:trPr>
        <w:tc>
          <w:tcPr>
            <w:tcW w:type="dxa" w:w="3312"/>
            <w:vAlign w:val="top"/>
            <w:tcMar>
              <w:top w:w="40" w:type="dxa"/>
              <w:left w:w="65" w:type="dxa"/>
              <w:bottom w:w="35" w:type="dxa"/>
              <w:right w:w="65" w:type="dxa"/>
            </w:tcMar>
          </w:tcPr>
          <w:p>
            <w:pPr>
              <w:pStyle w:val="TableText"/>
            </w:pPr>
            <w:r>
              <w:t>pairs/​*/​alignments.​jsonl</w:t>
            </w:r>
          </w:p>
        </w:tc>
        <w:tc>
          <w:tcPr>
            <w:tcW w:type="dxa" w:w="720"/>
            <w:vAlign w:val="top"/>
            <w:tcMar>
              <w:top w:w="40" w:type="dxa"/>
              <w:left w:w="65" w:type="dxa"/>
              <w:bottom w:w="35" w:type="dxa"/>
              <w:right w:w="65" w:type="dxa"/>
            </w:tcMar>
          </w:tcPr>
          <w:p>
            <w:pPr>
              <w:pStyle w:val="TableText"/>
            </w:pPr>
            <w:r>
              <w:t>29</w:t>
            </w:r>
          </w:p>
        </w:tc>
        <w:tc>
          <w:tcPr>
            <w:tcW w:type="dxa" w:w="5328"/>
            <w:vAlign w:val="top"/>
            <w:tcMar>
              <w:top w:w="40" w:type="dxa"/>
              <w:left w:w="65" w:type="dxa"/>
              <w:bottom w:w="35" w:type="dxa"/>
              <w:right w:w="65" w:type="dxa"/>
            </w:tcMar>
          </w:tcPr>
          <w:p>
            <w:pPr>
              <w:pStyle w:val="TableText"/>
            </w:pPr>
            <w:r>
              <w:t>Per-pair relationships consistent with consolidated output.</w:t>
            </w:r>
          </w:p>
        </w:tc>
      </w:tr>
      <w:tr>
        <w:trPr>
          <w:cantSplit/>
        </w:trPr>
        <w:tc>
          <w:tcPr>
            <w:tcW w:type="dxa" w:w="3312"/>
            <w:vAlign w:val="top"/>
            <w:tcMar>
              <w:top w:w="40" w:type="dxa"/>
              <w:left w:w="65" w:type="dxa"/>
              <w:bottom w:w="35" w:type="dxa"/>
              <w:right w:w="65" w:type="dxa"/>
            </w:tcMar>
          </w:tcPr>
          <w:p>
            <w:pPr>
              <w:pStyle w:val="TableText"/>
            </w:pPr>
            <w:r>
              <w:t>pairs/*/report.json</w:t>
            </w:r>
          </w:p>
        </w:tc>
        <w:tc>
          <w:tcPr>
            <w:tcW w:type="dxa" w:w="720"/>
            <w:vAlign w:val="top"/>
            <w:tcMar>
              <w:top w:w="40" w:type="dxa"/>
              <w:left w:w="65" w:type="dxa"/>
              <w:bottom w:w="35" w:type="dxa"/>
              <w:right w:w="65" w:type="dxa"/>
            </w:tcMar>
          </w:tcPr>
          <w:p>
            <w:pPr>
              <w:pStyle w:val="TableText"/>
            </w:pPr>
            <w:r>
              <w:t>29</w:t>
            </w:r>
          </w:p>
        </w:tc>
        <w:tc>
          <w:tcPr>
            <w:tcW w:type="dxa" w:w="5328"/>
            <w:vAlign w:val="top"/>
            <w:tcMar>
              <w:top w:w="40" w:type="dxa"/>
              <w:left w:w="65" w:type="dxa"/>
              <w:bottom w:w="35" w:type="dxa"/>
              <w:right w:w="65" w:type="dxa"/>
            </w:tcMar>
          </w:tcPr>
          <w:p>
            <w:pPr>
              <w:pStyle w:val="TableText"/>
            </w:pPr>
            <w:r>
              <w:t>Counts, durations, candidate totals and solver diagnostics.</w:t>
            </w:r>
          </w:p>
        </w:tc>
      </w:tr>
      <w:tr>
        <w:trPr>
          <w:cantSplit/>
        </w:trPr>
        <w:tc>
          <w:tcPr>
            <w:tcW w:type="dxa" w:w="3312"/>
            <w:vAlign w:val="top"/>
            <w:tcMar>
              <w:top w:w="40" w:type="dxa"/>
              <w:left w:w="65" w:type="dxa"/>
              <w:bottom w:w="35" w:type="dxa"/>
              <w:right w:w="65" w:type="dxa"/>
            </w:tcMar>
          </w:tcPr>
          <w:p>
            <w:pPr>
              <w:pStyle w:val="TableText"/>
            </w:pPr>
            <w:r>
              <w:t>candidates.jsonl</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Consolidated candidate graph.</w:t>
            </w:r>
          </w:p>
        </w:tc>
      </w:tr>
      <w:tr>
        <w:trPr>
          <w:cantSplit/>
        </w:trPr>
        <w:tc>
          <w:tcPr>
            <w:tcW w:type="dxa" w:w="3312"/>
            <w:vAlign w:val="top"/>
            <w:tcMar>
              <w:top w:w="40" w:type="dxa"/>
              <w:left w:w="65" w:type="dxa"/>
              <w:bottom w:w="35" w:type="dxa"/>
              <w:right w:w="65" w:type="dxa"/>
            </w:tcMar>
          </w:tcPr>
          <w:p>
            <w:pPr>
              <w:pStyle w:val="TableText"/>
            </w:pPr>
            <w:r>
              <w:t>alignments.jsonl</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52,953 provisional relationships.</w:t>
            </w:r>
          </w:p>
        </w:tc>
      </w:tr>
      <w:tr>
        <w:trPr>
          <w:cantSplit/>
        </w:trPr>
        <w:tc>
          <w:tcPr>
            <w:tcW w:type="dxa" w:w="3312"/>
            <w:vAlign w:val="top"/>
            <w:tcMar>
              <w:top w:w="40" w:type="dxa"/>
              <w:left w:w="65" w:type="dxa"/>
              <w:bottom w:w="35" w:type="dxa"/>
              <w:right w:w="65" w:type="dxa"/>
            </w:tcMar>
          </w:tcPr>
          <w:p>
            <w:pPr>
              <w:pStyle w:val="TableText"/>
            </w:pPr>
            <w:r>
              <w:t>lineage.jsonl</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52,137 occurrence nodes with lineage/parent references.</w:t>
            </w:r>
          </w:p>
        </w:tc>
      </w:tr>
      <w:tr>
        <w:trPr>
          <w:cantSplit/>
        </w:trPr>
        <w:tc>
          <w:tcPr>
            <w:tcW w:type="dxa" w:w="3312"/>
            <w:vAlign w:val="top"/>
            <w:tcMar>
              <w:top w:w="40" w:type="dxa"/>
              <w:left w:w="65" w:type="dxa"/>
              <w:bottom w:w="35" w:type="dxa"/>
              <w:right w:w="65" w:type="dxa"/>
            </w:tcMar>
          </w:tcPr>
          <w:p>
            <w:pPr>
              <w:pStyle w:val="TableText"/>
            </w:pPr>
            <w:r>
              <w:t>review_queue.jsonl</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26,884 review-required bundles.</w:t>
            </w:r>
          </w:p>
        </w:tc>
      </w:tr>
      <w:tr>
        <w:trPr>
          <w:cantSplit/>
        </w:trPr>
        <w:tc>
          <w:tcPr>
            <w:tcW w:type="dxa" w:w="3312"/>
            <w:vAlign w:val="top"/>
            <w:tcMar>
              <w:top w:w="40" w:type="dxa"/>
              <w:left w:w="65" w:type="dxa"/>
              <w:bottom w:w="35" w:type="dxa"/>
              <w:right w:w="65" w:type="dxa"/>
            </w:tcMar>
          </w:tcPr>
          <w:p>
            <w:pPr>
              <w:pStyle w:val="TableText"/>
            </w:pPr>
            <w:r>
              <w:t>review_sample.jsonl</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150 unique unlabeled bundles.</w:t>
            </w:r>
          </w:p>
        </w:tc>
      </w:tr>
      <w:tr>
        <w:trPr>
          <w:cantSplit/>
        </w:trPr>
        <w:tc>
          <w:tcPr>
            <w:tcW w:type="dxa" w:w="3312"/>
            <w:vAlign w:val="top"/>
            <w:tcMar>
              <w:top w:w="40" w:type="dxa"/>
              <w:left w:w="65" w:type="dxa"/>
              <w:bottom w:w="35" w:type="dxa"/>
              <w:right w:w="65" w:type="dxa"/>
            </w:tcMar>
          </w:tcPr>
          <w:p>
            <w:pPr>
              <w:pStyle w:val="TableText"/>
            </w:pPr>
            <w:r>
              <w:t>features/*.jsonl</w:t>
            </w:r>
          </w:p>
        </w:tc>
        <w:tc>
          <w:tcPr>
            <w:tcW w:type="dxa" w:w="720"/>
            <w:vAlign w:val="top"/>
            <w:tcMar>
              <w:top w:w="40" w:type="dxa"/>
              <w:left w:w="65" w:type="dxa"/>
              <w:bottom w:w="35" w:type="dxa"/>
              <w:right w:w="65" w:type="dxa"/>
            </w:tcMar>
          </w:tcPr>
          <w:p>
            <w:pPr>
              <w:pStyle w:val="TableText"/>
            </w:pPr>
            <w:r>
              <w:t>29</w:t>
            </w:r>
          </w:p>
        </w:tc>
        <w:tc>
          <w:tcPr>
            <w:tcW w:type="dxa" w:w="5328"/>
            <w:vAlign w:val="top"/>
            <w:tcMar>
              <w:top w:w="40" w:type="dxa"/>
              <w:left w:w="65" w:type="dxa"/>
              <w:bottom w:w="35" w:type="dxa"/>
              <w:right w:w="65" w:type="dxa"/>
            </w:tcMar>
          </w:tcPr>
          <w:p>
            <w:pPr>
              <w:pStyle w:val="TableText"/>
            </w:pPr>
            <w:r>
              <w:t>50,138 draft-only feature rows; no RFC prediction features.</w:t>
            </w:r>
          </w:p>
        </w:tc>
      </w:tr>
      <w:tr>
        <w:trPr>
          <w:cantSplit/>
        </w:trPr>
        <w:tc>
          <w:tcPr>
            <w:tcW w:type="dxa" w:w="3312"/>
            <w:vAlign w:val="top"/>
            <w:tcMar>
              <w:top w:w="40" w:type="dxa"/>
              <w:left w:w="65" w:type="dxa"/>
              <w:bottom w:w="35" w:type="dxa"/>
              <w:right w:w="65" w:type="dxa"/>
            </w:tcMar>
          </w:tcPr>
          <w:p>
            <w:pPr>
              <w:pStyle w:val="TableText"/>
            </w:pPr>
            <w:r>
              <w:t>diagnostics.jsonl</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Empty: no unresolved feature diagnostics.</w:t>
            </w:r>
          </w:p>
        </w:tc>
      </w:tr>
      <w:tr>
        <w:trPr>
          <w:cantSplit/>
        </w:trPr>
        <w:tc>
          <w:tcPr>
            <w:tcW w:type="dxa" w:w="3312"/>
            <w:vAlign w:val="top"/>
            <w:tcMar>
              <w:top w:w="40" w:type="dxa"/>
              <w:left w:w="65" w:type="dxa"/>
              <w:bottom w:w="35" w:type="dxa"/>
              <w:right w:w="65" w:type="dxa"/>
            </w:tcMar>
          </w:tcPr>
          <w:p>
            <w:pPr>
              <w:pStyle w:val="TableText"/>
            </w:pPr>
            <w:r>
              <w:t>report.json</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Final counts, runtime, window statistics and null gold metrics.</w:t>
            </w:r>
          </w:p>
        </w:tc>
      </w:tr>
      <w:tr>
        <w:trPr>
          <w:cantSplit/>
        </w:trPr>
        <w:tc>
          <w:tcPr>
            <w:tcW w:type="dxa" w:w="3312"/>
            <w:vAlign w:val="top"/>
            <w:tcMar>
              <w:top w:w="40" w:type="dxa"/>
              <w:left w:w="65" w:type="dxa"/>
              <w:bottom w:w="35" w:type="dxa"/>
              <w:right w:w="65" w:type="dxa"/>
            </w:tcMar>
          </w:tcPr>
          <w:p>
            <w:pPr>
              <w:pStyle w:val="TableText"/>
            </w:pPr>
            <w:r>
              <w:t>run_manifest.json</w:t>
            </w:r>
          </w:p>
        </w:tc>
        <w:tc>
          <w:tcPr>
            <w:tcW w:type="dxa" w:w="720"/>
            <w:vAlign w:val="top"/>
            <w:tcMar>
              <w:top w:w="40" w:type="dxa"/>
              <w:left w:w="65" w:type="dxa"/>
              <w:bottom w:w="35" w:type="dxa"/>
              <w:right w:w="65" w:type="dxa"/>
            </w:tcMar>
          </w:tcPr>
          <w:p>
            <w:pPr>
              <w:pStyle w:val="TableText"/>
            </w:pPr>
            <w:r>
              <w:t>1</w:t>
            </w:r>
          </w:p>
        </w:tc>
        <w:tc>
          <w:tcPr>
            <w:tcW w:type="dxa" w:w="5328"/>
            <w:vAlign w:val="top"/>
            <w:tcMar>
              <w:top w:w="40" w:type="dxa"/>
              <w:left w:w="65" w:type="dxa"/>
              <w:bottom w:w="35" w:type="dxa"/>
              <w:right w:w="65" w:type="dxa"/>
            </w:tcMar>
          </w:tcPr>
          <w:p>
            <w:pPr>
              <w:pStyle w:val="TableText"/>
            </w:pPr>
            <w:r>
              <w:t>COMPLETE status, code/​configuration/​input/​artifact evidence.</w:t>
            </w:r>
          </w:p>
        </w:tc>
      </w:tr>
    </w:tbl>
    <w:p>
      <w:pPr>
        <w:spacing w:after="0"/>
      </w:pPr>
    </w:p>
    <w:p>
      <w:pPr/>
      <w:r>
        <w:t xml:space="preserve">External supporting records: </w:t>
      </w:r>
      <w:r>
        <w:rPr>
          <w:rStyle w:val="CodeCharacter"/>
        </w:rPr>
        <w:t>corpus/​processed/​alignments/​draft-​ietf-​tls-​tls13/​pilot-​semantic-​v5-​validation.​json</w:t>
      </w:r>
      <w:r>
        <w:t xml:space="preserve">; </w:t>
      </w:r>
      <w:r>
        <w:rPr>
          <w:rStyle w:val="CodeCharacter"/>
        </w:rPr>
        <w:t>corpus/​processed/​alignments/​draft-​ietf-​tls-​tls13/​pilot-​semantic-​v5-​validation-​failure.​json</w:t>
      </w:r>
      <w:r>
        <w:t xml:space="preserve">; and </w:t>
      </w:r>
      <w:r>
        <w:rPr>
          <w:rStyle w:val="CodeCharacter"/>
        </w:rPr>
        <w:t>corpus/​processed/​alignments/​recovery-​protected-​inputs-​v3.​json</w:t>
      </w:r>
      <w:r>
        <w:t xml:space="preserve">. Shared embedding arrays and manifests are under </w:t>
      </w:r>
      <w:r>
        <w:rPr>
          <w:rStyle w:val="CodeCharacter"/>
        </w:rPr>
        <w:t>corpus/​processed/​alignments/​_​embedding_​cache/​</w:t>
      </w:r>
      <w:r>
        <w:t xml:space="preserve">. Failed-run failure.json files are in Appendix I. The current validator hash is </w:t>
      </w:r>
      <w:r>
        <w:rPr>
          <w:rStyle w:val="CodeCharacter"/>
        </w:rPr>
        <w:t>c924c07ccd7c8dc4​f2336e0efc5a3c41​546121fcdbde8877​8086d86e18446e90</w:t>
      </w:r>
      <w:r>
        <w:t>.</w:t>
      </w:r>
    </w:p>
    <w:p>
      <w:pPr/>
      <w:r>
        <w:t>Model resource hashes from the run:</w:t>
      </w:r>
    </w:p>
    <w:p>
      <w:pPr>
        <w:pStyle w:val="Caption"/>
        <w:keepNext/>
      </w:pPr>
      <w:r>
        <w:t>Complete model snapshot artifact hashes. Names are relative to the pinned model snapshot, not repository paths.</w:t>
      </w:r>
    </w:p>
    <w:tbl>
      <w:tblPr>
        <w:tblStyle w:val="TableGrid"/>
        <w:tblW w:type="auto" w:w="0"/>
        <w:jc w:val="center"/>
        <w:tblLayout w:type="fixed"/>
        <w:tblLook w:firstColumn="1" w:firstRow="1" w:lastColumn="0" w:lastRow="0" w:noHBand="0" w:noVBand="1" w:val="04A0"/>
      </w:tblPr>
      <w:tblGrid>
        <w:gridCol w:w="3024"/>
        <w:gridCol w:w="6336"/>
      </w:tblGrid>
      <w:tr>
        <w:trPr>
          <w:tblHeader w:val="true"/>
          <w:cantSplit/>
        </w:trPr>
        <w:tc>
          <w:tcPr>
            <w:tcW w:type="dxa" w:w="3024"/>
            <w:vAlign w:val="top"/>
            <w:tcMar>
              <w:top w:w="40" w:type="dxa"/>
              <w:left w:w="65" w:type="dxa"/>
              <w:bottom w:w="35" w:type="dxa"/>
              <w:right w:w="65" w:type="dxa"/>
            </w:tcMar>
          </w:tcPr>
          <w:p>
            <w:pPr>
              <w:pStyle w:val="TableHeader"/>
            </w:pPr>
            <w:r>
              <w:t>Model artifact</w:t>
            </w:r>
          </w:p>
        </w:tc>
        <w:tc>
          <w:tcPr>
            <w:tcW w:type="dxa" w:w="6336"/>
            <w:vAlign w:val="top"/>
            <w:tcMar>
              <w:top w:w="40" w:type="dxa"/>
              <w:left w:w="65" w:type="dxa"/>
              <w:bottom w:w="35" w:type="dxa"/>
              <w:right w:w="65" w:type="dxa"/>
            </w:tcMar>
          </w:tcPr>
          <w:p>
            <w:pPr>
              <w:pStyle w:val="TableHeader"/>
            </w:pPr>
            <w:r>
              <w:t>SHA-256</w:t>
            </w:r>
          </w:p>
        </w:tc>
      </w:tr>
      <w:tr>
        <w:trPr>
          <w:cantSplit/>
        </w:trPr>
        <w:tc>
          <w:tcPr>
            <w:tcW w:type="dxa" w:w="3024"/>
            <w:vAlign w:val="top"/>
            <w:tcMar>
              <w:top w:w="40" w:type="dxa"/>
              <w:left w:w="65" w:type="dxa"/>
              <w:bottom w:w="35" w:type="dxa"/>
              <w:right w:w="65" w:type="dxa"/>
            </w:tcMar>
          </w:tcPr>
          <w:p>
            <w:pPr>
              <w:pStyle w:val="TableText"/>
            </w:pPr>
            <w:r>
              <w:t>1_​Pooling/​config.​json</w:t>
            </w:r>
          </w:p>
        </w:tc>
        <w:tc>
          <w:tcPr>
            <w:tcW w:type="dxa" w:w="6336"/>
            <w:vAlign w:val="top"/>
            <w:tcMar>
              <w:top w:w="40" w:type="dxa"/>
              <w:left w:w="65" w:type="dxa"/>
              <w:bottom w:w="35" w:type="dxa"/>
              <w:right w:w="65" w:type="dxa"/>
            </w:tcMar>
          </w:tcPr>
          <w:p>
            <w:pPr>
              <w:pStyle w:val="TableText"/>
            </w:pPr>
            <w:r>
              <w:t>4be450dde3b0273b​b9787637cfbd28fe​04a7ba6ab9d36ac4​8e92b11e350ffc23</w:t>
            </w:r>
          </w:p>
        </w:tc>
      </w:tr>
      <w:tr>
        <w:trPr>
          <w:cantSplit/>
        </w:trPr>
        <w:tc>
          <w:tcPr>
            <w:tcW w:type="dxa" w:w="3024"/>
            <w:vAlign w:val="top"/>
            <w:tcMar>
              <w:top w:w="40" w:type="dxa"/>
              <w:left w:w="65" w:type="dxa"/>
              <w:bottom w:w="35" w:type="dxa"/>
              <w:right w:w="65" w:type="dxa"/>
            </w:tcMar>
          </w:tcPr>
          <w:p>
            <w:pPr>
              <w:pStyle w:val="TableText"/>
            </w:pPr>
            <w:r>
              <w:t>config.json</w:t>
            </w:r>
          </w:p>
        </w:tc>
        <w:tc>
          <w:tcPr>
            <w:tcW w:type="dxa" w:w="6336"/>
            <w:vAlign w:val="top"/>
            <w:tcMar>
              <w:top w:w="40" w:type="dxa"/>
              <w:left w:w="65" w:type="dxa"/>
              <w:bottom w:w="35" w:type="dxa"/>
              <w:right w:w="65" w:type="dxa"/>
            </w:tcMar>
          </w:tcPr>
          <w:p>
            <w:pPr>
              <w:pStyle w:val="TableText"/>
            </w:pPr>
            <w:r>
              <w:t>953f9c0d463486b1​0a6871cc2fd59f22​3b2c70184f49815e​7efbcab5d8908b41</w:t>
            </w:r>
          </w:p>
        </w:tc>
      </w:tr>
      <w:tr>
        <w:trPr>
          <w:cantSplit/>
        </w:trPr>
        <w:tc>
          <w:tcPr>
            <w:tcW w:type="dxa" w:w="3024"/>
            <w:vAlign w:val="top"/>
            <w:tcMar>
              <w:top w:w="40" w:type="dxa"/>
              <w:left w:w="65" w:type="dxa"/>
              <w:bottom w:w="35" w:type="dxa"/>
              <w:right w:w="65" w:type="dxa"/>
            </w:tcMar>
          </w:tcPr>
          <w:p>
            <w:pPr>
              <w:pStyle w:val="TableText"/>
            </w:pPr>
            <w:r>
              <w:t>config_​sentence_​transformers.​json</w:t>
            </w:r>
          </w:p>
        </w:tc>
        <w:tc>
          <w:tcPr>
            <w:tcW w:type="dxa" w:w="6336"/>
            <w:vAlign w:val="top"/>
            <w:tcMar>
              <w:top w:w="40" w:type="dxa"/>
              <w:left w:w="65" w:type="dxa"/>
              <w:bottom w:w="35" w:type="dxa"/>
              <w:right w:w="65" w:type="dxa"/>
            </w:tcMar>
          </w:tcPr>
          <w:p>
            <w:pPr>
              <w:pStyle w:val="TableText"/>
            </w:pPr>
            <w:r>
              <w:t>061ca9d39661d6c6​d6de5ba27f79a1cd​5770ea247f8d4641​2a68a498dc5ac9f3</w:t>
            </w:r>
          </w:p>
        </w:tc>
      </w:tr>
      <w:tr>
        <w:trPr>
          <w:cantSplit/>
        </w:trPr>
        <w:tc>
          <w:tcPr>
            <w:tcW w:type="dxa" w:w="3024"/>
            <w:vAlign w:val="top"/>
            <w:tcMar>
              <w:top w:w="40" w:type="dxa"/>
              <w:left w:w="65" w:type="dxa"/>
              <w:bottom w:w="35" w:type="dxa"/>
              <w:right w:w="65" w:type="dxa"/>
            </w:tcMar>
          </w:tcPr>
          <w:p>
            <w:pPr>
              <w:pStyle w:val="TableText"/>
            </w:pPr>
            <w:r>
              <w:t>data_config.json</w:t>
            </w:r>
          </w:p>
        </w:tc>
        <w:tc>
          <w:tcPr>
            <w:tcW w:type="dxa" w:w="6336"/>
            <w:vAlign w:val="top"/>
            <w:tcMar>
              <w:top w:w="40" w:type="dxa"/>
              <w:left w:w="65" w:type="dxa"/>
              <w:bottom w:w="35" w:type="dxa"/>
              <w:right w:w="65" w:type="dxa"/>
            </w:tcMar>
          </w:tcPr>
          <w:p>
            <w:pPr>
              <w:pStyle w:val="TableText"/>
            </w:pPr>
            <w:r>
              <w:t>32edcb108fc2516b​920734a862ae0692​bcae1c5d45d5f8d9​72cb0d53434a4c54</w:t>
            </w:r>
          </w:p>
        </w:tc>
      </w:tr>
      <w:tr>
        <w:trPr>
          <w:cantSplit/>
        </w:trPr>
        <w:tc>
          <w:tcPr>
            <w:tcW w:type="dxa" w:w="3024"/>
            <w:vAlign w:val="top"/>
            <w:tcMar>
              <w:top w:w="40" w:type="dxa"/>
              <w:left w:w="65" w:type="dxa"/>
              <w:bottom w:w="35" w:type="dxa"/>
              <w:right w:w="65" w:type="dxa"/>
            </w:tcMar>
          </w:tcPr>
          <w:p>
            <w:pPr>
              <w:pStyle w:val="TableText"/>
            </w:pPr>
            <w:r>
              <w:t>model.safetensors</w:t>
            </w:r>
          </w:p>
        </w:tc>
        <w:tc>
          <w:tcPr>
            <w:tcW w:type="dxa" w:w="6336"/>
            <w:vAlign w:val="top"/>
            <w:tcMar>
              <w:top w:w="40" w:type="dxa"/>
              <w:left w:w="65" w:type="dxa"/>
              <w:bottom w:w="35" w:type="dxa"/>
              <w:right w:w="65" w:type="dxa"/>
            </w:tcMar>
          </w:tcPr>
          <w:p>
            <w:pPr>
              <w:pStyle w:val="TableText"/>
            </w:pPr>
            <w:r>
              <w:t>53aa51172d142c89​d9012cce15ae4d6c​c0ca689589511437​9cacb4fab128d9db</w:t>
            </w:r>
          </w:p>
        </w:tc>
      </w:tr>
      <w:tr>
        <w:trPr>
          <w:cantSplit/>
        </w:trPr>
        <w:tc>
          <w:tcPr>
            <w:tcW w:type="dxa" w:w="3024"/>
            <w:vAlign w:val="top"/>
            <w:tcMar>
              <w:top w:w="40" w:type="dxa"/>
              <w:left w:w="65" w:type="dxa"/>
              <w:bottom w:w="35" w:type="dxa"/>
              <w:right w:w="65" w:type="dxa"/>
            </w:tcMar>
          </w:tcPr>
          <w:p>
            <w:pPr>
              <w:pStyle w:val="TableText"/>
            </w:pPr>
            <w:r>
              <w:t>modules.json</w:t>
            </w:r>
          </w:p>
        </w:tc>
        <w:tc>
          <w:tcPr>
            <w:tcW w:type="dxa" w:w="6336"/>
            <w:vAlign w:val="top"/>
            <w:tcMar>
              <w:top w:w="40" w:type="dxa"/>
              <w:left w:w="65" w:type="dxa"/>
              <w:bottom w:w="35" w:type="dxa"/>
              <w:right w:w="65" w:type="dxa"/>
            </w:tcMar>
          </w:tcPr>
          <w:p>
            <w:pPr>
              <w:pStyle w:val="TableText"/>
            </w:pPr>
            <w:r>
              <w:t>84e40c8e006c9b1d​6c122e02cba9b024​58120b5fb0c87b74​6c41e0207cf642cf</w:t>
            </w:r>
          </w:p>
        </w:tc>
      </w:tr>
      <w:tr>
        <w:trPr>
          <w:cantSplit/>
        </w:trPr>
        <w:tc>
          <w:tcPr>
            <w:tcW w:type="dxa" w:w="3024"/>
            <w:vAlign w:val="top"/>
            <w:tcMar>
              <w:top w:w="40" w:type="dxa"/>
              <w:left w:w="65" w:type="dxa"/>
              <w:bottom w:w="35" w:type="dxa"/>
              <w:right w:w="65" w:type="dxa"/>
            </w:tcMar>
          </w:tcPr>
          <w:p>
            <w:pPr>
              <w:pStyle w:val="TableText"/>
            </w:pPr>
            <w:r>
              <w:t>sentence_​bert_​config.​json</w:t>
            </w:r>
          </w:p>
        </w:tc>
        <w:tc>
          <w:tcPr>
            <w:tcW w:type="dxa" w:w="6336"/>
            <w:vAlign w:val="top"/>
            <w:tcMar>
              <w:top w:w="40" w:type="dxa"/>
              <w:left w:w="65" w:type="dxa"/>
              <w:bottom w:w="35" w:type="dxa"/>
              <w:right w:w="65" w:type="dxa"/>
            </w:tcMar>
          </w:tcPr>
          <w:p>
            <w:pPr>
              <w:pStyle w:val="TableText"/>
            </w:pPr>
            <w:r>
              <w:t>fc1993fde0a95c24​ec6c022539d41cf6​e2f7c9721e5415d6​fb6897472a9cd4b7</w:t>
            </w:r>
          </w:p>
        </w:tc>
      </w:tr>
      <w:tr>
        <w:trPr>
          <w:cantSplit/>
        </w:trPr>
        <w:tc>
          <w:tcPr>
            <w:tcW w:type="dxa" w:w="3024"/>
            <w:vAlign w:val="top"/>
            <w:tcMar>
              <w:top w:w="40" w:type="dxa"/>
              <w:left w:w="65" w:type="dxa"/>
              <w:bottom w:w="35" w:type="dxa"/>
              <w:right w:w="65" w:type="dxa"/>
            </w:tcMar>
          </w:tcPr>
          <w:p>
            <w:pPr>
              <w:pStyle w:val="TableText"/>
            </w:pPr>
            <w:r>
              <w:t>special_​tokens_​map.​json</w:t>
            </w:r>
          </w:p>
        </w:tc>
        <w:tc>
          <w:tcPr>
            <w:tcW w:type="dxa" w:w="6336"/>
            <w:vAlign w:val="top"/>
            <w:tcMar>
              <w:top w:w="40" w:type="dxa"/>
              <w:left w:w="65" w:type="dxa"/>
              <w:bottom w:w="35" w:type="dxa"/>
              <w:right w:w="65" w:type="dxa"/>
            </w:tcMar>
          </w:tcPr>
          <w:p>
            <w:pPr>
              <w:pStyle w:val="TableText"/>
            </w:pPr>
            <w:r>
              <w:t>303df45a03609e4e​ad04bc3dc1536d0a​b19b5358db685b6f​3da123d05ec200e3</w:t>
            </w:r>
          </w:p>
        </w:tc>
      </w:tr>
      <w:tr>
        <w:trPr>
          <w:cantSplit/>
        </w:trPr>
        <w:tc>
          <w:tcPr>
            <w:tcW w:type="dxa" w:w="3024"/>
            <w:vAlign w:val="top"/>
            <w:tcMar>
              <w:top w:w="40" w:type="dxa"/>
              <w:left w:w="65" w:type="dxa"/>
              <w:bottom w:w="35" w:type="dxa"/>
              <w:right w:w="65" w:type="dxa"/>
            </w:tcMar>
          </w:tcPr>
          <w:p>
            <w:pPr>
              <w:pStyle w:val="TableText"/>
            </w:pPr>
            <w:r>
              <w:t>tokenizer.json</w:t>
            </w:r>
          </w:p>
        </w:tc>
        <w:tc>
          <w:tcPr>
            <w:tcW w:type="dxa" w:w="6336"/>
            <w:vAlign w:val="top"/>
            <w:tcMar>
              <w:top w:w="40" w:type="dxa"/>
              <w:left w:w="65" w:type="dxa"/>
              <w:bottom w:w="35" w:type="dxa"/>
              <w:right w:w="65" w:type="dxa"/>
            </w:tcMar>
          </w:tcPr>
          <w:p>
            <w:pPr>
              <w:pStyle w:val="TableText"/>
            </w:pPr>
            <w:r>
              <w:t>be50c3628f2bf5bb​5e3a7f17b1f74611​b2561a3a27eeab05​e5aa30f411572037</w:t>
            </w:r>
          </w:p>
        </w:tc>
      </w:tr>
      <w:tr>
        <w:trPr>
          <w:cantSplit/>
        </w:trPr>
        <w:tc>
          <w:tcPr>
            <w:tcW w:type="dxa" w:w="3024"/>
            <w:vAlign w:val="top"/>
            <w:tcMar>
              <w:top w:w="40" w:type="dxa"/>
              <w:left w:w="65" w:type="dxa"/>
              <w:bottom w:w="35" w:type="dxa"/>
              <w:right w:w="65" w:type="dxa"/>
            </w:tcMar>
          </w:tcPr>
          <w:p>
            <w:pPr>
              <w:pStyle w:val="TableText"/>
            </w:pPr>
            <w:r>
              <w:t>tokenizer_​config.​json</w:t>
            </w:r>
          </w:p>
        </w:tc>
        <w:tc>
          <w:tcPr>
            <w:tcW w:type="dxa" w:w="6336"/>
            <w:vAlign w:val="top"/>
            <w:tcMar>
              <w:top w:w="40" w:type="dxa"/>
              <w:left w:w="65" w:type="dxa"/>
              <w:bottom w:w="35" w:type="dxa"/>
              <w:right w:w="65" w:type="dxa"/>
            </w:tcMar>
          </w:tcPr>
          <w:p>
            <w:pPr>
              <w:pStyle w:val="TableText"/>
            </w:pPr>
            <w:r>
              <w:t>acb92769e8195aab​d29b7b2137a9e6d6​e25c476a4f15aa43​55c233426c61576b</w:t>
            </w:r>
          </w:p>
        </w:tc>
      </w:tr>
      <w:tr>
        <w:trPr>
          <w:cantSplit/>
        </w:trPr>
        <w:tc>
          <w:tcPr>
            <w:tcW w:type="dxa" w:w="3024"/>
            <w:vAlign w:val="top"/>
            <w:tcMar>
              <w:top w:w="40" w:type="dxa"/>
              <w:left w:w="65" w:type="dxa"/>
              <w:bottom w:w="35" w:type="dxa"/>
              <w:right w:w="65" w:type="dxa"/>
            </w:tcMar>
          </w:tcPr>
          <w:p>
            <w:pPr>
              <w:pStyle w:val="TableText"/>
            </w:pPr>
            <w:r>
              <w:t>vocab.txt</w:t>
            </w:r>
          </w:p>
        </w:tc>
        <w:tc>
          <w:tcPr>
            <w:tcW w:type="dxa" w:w="6336"/>
            <w:vAlign w:val="top"/>
            <w:tcMar>
              <w:top w:w="40" w:type="dxa"/>
              <w:left w:w="65" w:type="dxa"/>
              <w:bottom w:w="35" w:type="dxa"/>
              <w:right w:w="65" w:type="dxa"/>
            </w:tcMar>
          </w:tcPr>
          <w:p>
            <w:pPr>
              <w:pStyle w:val="TableText"/>
            </w:pPr>
            <w:r>
              <w:t>07eced375cec144d​27c900241f3e3394​78dec958f92fddbc​551f295c992038a3</w:t>
            </w:r>
          </w:p>
        </w:tc>
      </w:tr>
    </w:tbl>
    <w:p>
      <w:pPr>
        <w:spacing w:after="0"/>
      </w:pPr>
    </w:p>
    <w:p>
      <w:pPr/>
      <w:r>
        <w:t>The model snapshot is a local cache resource outside the repository; no absolute cache path is embedded in this report. Resolve it by model name and immutable revision. Source/input absolute provenance strings already present in original artifacts were not rewritten merely to make this chapter portable. The chapter itself uses no local absolute hyperlinks.</w:t>
      </w:r>
    </w:p>
    <w:p>
      <w:pPr>
        <w:pStyle w:val="Heading2"/>
      </w:pPr>
      <w:r>
        <w:t>Appendix M: Reproducibility checklist</w:t>
      </w:r>
    </w:p>
    <w:tbl>
      <w:tblPr>
        <w:tblStyle w:val="TableGrid"/>
        <w:tblW w:type="auto" w:w="0"/>
        <w:jc w:val="center"/>
        <w:tblLayout w:type="fixed"/>
        <w:tblLook w:firstColumn="1" w:firstRow="1" w:lastColumn="0" w:lastRow="0" w:noHBand="0" w:noVBand="1" w:val="04A0"/>
      </w:tblPr>
      <w:tblGrid>
        <w:gridCol w:w="3024"/>
        <w:gridCol w:w="6336"/>
      </w:tblGrid>
      <w:tr>
        <w:trPr>
          <w:tblHeader w:val="true"/>
          <w:cantSplit/>
        </w:trPr>
        <w:tc>
          <w:tcPr>
            <w:tcW w:type="dxa" w:w="3024"/>
            <w:vAlign w:val="top"/>
            <w:tcMar>
              <w:top w:w="40" w:type="dxa"/>
              <w:left w:w="65" w:type="dxa"/>
              <w:bottom w:w="35" w:type="dxa"/>
              <w:right w:w="65" w:type="dxa"/>
            </w:tcMar>
          </w:tcPr>
          <w:p>
            <w:pPr>
              <w:pStyle w:val="TableHeader"/>
            </w:pPr>
            <w:r>
              <w:t>Check</w:t>
            </w:r>
          </w:p>
        </w:tc>
        <w:tc>
          <w:tcPr>
            <w:tcW w:type="dxa" w:w="6336"/>
            <w:vAlign w:val="top"/>
            <w:tcMar>
              <w:top w:w="40" w:type="dxa"/>
              <w:left w:w="65" w:type="dxa"/>
              <w:bottom w:w="35" w:type="dxa"/>
              <w:right w:w="65" w:type="dxa"/>
            </w:tcMar>
          </w:tcPr>
          <w:p>
            <w:pPr>
              <w:pStyle w:val="TableHeader"/>
            </w:pPr>
            <w:r>
              <w:t>Status / evidence</w:t>
            </w:r>
          </w:p>
        </w:tc>
      </w:tr>
      <w:tr>
        <w:trPr>
          <w:cantSplit/>
        </w:trPr>
        <w:tc>
          <w:tcPr>
            <w:tcW w:type="dxa" w:w="3024"/>
            <w:vAlign w:val="top"/>
            <w:tcMar>
              <w:top w:w="40" w:type="dxa"/>
              <w:left w:w="65" w:type="dxa"/>
              <w:bottom w:w="35" w:type="dxa"/>
              <w:right w:w="65" w:type="dxa"/>
            </w:tcMar>
          </w:tcPr>
          <w:p>
            <w:pPr>
              <w:pStyle w:val="TableText"/>
            </w:pPr>
            <w:r>
              <w:t>One family and complete pair scope</w:t>
            </w:r>
          </w:p>
        </w:tc>
        <w:tc>
          <w:tcPr>
            <w:tcW w:type="dxa" w:w="6336"/>
            <w:vAlign w:val="top"/>
            <w:tcMar>
              <w:top w:w="40" w:type="dxa"/>
              <w:left w:w="65" w:type="dxa"/>
              <w:bottom w:w="35" w:type="dxa"/>
              <w:right w:w="65" w:type="dxa"/>
            </w:tcMar>
          </w:tcPr>
          <w:p>
            <w:pPr>
              <w:pStyle w:val="TableText"/>
            </w:pPr>
            <w:r>
              <w:t>30 TLS documents, 29 consecutive pairs; no other family processed.</w:t>
            </w:r>
          </w:p>
        </w:tc>
      </w:tr>
      <w:tr>
        <w:trPr>
          <w:cantSplit/>
        </w:trPr>
        <w:tc>
          <w:tcPr>
            <w:tcW w:type="dxa" w:w="3024"/>
            <w:vAlign w:val="top"/>
            <w:tcMar>
              <w:top w:w="40" w:type="dxa"/>
              <w:left w:w="65" w:type="dxa"/>
              <w:bottom w:w="35" w:type="dxa"/>
              <w:right w:w="65" w:type="dxa"/>
            </w:tcMar>
          </w:tcPr>
          <w:p>
            <w:pPr>
              <w:pStyle w:val="TableText"/>
            </w:pPr>
            <w:r>
              <w:t>Immutable output selection</w:t>
            </w:r>
          </w:p>
        </w:tc>
        <w:tc>
          <w:tcPr>
            <w:tcW w:type="dxa" w:w="6336"/>
            <w:vAlign w:val="top"/>
            <w:tcMar>
              <w:top w:w="40" w:type="dxa"/>
              <w:left w:w="65" w:type="dxa"/>
              <w:bottom w:w="35" w:type="dxa"/>
              <w:right w:w="65" w:type="dxa"/>
            </w:tcMar>
          </w:tcPr>
          <w:p>
            <w:pPr>
              <w:pStyle w:val="TableText"/>
            </w:pPr>
            <w:r>
              <w:t>Fresh run root; no reuse of failed directories.</w:t>
            </w:r>
          </w:p>
        </w:tc>
      </w:tr>
      <w:tr>
        <w:trPr>
          <w:cantSplit/>
        </w:trPr>
        <w:tc>
          <w:tcPr>
            <w:tcW w:type="dxa" w:w="3024"/>
            <w:vAlign w:val="top"/>
            <w:tcMar>
              <w:top w:w="40" w:type="dxa"/>
              <w:left w:w="65" w:type="dxa"/>
              <w:bottom w:w="35" w:type="dxa"/>
              <w:right w:w="65" w:type="dxa"/>
            </w:tcMar>
          </w:tcPr>
          <w:p>
            <w:pPr>
              <w:pStyle w:val="TableText"/>
            </w:pPr>
            <w:r>
              <w:t>Preferred input provenance</w:t>
            </w:r>
          </w:p>
        </w:tc>
        <w:tc>
          <w:tcPr>
            <w:tcW w:type="dxa" w:w="6336"/>
            <w:vAlign w:val="top"/>
            <w:tcMar>
              <w:top w:w="40" w:type="dxa"/>
              <w:left w:w="65" w:type="dxa"/>
              <w:bottom w:w="35" w:type="dxa"/>
              <w:right w:w="65" w:type="dxa"/>
            </w:tcMar>
          </w:tcPr>
          <w:p>
            <w:pPr>
              <w:pStyle w:val="TableText"/>
            </w:pPr>
            <w:r>
              <w:t>28 clauses_llm inputs; exactly TLS-22/RFC8446 prepared in-run.</w:t>
            </w:r>
          </w:p>
        </w:tc>
      </w:tr>
      <w:tr>
        <w:trPr>
          <w:cantSplit/>
        </w:trPr>
        <w:tc>
          <w:tcPr>
            <w:tcW w:type="dxa" w:w="3024"/>
            <w:vAlign w:val="top"/>
            <w:tcMar>
              <w:top w:w="40" w:type="dxa"/>
              <w:left w:w="65" w:type="dxa"/>
              <w:bottom w:w="35" w:type="dxa"/>
              <w:right w:w="65" w:type="dxa"/>
            </w:tcMar>
          </w:tcPr>
          <w:p>
            <w:pPr>
              <w:pStyle w:val="TableText"/>
            </w:pPr>
            <w:r>
              <w:t>Original input integrity</w:t>
            </w:r>
          </w:p>
        </w:tc>
        <w:tc>
          <w:tcPr>
            <w:tcW w:type="dxa" w:w="6336"/>
            <w:vAlign w:val="top"/>
            <w:tcMar>
              <w:top w:w="40" w:type="dxa"/>
              <w:left w:w="65" w:type="dxa"/>
              <w:bottom w:w="35" w:type="dxa"/>
              <w:right w:w="65" w:type="dxa"/>
            </w:tcMar>
          </w:tcPr>
          <w:p>
            <w:pPr>
              <w:pStyle w:val="TableText"/>
            </w:pPr>
            <w:r>
              <w:t>394 original files unchanged with no additions/removals in protected directories.</w:t>
            </w:r>
          </w:p>
        </w:tc>
      </w:tr>
      <w:tr>
        <w:trPr>
          <w:cantSplit/>
        </w:trPr>
        <w:tc>
          <w:tcPr>
            <w:tcW w:type="dxa" w:w="3024"/>
            <w:vAlign w:val="top"/>
            <w:tcMar>
              <w:top w:w="40" w:type="dxa"/>
              <w:left w:w="65" w:type="dxa"/>
              <w:bottom w:w="35" w:type="dxa"/>
              <w:right w:w="65" w:type="dxa"/>
            </w:tcMar>
          </w:tcPr>
          <w:p>
            <w:pPr>
              <w:pStyle w:val="TableText"/>
            </w:pPr>
            <w:r>
              <w:t>Model identity</w:t>
            </w:r>
          </w:p>
        </w:tc>
        <w:tc>
          <w:tcPr>
            <w:tcW w:type="dxa" w:w="6336"/>
            <w:vAlign w:val="top"/>
            <w:tcMar>
              <w:top w:w="40" w:type="dxa"/>
              <w:left w:w="65" w:type="dxa"/>
              <w:bottom w:w="35" w:type="dxa"/>
              <w:right w:w="65" w:type="dxa"/>
            </w:tcMar>
          </w:tcPr>
          <w:p>
            <w:pPr>
              <w:pStyle w:val="TableText"/>
            </w:pPr>
            <w:r>
              <w:t>Pinned revision and all 11 snapshot artifact hashes recorded.</w:t>
            </w:r>
          </w:p>
        </w:tc>
      </w:tr>
      <w:tr>
        <w:trPr>
          <w:cantSplit/>
        </w:trPr>
        <w:tc>
          <w:tcPr>
            <w:tcW w:type="dxa" w:w="3024"/>
            <w:vAlign w:val="top"/>
            <w:tcMar>
              <w:top w:w="40" w:type="dxa"/>
              <w:left w:w="65" w:type="dxa"/>
              <w:bottom w:w="35" w:type="dxa"/>
              <w:right w:w="65" w:type="dxa"/>
            </w:tcMar>
          </w:tcPr>
          <w:p>
            <w:pPr>
              <w:pStyle w:val="TableText"/>
            </w:pPr>
            <w:r>
              <w:t>Configuration identity</w:t>
            </w:r>
          </w:p>
        </w:tc>
        <w:tc>
          <w:tcPr>
            <w:tcW w:type="dxa" w:w="6336"/>
            <w:vAlign w:val="top"/>
            <w:tcMar>
              <w:top w:w="40" w:type="dxa"/>
              <w:left w:w="65" w:type="dxa"/>
              <w:bottom w:w="35" w:type="dxa"/>
              <w:right w:w="65" w:type="dxa"/>
            </w:tcMar>
          </w:tcPr>
          <w:p>
            <w:pPr>
              <w:pStyle w:val="TableText"/>
            </w:pPr>
            <w:r>
              <w:t>Validated Config stored in request/manifest; canonical hash in relationships.</w:t>
            </w:r>
          </w:p>
        </w:tc>
      </w:tr>
      <w:tr>
        <w:trPr>
          <w:cantSplit/>
        </w:trPr>
        <w:tc>
          <w:tcPr>
            <w:tcW w:type="dxa" w:w="3024"/>
            <w:vAlign w:val="top"/>
            <w:tcMar>
              <w:top w:w="40" w:type="dxa"/>
              <w:left w:w="65" w:type="dxa"/>
              <w:bottom w:w="35" w:type="dxa"/>
              <w:right w:w="65" w:type="dxa"/>
            </w:tcMar>
          </w:tcPr>
          <w:p>
            <w:pPr>
              <w:pStyle w:val="TableText"/>
            </w:pPr>
            <w:r>
              <w:t>Candidate ordering</w:t>
            </w:r>
          </w:p>
        </w:tc>
        <w:tc>
          <w:tcPr>
            <w:tcW w:type="dxa" w:w="6336"/>
            <w:vAlign w:val="top"/>
            <w:tcMar>
              <w:top w:w="40" w:type="dxa"/>
              <w:left w:w="65" w:type="dxa"/>
              <w:bottom w:w="35" w:type="dxa"/>
              <w:right w:w="65" w:type="dxa"/>
            </w:tcMar>
          </w:tcPr>
          <w:p>
            <w:pPr>
              <w:pStyle w:val="TableText"/>
            </w:pPr>
            <w:r>
              <w:t>Explicit stable ordering; three-process hash-seed regression.</w:t>
            </w:r>
          </w:p>
        </w:tc>
      </w:tr>
      <w:tr>
        <w:trPr>
          <w:cantSplit/>
        </w:trPr>
        <w:tc>
          <w:tcPr>
            <w:tcW w:type="dxa" w:w="3024"/>
            <w:vAlign w:val="top"/>
            <w:tcMar>
              <w:top w:w="40" w:type="dxa"/>
              <w:left w:w="65" w:type="dxa"/>
              <w:bottom w:w="35" w:type="dxa"/>
              <w:right w:w="65" w:type="dxa"/>
            </w:tcMar>
          </w:tcPr>
          <w:p>
            <w:pPr>
              <w:pStyle w:val="TableText"/>
            </w:pPr>
            <w:r>
              <w:t>Global consistency</w:t>
            </w:r>
          </w:p>
        </w:tc>
        <w:tc>
          <w:tcPr>
            <w:tcW w:type="dxa" w:w="6336"/>
            <w:vAlign w:val="top"/>
            <w:tcMar>
              <w:top w:w="40" w:type="dxa"/>
              <w:left w:w="65" w:type="dxa"/>
              <w:bottom w:w="35" w:type="dxa"/>
              <w:right w:w="65" w:type="dxa"/>
            </w:tcMar>
          </w:tcPr>
          <w:p>
            <w:pPr>
              <w:pStyle w:val="TableText"/>
            </w:pPr>
            <w:r>
              <w:t>One-use constraints and complete endpoint accounting; all component solvers optimal.</w:t>
            </w:r>
          </w:p>
        </w:tc>
      </w:tr>
      <w:tr>
        <w:trPr>
          <w:cantSplit/>
        </w:trPr>
        <w:tc>
          <w:tcPr>
            <w:tcW w:type="dxa" w:w="3024"/>
            <w:vAlign w:val="top"/>
            <w:tcMar>
              <w:top w:w="40" w:type="dxa"/>
              <w:left w:w="65" w:type="dxa"/>
              <w:bottom w:w="35" w:type="dxa"/>
              <w:right w:w="65" w:type="dxa"/>
            </w:tcMar>
          </w:tcPr>
          <w:p>
            <w:pPr>
              <w:pStyle w:val="TableText"/>
            </w:pPr>
            <w:r>
              <w:t>Numerical reproducibility boundary</w:t>
            </w:r>
          </w:p>
        </w:tc>
        <w:tc>
          <w:tcPr>
            <w:tcW w:type="dxa" w:w="6336"/>
            <w:vAlign w:val="top"/>
            <w:tcMar>
              <w:top w:w="40" w:type="dxa"/>
              <w:left w:w="65" w:type="dxa"/>
              <w:bottom w:w="35" w:type="dxa"/>
              <w:right w:w="65" w:type="dxa"/>
            </w:tcMar>
          </w:tcPr>
          <w:p>
            <w:pPr>
              <w:pStyle w:val="TableText"/>
            </w:pPr>
            <w:r>
              <w:t>Pinned packages/​CPU/​settings; no universal cross-platform identity claim.</w:t>
            </w:r>
          </w:p>
        </w:tc>
      </w:tr>
      <w:tr>
        <w:trPr>
          <w:cantSplit/>
        </w:trPr>
        <w:tc>
          <w:tcPr>
            <w:tcW w:type="dxa" w:w="3024"/>
            <w:vAlign w:val="top"/>
            <w:tcMar>
              <w:top w:w="40" w:type="dxa"/>
              <w:left w:w="65" w:type="dxa"/>
              <w:bottom w:w="35" w:type="dxa"/>
              <w:right w:w="65" w:type="dxa"/>
            </w:tcMar>
          </w:tcPr>
          <w:p>
            <w:pPr>
              <w:pStyle w:val="TableText"/>
            </w:pPr>
            <w:r>
              <w:t>Token coverage</w:t>
            </w:r>
          </w:p>
        </w:tc>
        <w:tc>
          <w:tcPr>
            <w:tcW w:type="dxa" w:w="6336"/>
            <w:vAlign w:val="top"/>
            <w:tcMar>
              <w:top w:w="40" w:type="dxa"/>
              <w:left w:w="65" w:type="dxa"/>
              <w:bottom w:w="35" w:type="dxa"/>
              <w:right w:w="65" w:type="dxa"/>
            </w:tcMar>
          </w:tcPr>
          <w:p>
            <w:pPr>
              <w:pStyle w:val="TableText"/>
            </w:pPr>
            <w:r>
              <w:t>52,361 checked windows; 256 encoded maximum including two special tokens.</w:t>
            </w:r>
          </w:p>
        </w:tc>
      </w:tr>
      <w:tr>
        <w:trPr>
          <w:cantSplit/>
        </w:trPr>
        <w:tc>
          <w:tcPr>
            <w:tcW w:type="dxa" w:w="3024"/>
            <w:vAlign w:val="top"/>
            <w:tcMar>
              <w:top w:w="40" w:type="dxa"/>
              <w:left w:w="65" w:type="dxa"/>
              <w:bottom w:w="35" w:type="dxa"/>
              <w:right w:w="65" w:type="dxa"/>
            </w:tcMar>
          </w:tcPr>
          <w:p>
            <w:pPr>
              <w:pStyle w:val="TableText"/>
            </w:pPr>
            <w:r>
              <w:t>Temporal features</w:t>
            </w:r>
          </w:p>
        </w:tc>
        <w:tc>
          <w:tcPr>
            <w:tcW w:type="dxa" w:w="6336"/>
            <w:vAlign w:val="top"/>
            <w:tcMar>
              <w:top w:w="40" w:type="dxa"/>
              <w:left w:w="65" w:type="dxa"/>
              <w:bottom w:w="35" w:type="dxa"/>
              <w:right w:w="65" w:type="dxa"/>
            </w:tcMar>
          </w:tcPr>
          <w:p>
            <w:pPr>
              <w:pStyle w:val="TableText"/>
            </w:pPr>
            <w:r>
              <w:t>29 valid draft prefixes; 50,138 rows; later RFC excluded.</w:t>
            </w:r>
          </w:p>
        </w:tc>
      </w:tr>
      <w:tr>
        <w:trPr>
          <w:cantSplit/>
        </w:trPr>
        <w:tc>
          <w:tcPr>
            <w:tcW w:type="dxa" w:w="3024"/>
            <w:vAlign w:val="top"/>
            <w:tcMar>
              <w:top w:w="40" w:type="dxa"/>
              <w:left w:w="65" w:type="dxa"/>
              <w:bottom w:w="35" w:type="dxa"/>
              <w:right w:w="65" w:type="dxa"/>
            </w:tcMar>
          </w:tcPr>
          <w:p>
            <w:pPr>
              <w:pStyle w:val="TableText"/>
            </w:pPr>
            <w:r>
              <w:t>Validation identity</w:t>
            </w:r>
          </w:p>
        </w:tc>
        <w:tc>
          <w:tcPr>
            <w:tcW w:type="dxa" w:w="6336"/>
            <w:vAlign w:val="top"/>
            <w:tcMar>
              <w:top w:w="40" w:type="dxa"/>
              <w:left w:w="65" w:type="dxa"/>
              <w:bottom w:w="35" w:type="dxa"/>
              <w:right w:w="65" w:type="dxa"/>
            </w:tcMar>
          </w:tcPr>
          <w:p>
            <w:pPr>
              <w:pStyle w:val="TableText"/>
            </w:pPr>
            <w:r>
              <w:t>Corrected auditor hash in external sidecar; original run-start hash retained.</w:t>
            </w:r>
          </w:p>
        </w:tc>
      </w:tr>
      <w:tr>
        <w:trPr>
          <w:cantSplit/>
        </w:trPr>
        <w:tc>
          <w:tcPr>
            <w:tcW w:type="dxa" w:w="3024"/>
            <w:vAlign w:val="top"/>
            <w:tcMar>
              <w:top w:w="40" w:type="dxa"/>
              <w:left w:w="65" w:type="dxa"/>
              <w:bottom w:w="35" w:type="dxa"/>
              <w:right w:w="65" w:type="dxa"/>
            </w:tcMar>
          </w:tcPr>
          <w:p>
            <w:pPr>
              <w:pStyle w:val="TableText"/>
            </w:pPr>
            <w:r>
              <w:t>Statistics</w:t>
            </w:r>
          </w:p>
        </w:tc>
        <w:tc>
          <w:tcPr>
            <w:tcW w:type="dxa" w:w="6336"/>
            <w:vAlign w:val="top"/>
            <w:tcMar>
              <w:top w:w="40" w:type="dxa"/>
              <w:left w:w="65" w:type="dxa"/>
              <w:bottom w:w="35" w:type="dxa"/>
              <w:right w:w="65" w:type="dxa"/>
            </w:tcMar>
          </w:tcPr>
          <w:p>
            <w:pPr>
              <w:pStyle w:val="TableText"/>
            </w:pPr>
            <w:r>
              <w:t>Relation/confidence sums both 52,953; review rate rounds to 50.77%.</w:t>
            </w:r>
          </w:p>
        </w:tc>
      </w:tr>
      <w:tr>
        <w:trPr>
          <w:cantSplit/>
        </w:trPr>
        <w:tc>
          <w:tcPr>
            <w:tcW w:type="dxa" w:w="3024"/>
            <w:vAlign w:val="top"/>
            <w:tcMar>
              <w:top w:w="40" w:type="dxa"/>
              <w:left w:w="65" w:type="dxa"/>
              <w:bottom w:w="35" w:type="dxa"/>
              <w:right w:w="65" w:type="dxa"/>
            </w:tcMar>
          </w:tcPr>
          <w:p>
            <w:pPr>
              <w:pStyle w:val="TableText"/>
            </w:pPr>
            <w:r>
              <w:t>Gold/accuracy status</w:t>
            </w:r>
          </w:p>
        </w:tc>
        <w:tc>
          <w:tcPr>
            <w:tcW w:type="dxa" w:w="6336"/>
            <w:vAlign w:val="top"/>
            <w:tcMar>
              <w:top w:w="40" w:type="dxa"/>
              <w:left w:w="65" w:type="dxa"/>
              <w:bottom w:w="35" w:type="dxa"/>
              <w:right w:w="65" w:type="dxa"/>
            </w:tcMar>
          </w:tcPr>
          <w:p>
            <w:pPr>
              <w:pStyle w:val="TableText"/>
            </w:pPr>
            <w:r>
              <w:t>No reviewed gold scopes; candidate recall and link metrics null.</w:t>
            </w:r>
          </w:p>
        </w:tc>
      </w:tr>
      <w:tr>
        <w:trPr>
          <w:cantSplit/>
        </w:trPr>
        <w:tc>
          <w:tcPr>
            <w:tcW w:type="dxa" w:w="3024"/>
            <w:vAlign w:val="top"/>
            <w:tcMar>
              <w:top w:w="40" w:type="dxa"/>
              <w:left w:w="65" w:type="dxa"/>
              <w:bottom w:w="35" w:type="dxa"/>
              <w:right w:w="65" w:type="dxa"/>
            </w:tcMar>
          </w:tcPr>
          <w:p>
            <w:pPr>
              <w:pStyle w:val="TableText"/>
            </w:pPr>
            <w:r>
              <w:t>Git/data distinction</w:t>
            </w:r>
          </w:p>
        </w:tc>
        <w:tc>
          <w:tcPr>
            <w:tcW w:type="dxa" w:w="6336"/>
            <w:vAlign w:val="top"/>
            <w:tcMar>
              <w:top w:w="40" w:type="dxa"/>
              <w:left w:w="65" w:type="dxa"/>
              <w:bottom w:w="35" w:type="dxa"/>
              <w:right w:w="65" w:type="dxa"/>
            </w:tcMar>
          </w:tcPr>
          <w:p>
            <w:pPr>
              <w:pStyle w:val="TableText"/>
            </w:pPr>
            <w:r>
              <w:t>Code/fixtures/docs versioned; generated run data ignored and separately handed over.</w:t>
            </w:r>
          </w:p>
        </w:tc>
      </w:tr>
      <w:tr>
        <w:trPr>
          <w:cantSplit/>
        </w:trPr>
        <w:tc>
          <w:tcPr>
            <w:tcW w:type="dxa" w:w="3024"/>
            <w:vAlign w:val="top"/>
            <w:tcMar>
              <w:top w:w="40" w:type="dxa"/>
              <w:left w:w="65" w:type="dxa"/>
              <w:bottom w:w="35" w:type="dxa"/>
              <w:right w:w="65" w:type="dxa"/>
            </w:tcMar>
          </w:tcPr>
          <w:p>
            <w:pPr>
              <w:pStyle w:val="TableText"/>
            </w:pPr>
            <w:r>
              <w:t>Report-only change boundary</w:t>
            </w:r>
          </w:p>
        </w:tc>
        <w:tc>
          <w:tcPr>
            <w:tcW w:type="dxa" w:w="6336"/>
            <w:vAlign w:val="top"/>
            <w:tcMar>
              <w:top w:w="40" w:type="dxa"/>
              <w:left w:w="65" w:type="dxa"/>
              <w:bottom w:w="35" w:type="dxa"/>
              <w:right w:w="65" w:type="dxa"/>
            </w:tcMar>
          </w:tcPr>
          <w:p>
            <w:pPr>
              <w:pStyle w:val="TableText"/>
            </w:pPr>
            <w:r>
              <w:t>Chapter generation preserves implementation, tests, sources and run artifacts; compared with report-preparation hash baseline.</w:t>
            </w:r>
          </w:p>
        </w:tc>
      </w:tr>
    </w:tbl>
    <w:p>
      <w:pPr>
        <w:spacing w:after="0"/>
      </w:pPr>
    </w:p>
    <w:p>
      <w:pPr>
        <w:pStyle w:val="Heading2"/>
      </w:pPr>
      <w:r>
        <w:t>Appendix N: Ground Truth handover checklist</w:t>
      </w:r>
    </w:p>
    <w:p>
      <w:pPr/>
      <w:r>
        <w:t>The handover is an artifact transfer plus an annotation contract. It is not automatic approval of correspondence, interpretation or model readiness.</w:t>
      </w:r>
    </w:p>
    <w:tbl>
      <w:tblPr>
        <w:tblStyle w:val="TableGrid"/>
        <w:tblW w:type="auto" w:w="0"/>
        <w:jc w:val="center"/>
        <w:tblLayout w:type="fixed"/>
        <w:tblLook w:firstColumn="1" w:firstRow="1" w:lastColumn="0" w:lastRow="0" w:noHBand="0" w:noVBand="1" w:val="04A0"/>
      </w:tblPr>
      <w:tblGrid>
        <w:gridCol w:w="3024"/>
        <w:gridCol w:w="6336"/>
      </w:tblGrid>
      <w:tr>
        <w:trPr>
          <w:tblHeader w:val="true"/>
          <w:cantSplit/>
        </w:trPr>
        <w:tc>
          <w:tcPr>
            <w:tcW w:type="dxa" w:w="3024"/>
            <w:vAlign w:val="top"/>
            <w:tcMar>
              <w:top w:w="40" w:type="dxa"/>
              <w:left w:w="65" w:type="dxa"/>
              <w:bottom w:w="35" w:type="dxa"/>
              <w:right w:w="65" w:type="dxa"/>
            </w:tcMar>
          </w:tcPr>
          <w:p>
            <w:pPr>
              <w:pStyle w:val="TableHeader"/>
            </w:pPr>
            <w:r>
              <w:t>Receiving-team action</w:t>
            </w:r>
          </w:p>
        </w:tc>
        <w:tc>
          <w:tcPr>
            <w:tcW w:type="dxa" w:w="6336"/>
            <w:vAlign w:val="top"/>
            <w:tcMar>
              <w:top w:w="40" w:type="dxa"/>
              <w:left w:w="65" w:type="dxa"/>
              <w:bottom w:w="35" w:type="dxa"/>
              <w:right w:w="65" w:type="dxa"/>
            </w:tcMar>
          </w:tcPr>
          <w:p>
            <w:pPr>
              <w:pStyle w:val="TableHeader"/>
            </w:pPr>
            <w:r>
              <w:t>Required result</w:t>
            </w:r>
          </w:p>
        </w:tc>
      </w:tr>
      <w:tr>
        <w:trPr>
          <w:cantSplit/>
        </w:trPr>
        <w:tc>
          <w:tcPr>
            <w:tcW w:type="dxa" w:w="3024"/>
            <w:vAlign w:val="top"/>
            <w:tcMar>
              <w:top w:w="40" w:type="dxa"/>
              <w:left w:w="65" w:type="dxa"/>
              <w:bottom w:w="35" w:type="dxa"/>
              <w:right w:w="65" w:type="dxa"/>
            </w:tcMar>
          </w:tcPr>
          <w:p>
            <w:pPr>
              <w:pStyle w:val="TableText"/>
            </w:pPr>
            <w:r>
              <w:t>Acquire run and external audit sidecars</w:t>
            </w:r>
          </w:p>
        </w:tc>
        <w:tc>
          <w:tcPr>
            <w:tcW w:type="dxa" w:w="6336"/>
            <w:vAlign w:val="top"/>
            <w:tcMar>
              <w:top w:w="40" w:type="dxa"/>
              <w:left w:w="65" w:type="dxa"/>
              <w:bottom w:w="35" w:type="dxa"/>
              <w:right w:w="65" w:type="dxa"/>
            </w:tcMar>
          </w:tcPr>
          <w:p>
            <w:pPr>
              <w:pStyle w:val="TableText"/>
            </w:pPr>
            <w:r>
              <w:t>Manifest plus all snapshots, candidates, alignments, lineage, review and feature files.</w:t>
            </w:r>
          </w:p>
        </w:tc>
      </w:tr>
      <w:tr>
        <w:trPr>
          <w:cantSplit/>
        </w:trPr>
        <w:tc>
          <w:tcPr>
            <w:tcW w:type="dxa" w:w="3024"/>
            <w:vAlign w:val="top"/>
            <w:tcMar>
              <w:top w:w="40" w:type="dxa"/>
              <w:left w:w="65" w:type="dxa"/>
              <w:bottom w:w="35" w:type="dxa"/>
              <w:right w:w="65" w:type="dxa"/>
            </w:tcMar>
          </w:tcPr>
          <w:p>
            <w:pPr>
              <w:pStyle w:val="TableText"/>
            </w:pPr>
            <w:r>
              <w:t>Verify artifact hashes before use</w:t>
            </w:r>
          </w:p>
        </w:tc>
        <w:tc>
          <w:tcPr>
            <w:tcW w:type="dxa" w:w="6336"/>
            <w:vAlign w:val="top"/>
            <w:tcMar>
              <w:top w:w="40" w:type="dxa"/>
              <w:left w:w="65" w:type="dxa"/>
              <w:bottom w:w="35" w:type="dxa"/>
              <w:right w:w="65" w:type="dxa"/>
            </w:tcMar>
          </w:tcPr>
          <w:p>
            <w:pPr>
              <w:pStyle w:val="TableText"/>
            </w:pPr>
            <w:r>
              <w:t>Match the retained manifest and successful validator evidence.</w:t>
            </w:r>
          </w:p>
        </w:tc>
      </w:tr>
      <w:tr>
        <w:trPr>
          <w:cantSplit/>
        </w:trPr>
        <w:tc>
          <w:tcPr>
            <w:tcW w:type="dxa" w:w="3024"/>
            <w:vAlign w:val="top"/>
            <w:tcMar>
              <w:top w:w="40" w:type="dxa"/>
              <w:left w:w="65" w:type="dxa"/>
              <w:bottom w:w="35" w:type="dxa"/>
              <w:right w:w="65" w:type="dxa"/>
            </w:tcMar>
          </w:tcPr>
          <w:p>
            <w:pPr>
              <w:pStyle w:val="TableText"/>
            </w:pPr>
            <w:r>
              <w:t>Start with 150-record sample</w:t>
            </w:r>
          </w:p>
        </w:tc>
        <w:tc>
          <w:tcPr>
            <w:tcW w:type="dxa" w:w="6336"/>
            <w:vAlign w:val="top"/>
            <w:tcMar>
              <w:top w:w="40" w:type="dxa"/>
              <w:left w:w="65" w:type="dxa"/>
              <w:bottom w:w="35" w:type="dxa"/>
              <w:right w:w="65" w:type="dxa"/>
            </w:tcMar>
          </w:tcPr>
          <w:p>
            <w:pPr>
              <w:pStyle w:val="TableText"/>
            </w:pPr>
            <w:r>
              <w:t>Inspect endpoints, alternatives, parent context and review reasons; preserve uncertainty.</w:t>
            </w:r>
          </w:p>
        </w:tc>
      </w:tr>
      <w:tr>
        <w:trPr>
          <w:cantSplit/>
        </w:trPr>
        <w:tc>
          <w:tcPr>
            <w:tcW w:type="dxa" w:w="3024"/>
            <w:vAlign w:val="top"/>
            <w:tcMar>
              <w:top w:w="40" w:type="dxa"/>
              <w:left w:w="65" w:type="dxa"/>
              <w:bottom w:w="35" w:type="dxa"/>
              <w:right w:w="65" w:type="dxa"/>
            </w:tcMar>
          </w:tcPr>
          <w:p>
            <w:pPr>
              <w:pStyle w:val="TableText"/>
            </w:pPr>
            <w:r>
              <w:t>Correct correspondence separately</w:t>
            </w:r>
          </w:p>
        </w:tc>
        <w:tc>
          <w:tcPr>
            <w:tcW w:type="dxa" w:w="6336"/>
            <w:vAlign w:val="top"/>
            <w:tcMar>
              <w:top w:w="40" w:type="dxa"/>
              <w:left w:w="65" w:type="dxa"/>
              <w:bottom w:w="35" w:type="dxa"/>
              <w:right w:w="65" w:type="dxa"/>
            </w:tcMar>
          </w:tcPr>
          <w:p>
            <w:pPr>
              <w:pStyle w:val="TableText"/>
            </w:pPr>
            <w:r>
              <w:t>Versioned Alignment Ground Truth with corrected endpoints/relation and links to original record IDs.</w:t>
            </w:r>
          </w:p>
        </w:tc>
      </w:tr>
      <w:tr>
        <w:trPr>
          <w:cantSplit/>
        </w:trPr>
        <w:tc>
          <w:tcPr>
            <w:tcW w:type="dxa" w:w="3024"/>
            <w:vAlign w:val="top"/>
            <w:tcMar>
              <w:top w:w="40" w:type="dxa"/>
              <w:left w:w="65" w:type="dxa"/>
              <w:bottom w:w="35" w:type="dxa"/>
              <w:right w:w="65" w:type="dxa"/>
            </w:tcMar>
          </w:tcPr>
          <w:p>
            <w:pPr>
              <w:pStyle w:val="TableText"/>
            </w:pPr>
            <w:r>
              <w:t>Record reviewer evidence</w:t>
            </w:r>
          </w:p>
        </w:tc>
        <w:tc>
          <w:tcPr>
            <w:tcW w:type="dxa" w:w="6336"/>
            <w:vAlign w:val="top"/>
            <w:tcMar>
              <w:top w:w="40" w:type="dxa"/>
              <w:left w:w="65" w:type="dxa"/>
              <w:bottom w:w="35" w:type="dxa"/>
              <w:right w:w="65" w:type="dxa"/>
            </w:tcMar>
          </w:tcPr>
          <w:p>
            <w:pPr>
              <w:pStyle w:val="TableText"/>
            </w:pPr>
            <w:r>
              <w:t>Reviewer, date, rationale, disagreement and adjudication; independent review where feasible.</w:t>
            </w:r>
          </w:p>
        </w:tc>
      </w:tr>
      <w:tr>
        <w:trPr>
          <w:cantSplit/>
        </w:trPr>
        <w:tc>
          <w:tcPr>
            <w:tcW w:type="dxa" w:w="3024"/>
            <w:vAlign w:val="top"/>
            <w:tcMar>
              <w:top w:w="40" w:type="dxa"/>
              <w:left w:w="65" w:type="dxa"/>
              <w:bottom w:w="35" w:type="dxa"/>
              <w:right w:w="65" w:type="dxa"/>
            </w:tcMar>
          </w:tcPr>
          <w:p>
            <w:pPr>
              <w:pStyle w:val="TableText"/>
            </w:pPr>
            <w:r>
              <w:t>Expand to complete reviewed pair scopes</w:t>
            </w:r>
          </w:p>
        </w:tc>
        <w:tc>
          <w:tcPr>
            <w:tcW w:type="dxa" w:w="6336"/>
            <w:vAlign w:val="top"/>
            <w:tcMar>
              <w:top w:w="40" w:type="dxa"/>
              <w:left w:w="65" w:type="dxa"/>
              <w:bottom w:w="35" w:type="dxa"/>
              <w:right w:w="65" w:type="dxa"/>
            </w:tcMar>
          </w:tcPr>
          <w:p>
            <w:pPr>
              <w:pStyle w:val="TableText"/>
            </w:pPr>
            <w:r>
              <w:t>Required for current evaluator recall/​candidate-​recall metrics; sample alone is not scope_complete.</w:t>
            </w:r>
          </w:p>
        </w:tc>
      </w:tr>
      <w:tr>
        <w:trPr>
          <w:cantSplit/>
        </w:trPr>
        <w:tc>
          <w:tcPr>
            <w:tcW w:type="dxa" w:w="3024"/>
            <w:vAlign w:val="top"/>
            <w:tcMar>
              <w:top w:w="40" w:type="dxa"/>
              <w:left w:w="65" w:type="dxa"/>
              <w:bottom w:w="35" w:type="dxa"/>
              <w:right w:w="65" w:type="dxa"/>
            </w:tcMar>
          </w:tcPr>
          <w:p>
            <w:pPr>
              <w:pStyle w:val="TableText"/>
            </w:pPr>
            <w:r>
              <w:t>Measure alignment quality</w:t>
            </w:r>
          </w:p>
        </w:tc>
        <w:tc>
          <w:tcPr>
            <w:tcW w:type="dxa" w:w="6336"/>
            <w:vAlign w:val="top"/>
            <w:tcMar>
              <w:top w:w="40" w:type="dxa"/>
              <w:left w:w="65" w:type="dxa"/>
              <w:bottom w:w="35" w:type="dxa"/>
              <w:right w:w="65" w:type="dxa"/>
            </w:tcMar>
          </w:tcPr>
          <w:p>
            <w:pPr>
              <w:pStyle w:val="TableText"/>
            </w:pPr>
            <w:r>
              <w:t>Precision/recall/F1 and relation-specific errors before benchmark reliance.</w:t>
            </w:r>
          </w:p>
        </w:tc>
      </w:tr>
      <w:tr>
        <w:trPr>
          <w:cantSplit/>
        </w:trPr>
        <w:tc>
          <w:tcPr>
            <w:tcW w:type="dxa" w:w="3024"/>
            <w:vAlign w:val="top"/>
            <w:tcMar>
              <w:top w:w="40" w:type="dxa"/>
              <w:left w:w="65" w:type="dxa"/>
              <w:bottom w:w="35" w:type="dxa"/>
              <w:right w:w="65" w:type="dxa"/>
            </w:tcMar>
          </w:tcPr>
          <w:p>
            <w:pPr>
              <w:pStyle w:val="TableText"/>
            </w:pPr>
            <w:r>
              <w:t>Annotate revision reasons</w:t>
            </w:r>
          </w:p>
        </w:tc>
        <w:tc>
          <w:tcPr>
            <w:tcW w:type="dxa" w:w="6336"/>
            <w:vAlign w:val="top"/>
            <w:tcMar>
              <w:top w:w="40" w:type="dxa"/>
              <w:left w:w="65" w:type="dxa"/>
              <w:bottom w:w="35" w:type="dxa"/>
              <w:right w:w="65" w:type="dxa"/>
            </w:tcMar>
          </w:tcPr>
          <w:p>
            <w:pPr>
              <w:pStyle w:val="TableText"/>
            </w:pPr>
            <w:r>
              <w:t>Editorial, functionality, terminology, reference, redesign or ambiguity clarification; independent of alignment type.</w:t>
            </w:r>
          </w:p>
        </w:tc>
      </w:tr>
      <w:tr>
        <w:trPr>
          <w:cantSplit/>
        </w:trPr>
        <w:tc>
          <w:tcPr>
            <w:tcW w:type="dxa" w:w="3024"/>
            <w:vAlign w:val="top"/>
            <w:tcMar>
              <w:top w:w="40" w:type="dxa"/>
              <w:left w:w="65" w:type="dxa"/>
              <w:bottom w:w="35" w:type="dxa"/>
              <w:right w:w="65" w:type="dxa"/>
            </w:tcMar>
          </w:tcPr>
          <w:p>
            <w:pPr>
              <w:pStyle w:val="TableText"/>
            </w:pPr>
            <w:r>
              <w:t>Create Ambiguity Ground Truth separately</w:t>
            </w:r>
          </w:p>
        </w:tc>
        <w:tc>
          <w:tcPr>
            <w:tcW w:type="dxa" w:w="6336"/>
            <w:vAlign w:val="top"/>
            <w:tcMar>
              <w:top w:w="40" w:type="dxa"/>
              <w:left w:w="65" w:type="dxa"/>
              <w:bottom w:w="35" w:type="dxa"/>
              <w:right w:w="65" w:type="dxa"/>
            </w:tcMar>
          </w:tcPr>
          <w:p>
            <w:pPr>
              <w:pStyle w:val="TableText"/>
            </w:pPr>
            <w:r>
              <w:t>AMBIGUOUS/​CLEAR/​UNCERTAIN judgments for target clauses with defensible evidence.</w:t>
            </w:r>
          </w:p>
        </w:tc>
      </w:tr>
      <w:tr>
        <w:trPr>
          <w:cantSplit/>
        </w:trPr>
        <w:tc>
          <w:tcPr>
            <w:tcW w:type="dxa" w:w="3024"/>
            <w:vAlign w:val="top"/>
            <w:tcMar>
              <w:top w:w="40" w:type="dxa"/>
              <w:left w:w="65" w:type="dxa"/>
              <w:bottom w:w="35" w:type="dxa"/>
              <w:right w:w="65" w:type="dxa"/>
            </w:tcMar>
          </w:tcPr>
          <w:p>
            <w:pPr>
              <w:pStyle w:val="TableText"/>
            </w:pPr>
            <w:r>
              <w:t>Separate evidence roles</w:t>
            </w:r>
          </w:p>
        </w:tc>
        <w:tc>
          <w:tcPr>
            <w:tcW w:type="dxa" w:w="6336"/>
            <w:vAlign w:val="top"/>
            <w:tcMar>
              <w:top w:w="40" w:type="dxa"/>
              <w:left w:w="65" w:type="dxa"/>
              <w:bottom w:w="35" w:type="dxa"/>
              <w:right w:w="65" w:type="dxa"/>
            </w:tcMar>
          </w:tcPr>
          <w:p>
            <w:pPr>
              <w:pStyle w:val="TableText"/>
            </w:pPr>
            <w:r>
              <w:t>Retrospective later sources are LABEL_SUPPORT; reviewer records ANNOTATION_​METADATA; only admissible data MODEL_FEATURE.</w:t>
            </w:r>
          </w:p>
        </w:tc>
      </w:tr>
      <w:tr>
        <w:trPr>
          <w:cantSplit/>
        </w:trPr>
        <w:tc>
          <w:tcPr>
            <w:tcW w:type="dxa" w:w="3024"/>
            <w:vAlign w:val="top"/>
            <w:tcMar>
              <w:top w:w="40" w:type="dxa"/>
              <w:left w:w="65" w:type="dxa"/>
              <w:bottom w:w="35" w:type="dxa"/>
              <w:right w:w="65" w:type="dxa"/>
            </w:tcMar>
          </w:tcPr>
          <w:p>
            <w:pPr>
              <w:pStyle w:val="TableText"/>
            </w:pPr>
            <w:r>
              <w:t>Calibrate on admissible development data</w:t>
            </w:r>
          </w:p>
        </w:tc>
        <w:tc>
          <w:tcPr>
            <w:tcW w:type="dxa" w:w="6336"/>
            <w:vAlign w:val="top"/>
            <w:tcMar>
              <w:top w:w="40" w:type="dxa"/>
              <w:left w:w="65" w:type="dxa"/>
              <w:bottom w:w="35" w:type="dxa"/>
              <w:right w:w="65" w:type="dxa"/>
            </w:tcMar>
          </w:tcPr>
          <w:p>
            <w:pPr>
              <w:pStyle w:val="TableText"/>
            </w:pPr>
            <w:r>
              <w:t>Do not fit thresholds/​calibration using a future final test subset.</w:t>
            </w:r>
          </w:p>
        </w:tc>
      </w:tr>
      <w:tr>
        <w:trPr>
          <w:cantSplit/>
        </w:trPr>
        <w:tc>
          <w:tcPr>
            <w:tcW w:type="dxa" w:w="3024"/>
            <w:vAlign w:val="top"/>
            <w:tcMar>
              <w:top w:w="40" w:type="dxa"/>
              <w:left w:w="65" w:type="dxa"/>
              <w:bottom w:w="35" w:type="dxa"/>
              <w:right w:w="65" w:type="dxa"/>
            </w:tcMar>
          </w:tcPr>
          <w:p>
            <w:pPr>
              <w:pStyle w:val="TableText"/>
            </w:pPr>
            <w:r>
              <w:t>Preserve artifacts and corrections</w:t>
            </w:r>
          </w:p>
        </w:tc>
        <w:tc>
          <w:tcPr>
            <w:tcW w:type="dxa" w:w="6336"/>
            <w:vAlign w:val="top"/>
            <w:tcMar>
              <w:top w:w="40" w:type="dxa"/>
              <w:left w:w="65" w:type="dxa"/>
              <w:bottom w:w="35" w:type="dxa"/>
              <w:right w:w="65" w:type="dxa"/>
            </w:tcMar>
          </w:tcPr>
          <w:p>
            <w:pPr>
              <w:pStyle w:val="TableText"/>
            </w:pPr>
            <w:r>
              <w:t>Never overwrite automatic outputs; document annotation and derived-dataset versions.</w:t>
            </w:r>
          </w:p>
        </w:tc>
      </w:tr>
    </w:tbl>
    <w:p>
      <w:pPr>
        <w:spacing w:after="0"/>
      </w:pPr>
    </w:p>
    <w:p>
      <w:pPr>
        <w:pStyle w:val="Heading2"/>
      </w:pPr>
      <w:r>
        <w:t>Appendix O: Glossary and abbreviations</w:t>
      </w:r>
    </w:p>
    <w:tbl>
      <w:tblPr>
        <w:tblStyle w:val="TableGrid"/>
        <w:tblW w:type="auto" w:w="0"/>
        <w:jc w:val="center"/>
        <w:tblLayout w:type="fixed"/>
        <w:tblLook w:firstColumn="1" w:firstRow="1" w:lastColumn="0" w:lastRow="0" w:noHBand="0" w:noVBand="1" w:val="04A0"/>
      </w:tblPr>
      <w:tblGrid>
        <w:gridCol w:w="3024"/>
        <w:gridCol w:w="6336"/>
      </w:tblGrid>
      <w:tr>
        <w:trPr>
          <w:tblHeader w:val="true"/>
          <w:cantSplit/>
        </w:trPr>
        <w:tc>
          <w:tcPr>
            <w:tcW w:type="dxa" w:w="3024"/>
            <w:vAlign w:val="top"/>
            <w:tcMar>
              <w:top w:w="40" w:type="dxa"/>
              <w:left w:w="65" w:type="dxa"/>
              <w:bottom w:w="35" w:type="dxa"/>
              <w:right w:w="65" w:type="dxa"/>
            </w:tcMar>
          </w:tcPr>
          <w:p>
            <w:pPr>
              <w:pStyle w:val="TableHeader"/>
            </w:pPr>
            <w:r>
              <w:t>Term</w:t>
            </w:r>
          </w:p>
        </w:tc>
        <w:tc>
          <w:tcPr>
            <w:tcW w:type="dxa" w:w="6336"/>
            <w:vAlign w:val="top"/>
            <w:tcMar>
              <w:top w:w="40" w:type="dxa"/>
              <w:left w:w="65" w:type="dxa"/>
              <w:bottom w:w="35" w:type="dxa"/>
              <w:right w:w="65" w:type="dxa"/>
            </w:tcMar>
          </w:tcPr>
          <w:p>
            <w:pPr>
              <w:pStyle w:val="TableHeader"/>
            </w:pPr>
            <w:r>
              <w:t>Meaning in this chapter</w:t>
            </w:r>
          </w:p>
        </w:tc>
      </w:tr>
      <w:tr>
        <w:trPr>
          <w:cantSplit/>
        </w:trPr>
        <w:tc>
          <w:tcPr>
            <w:tcW w:type="dxa" w:w="3024"/>
            <w:vAlign w:val="top"/>
            <w:tcMar>
              <w:top w:w="40" w:type="dxa"/>
              <w:left w:w="65" w:type="dxa"/>
              <w:bottom w:w="35" w:type="dxa"/>
              <w:right w:w="65" w:type="dxa"/>
            </w:tcMar>
          </w:tcPr>
          <w:p>
            <w:pPr>
              <w:pStyle w:val="TableText"/>
            </w:pPr>
            <w:r>
              <w:t>Alignment Ground Truth</w:t>
            </w:r>
          </w:p>
        </w:tc>
        <w:tc>
          <w:tcPr>
            <w:tcW w:type="dxa" w:w="6336"/>
            <w:vAlign w:val="top"/>
            <w:tcMar>
              <w:top w:w="40" w:type="dxa"/>
              <w:left w:w="65" w:type="dxa"/>
              <w:bottom w:w="35" w:type="dxa"/>
              <w:right w:w="65" w:type="dxa"/>
            </w:tcMar>
          </w:tcPr>
          <w:p>
            <w:pPr>
              <w:pStyle w:val="TableText"/>
            </w:pPr>
            <w:r>
              <w:t>Human-verified correspondence between clause occurrences; separate from ambiguity labels.</w:t>
            </w:r>
          </w:p>
        </w:tc>
      </w:tr>
      <w:tr>
        <w:trPr>
          <w:cantSplit/>
        </w:trPr>
        <w:tc>
          <w:tcPr>
            <w:tcW w:type="dxa" w:w="3024"/>
            <w:vAlign w:val="top"/>
            <w:tcMar>
              <w:top w:w="40" w:type="dxa"/>
              <w:left w:w="65" w:type="dxa"/>
              <w:bottom w:w="35" w:type="dxa"/>
              <w:right w:w="65" w:type="dxa"/>
            </w:tcMar>
          </w:tcPr>
          <w:p>
            <w:pPr>
              <w:pStyle w:val="TableText"/>
            </w:pPr>
            <w:r>
              <w:t>Ambiguity Ground Truth</w:t>
            </w:r>
          </w:p>
        </w:tc>
        <w:tc>
          <w:tcPr>
            <w:tcW w:type="dxa" w:w="6336"/>
            <w:vAlign w:val="top"/>
            <w:tcMar>
              <w:top w:w="40" w:type="dxa"/>
              <w:left w:w="65" w:type="dxa"/>
              <w:bottom w:w="35" w:type="dxa"/>
              <w:right w:w="65" w:type="dxa"/>
            </w:tcMar>
          </w:tcPr>
          <w:p>
            <w:pPr>
              <w:pStyle w:val="TableText"/>
            </w:pPr>
            <w:r>
              <w:t>Human/​evidence-​adjudicated ambiguity labels for assessed clauses.</w:t>
            </w:r>
          </w:p>
        </w:tc>
      </w:tr>
      <w:tr>
        <w:trPr>
          <w:cantSplit/>
        </w:trPr>
        <w:tc>
          <w:tcPr>
            <w:tcW w:type="dxa" w:w="3024"/>
            <w:vAlign w:val="top"/>
            <w:tcMar>
              <w:top w:w="40" w:type="dxa"/>
              <w:left w:w="65" w:type="dxa"/>
              <w:bottom w:w="35" w:type="dxa"/>
              <w:right w:w="65" w:type="dxa"/>
            </w:tcMar>
          </w:tcPr>
          <w:p>
            <w:pPr>
              <w:pStyle w:val="TableText"/>
            </w:pPr>
            <w:r>
              <w:t>BCP 14</w:t>
            </w:r>
          </w:p>
        </w:tc>
        <w:tc>
          <w:tcPr>
            <w:tcW w:type="dxa" w:w="6336"/>
            <w:vAlign w:val="top"/>
            <w:tcMar>
              <w:top w:w="40" w:type="dxa"/>
              <w:left w:w="65" w:type="dxa"/>
              <w:bottom w:w="35" w:type="dxa"/>
              <w:right w:w="65" w:type="dxa"/>
            </w:tcMar>
          </w:tcPr>
          <w:p>
            <w:pPr>
              <w:pStyle w:val="TableText"/>
            </w:pPr>
            <w:r>
              <w:t>Normative keyword convention addressed by RFC2119 and RFC8174.</w:t>
            </w:r>
          </w:p>
        </w:tc>
      </w:tr>
      <w:tr>
        <w:trPr>
          <w:cantSplit/>
        </w:trPr>
        <w:tc>
          <w:tcPr>
            <w:tcW w:type="dxa" w:w="3024"/>
            <w:vAlign w:val="top"/>
            <w:tcMar>
              <w:top w:w="40" w:type="dxa"/>
              <w:left w:w="65" w:type="dxa"/>
              <w:bottom w:w="35" w:type="dxa"/>
              <w:right w:w="65" w:type="dxa"/>
            </w:tcMar>
          </w:tcPr>
          <w:p>
            <w:pPr>
              <w:pStyle w:val="TableText"/>
            </w:pPr>
            <w:r>
              <w:t>Candidate graph</w:t>
            </w:r>
          </w:p>
        </w:tc>
        <w:tc>
          <w:tcPr>
            <w:tcW w:type="dxa" w:w="6336"/>
            <w:vAlign w:val="top"/>
            <w:tcMar>
              <w:top w:w="40" w:type="dxa"/>
              <w:left w:w="65" w:type="dxa"/>
              <w:bottom w:w="35" w:type="dxa"/>
              <w:right w:w="65" w:type="dxa"/>
            </w:tcMar>
          </w:tcPr>
          <w:p>
            <w:pPr>
              <w:pStyle w:val="TableText"/>
            </w:pPr>
            <w:r>
              <w:t>Possible correspondence edges/hyperedges prior to global selection.</w:t>
            </w:r>
          </w:p>
        </w:tc>
      </w:tr>
      <w:tr>
        <w:trPr>
          <w:cantSplit/>
        </w:trPr>
        <w:tc>
          <w:tcPr>
            <w:tcW w:type="dxa" w:w="3024"/>
            <w:vAlign w:val="top"/>
            <w:tcMar>
              <w:top w:w="40" w:type="dxa"/>
              <w:left w:w="65" w:type="dxa"/>
              <w:bottom w:w="35" w:type="dxa"/>
              <w:right w:w="65" w:type="dxa"/>
            </w:tcMar>
          </w:tcPr>
          <w:p>
            <w:pPr>
              <w:pStyle w:val="TableText"/>
            </w:pPr>
            <w:r>
              <w:t>Clause occurrence</w:t>
            </w:r>
          </w:p>
        </w:tc>
        <w:tc>
          <w:tcPr>
            <w:tcW w:type="dxa" w:w="6336"/>
            <w:vAlign w:val="top"/>
            <w:tcMar>
              <w:top w:w="40" w:type="dxa"/>
              <w:left w:w="65" w:type="dxa"/>
              <w:bottom w:w="35" w:type="dxa"/>
              <w:right w:w="65" w:type="dxa"/>
            </w:tcMar>
          </w:tcPr>
          <w:p>
            <w:pPr>
              <w:pStyle w:val="TableText"/>
            </w:pPr>
            <w:r>
              <w:t>One clause in one document revision with its original occurrence identifier.</w:t>
            </w:r>
          </w:p>
        </w:tc>
      </w:tr>
      <w:tr>
        <w:trPr>
          <w:cantSplit/>
        </w:trPr>
        <w:tc>
          <w:tcPr>
            <w:tcW w:type="dxa" w:w="3024"/>
            <w:vAlign w:val="top"/>
            <w:tcMar>
              <w:top w:w="40" w:type="dxa"/>
              <w:left w:w="65" w:type="dxa"/>
              <w:bottom w:w="35" w:type="dxa"/>
              <w:right w:w="65" w:type="dxa"/>
            </w:tcMar>
          </w:tcPr>
          <w:p>
            <w:pPr>
              <w:pStyle w:val="TableText"/>
            </w:pPr>
            <w:r>
              <w:t>Clause lineage</w:t>
            </w:r>
          </w:p>
        </w:tc>
        <w:tc>
          <w:tcPr>
            <w:tcW w:type="dxa" w:w="6336"/>
            <w:vAlign w:val="top"/>
            <w:tcMar>
              <w:top w:w="40" w:type="dxa"/>
              <w:left w:w="65" w:type="dxa"/>
              <w:bottom w:w="35" w:type="dxa"/>
              <w:right w:w="65" w:type="dxa"/>
            </w:tcMar>
          </w:tcPr>
          <w:p>
            <w:pPr>
              <w:pStyle w:val="TableText"/>
            </w:pPr>
            <w:r>
              <w:t>Forward history linking occurrence identities through accepted relations.</w:t>
            </w:r>
          </w:p>
        </w:tc>
      </w:tr>
      <w:tr>
        <w:trPr>
          <w:cantSplit/>
        </w:trPr>
        <w:tc>
          <w:tcPr>
            <w:tcW w:type="dxa" w:w="3024"/>
            <w:vAlign w:val="top"/>
            <w:tcMar>
              <w:top w:w="40" w:type="dxa"/>
              <w:left w:w="65" w:type="dxa"/>
              <w:bottom w:w="35" w:type="dxa"/>
              <w:right w:w="65" w:type="dxa"/>
            </w:tcMar>
          </w:tcPr>
          <w:p>
            <w:pPr>
              <w:pStyle w:val="TableText"/>
            </w:pPr>
            <w:r>
              <w:t>Confidence band</w:t>
            </w:r>
          </w:p>
        </w:tc>
        <w:tc>
          <w:tcPr>
            <w:tcW w:type="dxa" w:w="6336"/>
            <w:vAlign w:val="top"/>
            <w:tcMar>
              <w:top w:w="40" w:type="dxa"/>
              <w:left w:w="65" w:type="dxa"/>
              <w:bottom w:w="35" w:type="dxa"/>
              <w:right w:w="65" w:type="dxa"/>
            </w:tcMar>
          </w:tcPr>
          <w:p>
            <w:pPr>
              <w:pStyle w:val="TableText"/>
            </w:pPr>
            <w:r>
              <w:t>Uncalibrated HIGH/MEDIUM/LOW correspondence rule, not a probability.</w:t>
            </w:r>
          </w:p>
        </w:tc>
      </w:tr>
      <w:tr>
        <w:trPr>
          <w:cantSplit/>
        </w:trPr>
        <w:tc>
          <w:tcPr>
            <w:tcW w:type="dxa" w:w="3024"/>
            <w:vAlign w:val="top"/>
            <w:tcMar>
              <w:top w:w="40" w:type="dxa"/>
              <w:left w:w="65" w:type="dxa"/>
              <w:bottom w:w="35" w:type="dxa"/>
              <w:right w:w="65" w:type="dxa"/>
            </w:tcMar>
          </w:tcPr>
          <w:p>
            <w:pPr>
              <w:pStyle w:val="TableText"/>
            </w:pPr>
            <w:r>
              <w:t>Content token</w:t>
            </w:r>
          </w:p>
        </w:tc>
        <w:tc>
          <w:tcPr>
            <w:tcW w:type="dxa" w:w="6336"/>
            <w:vAlign w:val="top"/>
            <w:tcMar>
              <w:top w:w="40" w:type="dxa"/>
              <w:left w:w="65" w:type="dxa"/>
              <w:bottom w:w="35" w:type="dxa"/>
              <w:right w:w="65" w:type="dxa"/>
            </w:tcMar>
          </w:tcPr>
          <w:p>
            <w:pPr>
              <w:pStyle w:val="TableText"/>
            </w:pPr>
            <w:r>
              <w:t>Tokenizer ID from source text before added special tokens and padding.</w:t>
            </w:r>
          </w:p>
        </w:tc>
      </w:tr>
      <w:tr>
        <w:trPr>
          <w:cantSplit/>
        </w:trPr>
        <w:tc>
          <w:tcPr>
            <w:tcW w:type="dxa" w:w="3024"/>
            <w:vAlign w:val="top"/>
            <w:tcMar>
              <w:top w:w="40" w:type="dxa"/>
              <w:left w:w="65" w:type="dxa"/>
              <w:bottom w:w="35" w:type="dxa"/>
              <w:right w:w="65" w:type="dxa"/>
            </w:tcMar>
          </w:tcPr>
          <w:p>
            <w:pPr>
              <w:pStyle w:val="TableText"/>
            </w:pPr>
            <w:r>
              <w:t>Evidence role</w:t>
            </w:r>
          </w:p>
        </w:tc>
        <w:tc>
          <w:tcPr>
            <w:tcW w:type="dxa" w:w="6336"/>
            <w:vAlign w:val="top"/>
            <w:tcMar>
              <w:top w:w="40" w:type="dxa"/>
              <w:left w:w="65" w:type="dxa"/>
              <w:bottom w:w="35" w:type="dxa"/>
              <w:right w:w="65" w:type="dxa"/>
            </w:tcMar>
          </w:tcPr>
          <w:p>
            <w:pPr>
              <w:pStyle w:val="TableText"/>
            </w:pPr>
            <w:r>
              <w:t>MODEL_FEATURE, LABEL_SUPPORT or ANNOTATION_​METADATA.​</w:t>
            </w:r>
          </w:p>
        </w:tc>
      </w:tr>
      <w:tr>
        <w:trPr>
          <w:cantSplit/>
        </w:trPr>
        <w:tc>
          <w:tcPr>
            <w:tcW w:type="dxa" w:w="3024"/>
            <w:vAlign w:val="top"/>
            <w:tcMar>
              <w:top w:w="40" w:type="dxa"/>
              <w:left w:w="65" w:type="dxa"/>
              <w:bottom w:w="35" w:type="dxa"/>
              <w:right w:w="65" w:type="dxa"/>
            </w:tcMar>
          </w:tcPr>
          <w:p>
            <w:pPr>
              <w:pStyle w:val="TableText"/>
            </w:pPr>
            <w:r>
              <w:t>Global assignment</w:t>
            </w:r>
          </w:p>
        </w:tc>
        <w:tc>
          <w:tcPr>
            <w:tcW w:type="dxa" w:w="6336"/>
            <w:vAlign w:val="top"/>
            <w:tcMar>
              <w:top w:w="40" w:type="dxa"/>
              <w:left w:w="65" w:type="dxa"/>
              <w:bottom w:w="35" w:type="dxa"/>
              <w:right w:w="65" w:type="dxa"/>
            </w:tcMar>
          </w:tcPr>
          <w:p>
            <w:pPr>
              <w:pStyle w:val="TableText"/>
            </w:pPr>
            <w:r>
              <w:t>Non-overlapping selection across the available candidate graph.</w:t>
            </w:r>
          </w:p>
        </w:tc>
      </w:tr>
      <w:tr>
        <w:trPr>
          <w:cantSplit/>
        </w:trPr>
        <w:tc>
          <w:tcPr>
            <w:tcW w:type="dxa" w:w="3024"/>
            <w:vAlign w:val="top"/>
            <w:tcMar>
              <w:top w:w="40" w:type="dxa"/>
              <w:left w:w="65" w:type="dxa"/>
              <w:bottom w:w="35" w:type="dxa"/>
              <w:right w:w="65" w:type="dxa"/>
            </w:tcMar>
          </w:tcPr>
          <w:p>
            <w:pPr>
              <w:pStyle w:val="TableText"/>
            </w:pPr>
            <w:r>
              <w:t>Hyperedge</w:t>
            </w:r>
          </w:p>
        </w:tc>
        <w:tc>
          <w:tcPr>
            <w:tcW w:type="dxa" w:w="6336"/>
            <w:vAlign w:val="top"/>
            <w:tcMar>
              <w:top w:w="40" w:type="dxa"/>
              <w:left w:w="65" w:type="dxa"/>
              <w:bottom w:w="35" w:type="dxa"/>
              <w:right w:w="65" w:type="dxa"/>
            </w:tcMar>
          </w:tcPr>
          <w:p>
            <w:pPr>
              <w:pStyle w:val="TableText"/>
            </w:pPr>
            <w:r>
              <w:t>A split/merge hypothesis involving multiple endpoints on one side.</w:t>
            </w:r>
          </w:p>
        </w:tc>
      </w:tr>
      <w:tr>
        <w:trPr>
          <w:cantSplit/>
        </w:trPr>
        <w:tc>
          <w:tcPr>
            <w:tcW w:type="dxa" w:w="3024"/>
            <w:vAlign w:val="top"/>
            <w:tcMar>
              <w:top w:w="40" w:type="dxa"/>
              <w:left w:w="65" w:type="dxa"/>
              <w:bottom w:w="35" w:type="dxa"/>
              <w:right w:w="65" w:type="dxa"/>
            </w:tcMar>
          </w:tcPr>
          <w:p>
            <w:pPr>
              <w:pStyle w:val="TableText"/>
            </w:pPr>
            <w:r>
              <w:t>I-D</w:t>
            </w:r>
          </w:p>
        </w:tc>
        <w:tc>
          <w:tcPr>
            <w:tcW w:type="dxa" w:w="6336"/>
            <w:vAlign w:val="top"/>
            <w:tcMar>
              <w:top w:w="40" w:type="dxa"/>
              <w:left w:w="65" w:type="dxa"/>
              <w:bottom w:w="35" w:type="dxa"/>
              <w:right w:w="65" w:type="dxa"/>
            </w:tcMar>
          </w:tcPr>
          <w:p>
            <w:pPr>
              <w:pStyle w:val="TableText"/>
            </w:pPr>
            <w:r>
              <w:t>Internet-Draft.</w:t>
            </w:r>
          </w:p>
        </w:tc>
      </w:tr>
      <w:tr>
        <w:trPr>
          <w:cantSplit/>
        </w:trPr>
        <w:tc>
          <w:tcPr>
            <w:tcW w:type="dxa" w:w="3024"/>
            <w:vAlign w:val="top"/>
            <w:tcMar>
              <w:top w:w="40" w:type="dxa"/>
              <w:left w:w="65" w:type="dxa"/>
              <w:bottom w:w="35" w:type="dxa"/>
              <w:right w:w="65" w:type="dxa"/>
            </w:tcMar>
          </w:tcPr>
          <w:p>
            <w:pPr>
              <w:pStyle w:val="TableText"/>
            </w:pPr>
            <w:r>
              <w:t>Immutable run</w:t>
            </w:r>
          </w:p>
        </w:tc>
        <w:tc>
          <w:tcPr>
            <w:tcW w:type="dxa" w:w="6336"/>
            <w:vAlign w:val="top"/>
            <w:tcMar>
              <w:top w:w="40" w:type="dxa"/>
              <w:left w:w="65" w:type="dxa"/>
              <w:bottom w:w="35" w:type="dxa"/>
              <w:right w:w="65" w:type="dxa"/>
            </w:tcMar>
          </w:tcPr>
          <w:p>
            <w:pPr>
              <w:pStyle w:val="TableText"/>
            </w:pPr>
            <w:r>
              <w:t>Exclusive-write output directory whose content is subsequently hash-audited.</w:t>
            </w:r>
          </w:p>
        </w:tc>
      </w:tr>
      <w:tr>
        <w:trPr>
          <w:cantSplit/>
        </w:trPr>
        <w:tc>
          <w:tcPr>
            <w:tcW w:type="dxa" w:w="3024"/>
            <w:vAlign w:val="top"/>
            <w:tcMar>
              <w:top w:w="40" w:type="dxa"/>
              <w:left w:w="65" w:type="dxa"/>
              <w:bottom w:w="35" w:type="dxa"/>
              <w:right w:w="65" w:type="dxa"/>
            </w:tcMar>
          </w:tcPr>
          <w:p>
            <w:pPr>
              <w:pStyle w:val="TableText"/>
            </w:pPr>
            <w:r>
              <w:t>JSONL</w:t>
            </w:r>
          </w:p>
        </w:tc>
        <w:tc>
          <w:tcPr>
            <w:tcW w:type="dxa" w:w="6336"/>
            <w:vAlign w:val="top"/>
            <w:tcMar>
              <w:top w:w="40" w:type="dxa"/>
              <w:left w:w="65" w:type="dxa"/>
              <w:bottom w:w="35" w:type="dxa"/>
              <w:right w:w="65" w:type="dxa"/>
            </w:tcMar>
          </w:tcPr>
          <w:p>
            <w:pPr>
              <w:pStyle w:val="TableText"/>
            </w:pPr>
            <w:r>
              <w:t>UTF-8 file containing one JSON record per line.</w:t>
            </w:r>
          </w:p>
        </w:tc>
      </w:tr>
      <w:tr>
        <w:trPr>
          <w:cantSplit/>
        </w:trPr>
        <w:tc>
          <w:tcPr>
            <w:tcW w:type="dxa" w:w="3024"/>
            <w:vAlign w:val="top"/>
            <w:tcMar>
              <w:top w:w="40" w:type="dxa"/>
              <w:left w:w="65" w:type="dxa"/>
              <w:bottom w:w="35" w:type="dxa"/>
              <w:right w:w="65" w:type="dxa"/>
            </w:tcMar>
          </w:tcPr>
          <w:p>
            <w:pPr>
              <w:pStyle w:val="TableText"/>
            </w:pPr>
            <w:r>
              <w:t>MILP</w:t>
            </w:r>
          </w:p>
        </w:tc>
        <w:tc>
          <w:tcPr>
            <w:tcW w:type="dxa" w:w="6336"/>
            <w:vAlign w:val="top"/>
            <w:tcMar>
              <w:top w:w="40" w:type="dxa"/>
              <w:left w:w="65" w:type="dxa"/>
              <w:bottom w:w="35" w:type="dxa"/>
              <w:right w:w="65" w:type="dxa"/>
            </w:tcMar>
          </w:tcPr>
          <w:p>
            <w:pPr>
              <w:pStyle w:val="TableText"/>
            </w:pPr>
            <w:r>
              <w:t>Mixed-integer linear programming for competing group selections.</w:t>
            </w:r>
          </w:p>
        </w:tc>
      </w:tr>
      <w:tr>
        <w:trPr>
          <w:cantSplit/>
        </w:trPr>
        <w:tc>
          <w:tcPr>
            <w:tcW w:type="dxa" w:w="3024"/>
            <w:vAlign w:val="top"/>
            <w:tcMar>
              <w:top w:w="40" w:type="dxa"/>
              <w:left w:w="65" w:type="dxa"/>
              <w:bottom w:w="35" w:type="dxa"/>
              <w:right w:w="65" w:type="dxa"/>
            </w:tcMar>
          </w:tcPr>
          <w:p>
            <w:pPr>
              <w:pStyle w:val="TableText"/>
            </w:pPr>
            <w:r>
              <w:t>MVP</w:t>
            </w:r>
          </w:p>
        </w:tc>
        <w:tc>
          <w:tcPr>
            <w:tcW w:type="dxa" w:w="6336"/>
            <w:vAlign w:val="top"/>
            <w:tcMar>
              <w:top w:w="40" w:type="dxa"/>
              <w:left w:w="65" w:type="dxa"/>
              <w:bottom w:w="35" w:type="dxa"/>
              <w:right w:w="65" w:type="dxa"/>
            </w:tcMar>
          </w:tcPr>
          <w:p>
            <w:pPr>
              <w:pStyle w:val="TableText"/>
            </w:pPr>
            <w:r>
              <w:t>Minimum viable product with the explicitly limited TLS scope.</w:t>
            </w:r>
          </w:p>
        </w:tc>
      </w:tr>
      <w:tr>
        <w:trPr>
          <w:cantSplit/>
        </w:trPr>
        <w:tc>
          <w:tcPr>
            <w:tcW w:type="dxa" w:w="3024"/>
            <w:vAlign w:val="top"/>
            <w:tcMar>
              <w:top w:w="40" w:type="dxa"/>
              <w:left w:w="65" w:type="dxa"/>
              <w:bottom w:w="35" w:type="dxa"/>
              <w:right w:w="65" w:type="dxa"/>
            </w:tcMar>
          </w:tcPr>
          <w:p>
            <w:pPr>
              <w:pStyle w:val="TableText"/>
            </w:pPr>
            <w:r>
              <w:t>Provenance</w:t>
            </w:r>
          </w:p>
        </w:tc>
        <w:tc>
          <w:tcPr>
            <w:tcW w:type="dxa" w:w="6336"/>
            <w:vAlign w:val="top"/>
            <w:tcMar>
              <w:top w:w="40" w:type="dxa"/>
              <w:left w:w="65" w:type="dxa"/>
              <w:bottom w:w="35" w:type="dxa"/>
              <w:right w:w="65" w:type="dxa"/>
            </w:tcMar>
          </w:tcPr>
          <w:p>
            <w:pPr>
              <w:pStyle w:val="TableText"/>
            </w:pPr>
            <w:r>
              <w:t>Source identity, dates, spans, hashes, configuration/model identity and processing origin.</w:t>
            </w:r>
          </w:p>
        </w:tc>
      </w:tr>
      <w:tr>
        <w:trPr>
          <w:cantSplit/>
        </w:trPr>
        <w:tc>
          <w:tcPr>
            <w:tcW w:type="dxa" w:w="3024"/>
            <w:vAlign w:val="top"/>
            <w:tcMar>
              <w:top w:w="40" w:type="dxa"/>
              <w:left w:w="65" w:type="dxa"/>
              <w:bottom w:w="35" w:type="dxa"/>
              <w:right w:w="65" w:type="dxa"/>
            </w:tcMar>
          </w:tcPr>
          <w:p>
            <w:pPr>
              <w:pStyle w:val="TableText"/>
            </w:pPr>
            <w:r>
              <w:t>RFC</w:t>
            </w:r>
          </w:p>
        </w:tc>
        <w:tc>
          <w:tcPr>
            <w:tcW w:type="dxa" w:w="6336"/>
            <w:vAlign w:val="top"/>
            <w:tcMar>
              <w:top w:w="40" w:type="dxa"/>
              <w:left w:w="65" w:type="dxa"/>
              <w:bottom w:w="35" w:type="dxa"/>
              <w:right w:w="65" w:type="dxa"/>
            </w:tcMar>
          </w:tcPr>
          <w:p>
            <w:pPr>
              <w:pStyle w:val="TableText"/>
            </w:pPr>
            <w:r>
              <w:t>Request for Comments; RFC8446 is the selected final historical TLS document.</w:t>
            </w:r>
          </w:p>
        </w:tc>
      </w:tr>
      <w:tr>
        <w:trPr>
          <w:cantSplit/>
        </w:trPr>
        <w:tc>
          <w:tcPr>
            <w:tcW w:type="dxa" w:w="3024"/>
            <w:vAlign w:val="top"/>
            <w:tcMar>
              <w:top w:w="40" w:type="dxa"/>
              <w:left w:w="65" w:type="dxa"/>
              <w:bottom w:w="35" w:type="dxa"/>
              <w:right w:w="65" w:type="dxa"/>
            </w:tcMar>
          </w:tcPr>
          <w:p>
            <w:pPr>
              <w:pStyle w:val="TableText"/>
            </w:pPr>
            <w:r>
              <w:t>SHA-256</w:t>
            </w:r>
          </w:p>
        </w:tc>
        <w:tc>
          <w:tcPr>
            <w:tcW w:type="dxa" w:w="6336"/>
            <w:vAlign w:val="top"/>
            <w:tcMar>
              <w:top w:w="40" w:type="dxa"/>
              <w:left w:w="65" w:type="dxa"/>
              <w:bottom w:w="35" w:type="dxa"/>
              <w:right w:w="65" w:type="dxa"/>
            </w:tcMar>
          </w:tcPr>
          <w:p>
            <w:pPr>
              <w:pStyle w:val="TableText"/>
            </w:pPr>
            <w:r>
              <w:t>Cryptographic content digest used for artifact and input identity.</w:t>
            </w:r>
          </w:p>
        </w:tc>
      </w:tr>
      <w:tr>
        <w:trPr>
          <w:cantSplit/>
        </w:trPr>
        <w:tc>
          <w:tcPr>
            <w:tcW w:type="dxa" w:w="3024"/>
            <w:vAlign w:val="top"/>
            <w:tcMar>
              <w:top w:w="40" w:type="dxa"/>
              <w:left w:w="65" w:type="dxa"/>
              <w:bottom w:w="35" w:type="dxa"/>
              <w:right w:w="65" w:type="dxa"/>
            </w:tcMar>
          </w:tcPr>
          <w:p>
            <w:pPr>
              <w:pStyle w:val="TableText"/>
            </w:pPr>
            <w:r>
              <w:t>Temporal leakage</w:t>
            </w:r>
          </w:p>
        </w:tc>
        <w:tc>
          <w:tcPr>
            <w:tcW w:type="dxa" w:w="6336"/>
            <w:vAlign w:val="top"/>
            <w:tcMar>
              <w:top w:w="40" w:type="dxa"/>
              <w:left w:w="65" w:type="dxa"/>
              <w:bottom w:w="35" w:type="dxa"/>
              <w:right w:w="65" w:type="dxa"/>
            </w:tcMar>
          </w:tcPr>
          <w:p>
            <w:pPr>
              <w:pStyle w:val="TableText"/>
            </w:pPr>
            <w:r>
              <w:t>Use of evidence unavailable at the target revision in prediction features.</w:t>
            </w:r>
          </w:p>
        </w:tc>
      </w:tr>
      <w:tr>
        <w:trPr>
          <w:cantSplit/>
        </w:trPr>
        <w:tc>
          <w:tcPr>
            <w:tcW w:type="dxa" w:w="3024"/>
            <w:vAlign w:val="top"/>
            <w:tcMar>
              <w:top w:w="40" w:type="dxa"/>
              <w:left w:w="65" w:type="dxa"/>
              <w:bottom w:w="35" w:type="dxa"/>
              <w:right w:w="65" w:type="dxa"/>
            </w:tcMar>
          </w:tcPr>
          <w:p>
            <w:pPr>
              <w:pStyle w:val="TableText"/>
            </w:pPr>
            <w:r>
              <w:t>TLS</w:t>
            </w:r>
          </w:p>
        </w:tc>
        <w:tc>
          <w:tcPr>
            <w:tcW w:type="dxa" w:w="6336"/>
            <w:vAlign w:val="top"/>
            <w:tcMar>
              <w:top w:w="40" w:type="dxa"/>
              <w:left w:w="65" w:type="dxa"/>
              <w:bottom w:w="35" w:type="dxa"/>
              <w:right w:w="65" w:type="dxa"/>
            </w:tcMar>
          </w:tcPr>
          <w:p>
            <w:pPr>
              <w:pStyle w:val="TableText"/>
            </w:pPr>
            <w:r>
              <w:t>Transport Layer Security; this pilot concerns version 1.3.</w:t>
            </w:r>
          </w:p>
        </w:tc>
      </w:tr>
      <w:tr>
        <w:trPr>
          <w:cantSplit/>
        </w:trPr>
        <w:tc>
          <w:tcPr>
            <w:tcW w:type="dxa" w:w="3024"/>
            <w:vAlign w:val="top"/>
            <w:tcMar>
              <w:top w:w="40" w:type="dxa"/>
              <w:left w:w="65" w:type="dxa"/>
              <w:bottom w:w="35" w:type="dxa"/>
              <w:right w:w="65" w:type="dxa"/>
            </w:tcMar>
          </w:tcPr>
          <w:p>
            <w:pPr>
              <w:pStyle w:val="TableText"/>
            </w:pPr>
            <w:r>
              <w:t>Window</w:t>
            </w:r>
          </w:p>
        </w:tc>
        <w:tc>
          <w:tcPr>
            <w:tcW w:type="dxa" w:w="6336"/>
            <w:vAlign w:val="top"/>
            <w:tcMar>
              <w:top w:w="40" w:type="dxa"/>
              <w:left w:w="65" w:type="dxa"/>
              <w:bottom w:w="35" w:type="dxa"/>
              <w:right w:w="65" w:type="dxa"/>
            </w:tcMar>
          </w:tcPr>
          <w:p>
            <w:pPr>
              <w:pStyle w:val="TableText"/>
            </w:pPr>
            <w:r>
              <w:t>Bounded, overlapping slice of original token IDs with recorded provenance.</w:t>
            </w:r>
          </w:p>
        </w:tc>
      </w:tr>
    </w:tbl>
    <w:p>
      <w:pPr>
        <w:spacing w:after="0"/>
      </w:pPr>
    </w:p>
    <w:p>
      <w:pPr>
        <w:pStyle w:val="Heading3"/>
      </w:pPr>
      <w:r>
        <w:t>Ground Truth handover confirmation</w:t>
      </w:r>
    </w:p>
    <w:p>
      <w:pPr/>
      <w:r>
        <w:t>The Ground Truth team receives the complete automatic TLS correspondence package and the unlabeled review sample, with immutable provenance and explicit uncertainty. Alignment verification is its first task. Verified Alignment Ground Truth must remain separate from later revision-reason and Ambiguity Ground Truth datasets; later drafts and RFCs may support retrospective labels but must not enter earlier prediction-time features. The package is ready for that review, not for an unqualified accuracy or benchmark claim.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before="0" w:after="12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240" w:line="252" w:lineRule="auto"/>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80" w:after="140" w:line="252" w:lineRule="auto"/>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00" w:after="100" w:line="252" w:lineRule="auto"/>
      <w:outlineLvl w:val="2"/>
    </w:pPr>
    <w:rPr>
      <w:rFonts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160" w:after="80" w:line="252" w:lineRule="auto"/>
      <w:outlineLvl w:val="3"/>
    </w:pPr>
    <w:rPr>
      <w:rFonts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pageBreakBefore w:val="0"/>
      <w:widowControl/>
      <w:numPr>
        <w:numId w:val="1"/>
      </w:numPr>
      <w:spacing w:before="0" w:after="80" w:line="276"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pageBreakBefore w:val="0"/>
      <w:widowControl/>
      <w:numPr>
        <w:numId w:val="5"/>
      </w:numPr>
      <w:spacing w:before="0" w:after="80" w:line="276" w:lineRule="auto"/>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pageBreakBefore w:val="0"/>
      <w:widowControl/>
      <w:spacing w:line="252" w:lineRule="auto" w:before="80" w:after="140"/>
    </w:pPr>
    <w:rPr>
      <w:rFonts w:ascii="Arial" w:hAnsi="Arial"/>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pageBreakBefore w:val="0"/>
      <w:widowControl/>
      <w:spacing w:before="80" w:after="140" w:line="252" w:lineRule="auto"/>
    </w:pPr>
    <w:rPr>
      <w:rFonts w:ascii="Consolas" w:hAnsi="Consolas"/>
      <w:b w:val="0"/>
      <w:color w:val="000000"/>
      <w:sz w:val="17"/>
    </w:rPr>
  </w:style>
  <w:style w:type="paragraph" w:customStyle="1" w:styleId="TableText">
    <w:name w:val="Table Text"/>
    <w:pPr>
      <w:keepNext w:val="0"/>
      <w:pageBreakBefore w:val="0"/>
      <w:widowControl/>
      <w:spacing w:before="0" w:after="40" w:line="247" w:lineRule="auto"/>
    </w:pPr>
    <w:rPr>
      <w:rFonts w:ascii="Arial" w:hAnsi="Arial"/>
      <w:b w:val="0"/>
      <w:color w:val="000000"/>
      <w:sz w:val="18"/>
    </w:rPr>
  </w:style>
  <w:style w:type="paragraph" w:customStyle="1" w:styleId="TableHeader">
    <w:name w:val="Table Header"/>
    <w:pPr>
      <w:keepNext w:val="0"/>
      <w:pageBreakBefore w:val="0"/>
      <w:widowControl/>
      <w:spacing w:before="0" w:after="40" w:line="247" w:lineRule="auto"/>
    </w:pPr>
    <w:rPr>
      <w:rFonts w:ascii="Arial" w:hAnsi="Arial"/>
      <w:b/>
      <w:color w:val="000000"/>
      <w:sz w:val="18"/>
    </w:rPr>
  </w:style>
  <w:style w:type="paragraph" w:customStyle="1" w:styleId="TableCompact">
    <w:name w:val="Table Compact"/>
    <w:pPr>
      <w:keepNext w:val="0"/>
      <w:pageBreakBefore w:val="0"/>
      <w:widowControl/>
      <w:spacing w:before="0" w:after="20" w:line="240" w:lineRule="auto"/>
    </w:pPr>
    <w:rPr>
      <w:rFonts w:ascii="Arial" w:hAnsi="Arial"/>
      <w:b w:val="0"/>
      <w:color w:val="000000"/>
      <w:sz w:val="16"/>
    </w:rPr>
  </w:style>
  <w:style w:type="paragraph" w:customStyle="1" w:styleId="TableCompactHeader">
    <w:name w:val="Table Compact Header"/>
    <w:pPr>
      <w:keepNext w:val="0"/>
      <w:pageBreakBefore w:val="0"/>
      <w:widowControl/>
      <w:spacing w:before="0" w:after="20" w:line="240" w:lineRule="auto"/>
    </w:pPr>
    <w:rPr>
      <w:rFonts w:ascii="Arial" w:hAnsi="Arial"/>
      <w:b/>
      <w:color w:val="000000"/>
      <w:sz w:val="16"/>
    </w:rPr>
  </w:style>
  <w:style w:type="paragraph" w:customStyle="1" w:styleId="Figure">
    <w:name w:val="Figure"/>
    <w:pPr>
      <w:keepNext/>
      <w:pageBreakBefore w:val="0"/>
      <w:widowControl/>
      <w:spacing w:before="100" w:after="0" w:line="240" w:lineRule="auto"/>
    </w:pPr>
    <w:rPr>
      <w:rFonts w:ascii="Arial" w:hAnsi="Arial"/>
      <w:b w:val="0"/>
      <w:color w:val="000000"/>
      <w:sz w:val="22"/>
    </w:rPr>
  </w:style>
  <w:style w:type="paragraph" w:customStyle="1" w:styleId="Reference">
    <w:name w:val="Reference"/>
    <w:pPr>
      <w:keepNext w:val="0"/>
      <w:pageBreakBefore w:val="0"/>
      <w:widowControl/>
      <w:spacing w:before="0" w:after="120" w:line="259" w:lineRule="auto"/>
    </w:pPr>
    <w:rPr>
      <w:rFonts w:ascii="Arial" w:hAnsi="Arial"/>
      <w:b w:val="0"/>
      <w:color w:val="000000"/>
      <w:sz w:val="19"/>
    </w:rPr>
  </w:style>
  <w:style w:type="character" w:customStyle="1" w:styleId="CodeCharacter">
    <w:name w:val="Code Characte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Alignment for the TLS 1.3 Document Family</dc:title>
  <dc:subject>Merge-ready stage chapter: provisional TLS clause alignment and Ground Truth handover</dc:subject>
  <dc:creator/>
  <cp:keywords/>
  <dc:description/>
  <cp:lastModifiedBy/>
  <cp:revision>1</cp:revision>
  <dcterms:created xsi:type="dcterms:W3CDTF">2013-12-23T23:15:00Z</dcterms:created>
  <dcterms:modified xsi:type="dcterms:W3CDTF">2013-12-23T23:15:00Z</dcterms:modified>
  <cp:category/>
</cp:coreProperties>
</file>