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Intermediate RAG System Using Pinecone Vector Database</w:t>
      </w:r>
    </w:p>
    <w:p>
      <w:pPr>
        <w:spacing w:after="300"/>
        <w:jc w:val="center"/>
      </w:pPr>
      <w:r>
        <w:t xml:space="preserve">Technical Report</w:t>
      </w:r>
      <w:r>
        <w:rPr>
          <w:i/>
          <w:iCs/>
          <w:sz w:val="26"/>
          <w:szCs w:val="26"/>
        </w:rPr>
        <w:t xml:space="preserve">Technical Report</w:t>
      </w:r>
    </w:p>
    <w:p>
      <w:pPr>
        <w:spacing w:after="30"/>
        <w:jc w:val="center"/>
      </w:pPr>
      <w:r>
        <w:rPr>
          <w:sz w:val="22"/>
          <w:szCs w:val="22"/>
        </w:rPr>
        <w:t xml:space="preserve">Course: Artificial Intelligence / NLP / Applied LLM Systems</w:t>
      </w:r>
    </w:p>
    <w:p>
      <w:pPr>
        <w:spacing w:after="30"/>
        <w:jc w:val="center"/>
      </w:pPr>
      <w:r>
        <w:rPr>
          <w:sz w:val="22"/>
          <w:szCs w:val="22"/>
        </w:rPr>
        <w:t xml:space="preserve">Prepared by: Osama Khan</w:t>
      </w:r>
    </w:p>
    <w:p>
      <w:pPr>
        <w:spacing w:after="30"/>
        <w:jc w:val="center"/>
      </w:pPr>
      <w:r>
        <w:rPr>
          <w:sz w:val="22"/>
          <w:szCs w:val="22"/>
        </w:rPr>
        <w:t xml:space="preserve">BSCS (Artificial Intelligence), University of Technology Nowshera</w:t>
      </w:r>
    </w:p>
    <w:p>
      <w:pPr>
        <w:spacing w:after="400"/>
        <w:jc w:val="center"/>
      </w:pPr>
      <w:r>
        <w:rPr>
          <w:sz w:val="22"/>
          <w:szCs w:val="22"/>
        </w:rPr>
        <w:t xml:space="preserve">GitHub: github.com/osama030258-source/rag-pinecone-system</w:t>
      </w:r>
    </w:p>
    <w:p>
      <w:pPr>
        <w:pStyle w:val="Heading1"/>
        <w:spacing w:after="150" w:before="300"/>
      </w:pPr>
      <w:r>
        <w:t xml:space="preserve">1. Introduction and Objective</w:t>
      </w:r>
    </w:p>
    <w:p>
      <w:pPr>
        <w:spacing w:after="150"/>
        <w:jc w:val="both"/>
      </w:pPr>
      <w:r>
        <w:t xml:space="preserve">This report documents the design and implementation of a Retrieval-Augmented Generation (RAG) system that answers user questions strictly from the content of an uploaded PDF document. The system was built to satisfy the core requirement of preventing hallucination: every answer must be traceable to a specific page and passage in the source document, and the system must explicitly decline to answer when the document does not contain relevant information.</w:t>
      </w:r>
    </w:p>
    <w:p>
      <w:pPr>
        <w:spacing w:after="150"/>
        <w:jc w:val="both"/>
      </w:pPr>
      <w:r>
        <w:t xml:space="preserve">The pipeline follows the required architecture: PDF upload, text extraction, text chunking, embedding generation, Pinecone vector indexing, semantic retrieval, LLM response generation, and answer delivery with source reference.</w:t>
      </w:r>
    </w:p>
    <w:p>
      <w:pPr>
        <w:pStyle w:val="Heading1"/>
        <w:spacing w:after="150" w:before="300"/>
      </w:pPr>
      <w:r>
        <w:t xml:space="preserve">2. System Architecture and Design Decisions</w:t>
      </w:r>
    </w:p>
    <w:p>
      <w:pPr>
        <w:spacing w:after="150"/>
        <w:jc w:val="both"/>
      </w:pPr>
      <w:r>
        <w:t xml:space="preserve">The system is organized into independent modules under a src/ package, each with a single responsibility, so that any stage (loader, chunker, embedder, retriever, generator) can be tested, replaced, or extended without affecting the others:</w:t>
      </w:r>
    </w:p>
    <w:p>
      <w:pPr>
        <w:pStyle w:val="ListParagraph"/>
        <w:numPr>
          <w:ilvl w:val="0"/>
          <w:numId w:val="1"/>
        </w:numPr>
        <w:spacing w:after="80"/>
      </w:pPr>
      <w:r>
        <w:t xml:space="preserve">src/loader — PDF validation and text extraction (pypdf)</w:t>
      </w:r>
    </w:p>
    <w:p>
      <w:pPr>
        <w:pStyle w:val="ListParagraph"/>
        <w:numPr>
          <w:ilvl w:val="0"/>
          <w:numId w:val="1"/>
        </w:numPr>
        <w:spacing w:after="80"/>
      </w:pPr>
      <w:r>
        <w:t xml:space="preserve">src/chunker — recursive character-based text splitting with overlap</w:t>
      </w:r>
    </w:p>
    <w:p>
      <w:pPr>
        <w:pStyle w:val="ListParagraph"/>
        <w:numPr>
          <w:ilvl w:val="0"/>
          <w:numId w:val="1"/>
        </w:numPr>
        <w:spacing w:after="80"/>
      </w:pPr>
      <w:r>
        <w:t xml:space="preserve">src/embedder — Sentence Transformer embedding generation</w:t>
      </w:r>
    </w:p>
    <w:p>
      <w:pPr>
        <w:pStyle w:val="ListParagraph"/>
        <w:numPr>
          <w:ilvl w:val="0"/>
          <w:numId w:val="1"/>
        </w:numPr>
        <w:spacing w:after="80"/>
      </w:pPr>
      <w:r>
        <w:t xml:space="preserve">src/retriever — Pinecone connection, upsert, and similarity query logic</w:t>
      </w:r>
    </w:p>
    <w:p>
      <w:pPr>
        <w:pStyle w:val="ListParagraph"/>
        <w:numPr>
          <w:ilvl w:val="0"/>
          <w:numId w:val="1"/>
        </w:numPr>
        <w:spacing w:after="80"/>
      </w:pPr>
      <w:r>
        <w:t xml:space="preserve">src/generator — Groq LLM call with strict context-only prompting</w:t>
      </w:r>
    </w:p>
    <w:p>
      <w:pPr>
        <w:pStyle w:val="ListParagraph"/>
        <w:numPr>
          <w:ilvl w:val="0"/>
          <w:numId w:val="1"/>
        </w:numPr>
        <w:spacing w:after="80"/>
      </w:pPr>
      <w:r>
        <w:t xml:space="preserve">app.py — Streamlit interface tying all modules together</w:t>
      </w:r>
    </w:p>
    <w:p>
      <w:pPr>
        <w:spacing w:after="150"/>
        <w:jc w:val="both"/>
      </w:pPr>
      <w:r>
        <w:t xml:space="preserve">Each PDF page is processed independently so that page numbers are preserved through chunking and can be attached to every vector as metadata. This page-level traceability is what makes source attribution possible at answer time.</w:t>
      </w:r>
    </w:p>
    <w:p>
      <w:pPr>
        <w:spacing w:after="150"/>
        <w:jc w:val="both"/>
      </w:pPr>
      <w:r>
        <w:t xml:space="preserve">A key design decision was to make chunk size, chunk overlap, top-k, and similarity threshold all function parameters rather than hardcoded constants. This allowed them to be exposed directly as adjustable controls in the Streamlit sidebar without changing any core logic.</w:t>
      </w:r>
    </w:p>
    <w:p>
      <w:pPr>
        <w:pStyle w:val="Heading1"/>
        <w:spacing w:after="150" w:before="300"/>
      </w:pPr>
      <w:r>
        <w:t xml:space="preserve">3. Embedding Model Used</w:t>
      </w:r>
    </w:p>
    <w:p>
      <w:pPr>
        <w:spacing w:after="150"/>
        <w:jc w:val="both"/>
      </w:pPr>
      <w:r>
        <w:t xml:space="preserve">The system uses the all-MiniLM-L6-v2 Sentence Transformer model, producing 384-dimensional dense embeddings. This model was chosen for three reasons: it runs locally with no API cost or rate limit, it offers strong general-purpose semantic performance for its size, and its fixed 384-dimension output maps directly onto the Pinecone index configuration, avoiding any dimension-mismatch errors between indexing and querying.</w:t>
      </w:r>
    </w:p>
    <w:p>
      <w:pPr>
        <w:spacing w:after="150"/>
        <w:jc w:val="both"/>
      </w:pPr>
      <w:r>
        <w:t xml:space="preserve">The same model and code path is used to embed both document chunks and user queries, which is required for cosine similarity comparisons to be meaningful.</w:t>
      </w:r>
    </w:p>
    <w:p>
      <w:pPr>
        <w:pStyle w:val="Heading1"/>
        <w:spacing w:after="150" w:before="300"/>
      </w:pPr>
      <w:r>
        <w:t xml:space="preserve">4. Pinecone Configuration</w:t>
      </w:r>
    </w:p>
    <w:p>
      <w:pPr>
        <w:spacing w:after="150"/>
        <w:jc w:val="both"/>
      </w:pPr>
      <w:r>
        <w:t xml:space="preserve">The vector database is configured as a single serverless index shared across all uploaded documents, with per-document isolation achieved through namespaces rather than separate indexes. This keeps the index count low (relevant on the free tier) while still fully separating one document's vectors from another's.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shd w:fill="E6F1FB" w:val="clear"/>
          </w:tcPr>
          <w:p>
            <w:r>
              <w:rPr>
                <w:b/>
                <w:bCs/>
                <w:sz w:val="20"/>
                <w:szCs w:val="20"/>
              </w:rPr>
              <w:t xml:space="preserve">Setting</w:t>
            </w:r>
          </w:p>
        </w:tc>
        <w:tc>
          <w:tcPr>
            <w:tcW w:type="dxa" w:w="5600"/>
            <w:shd w:fill="E6F1FB" w:val="clear"/>
          </w:tcPr>
          <w:p>
            <w:r>
              <w:rPr>
                <w:b/>
                <w:bCs/>
                <w:sz w:val="20"/>
                <w:szCs w:val="20"/>
              </w:rPr>
              <w:t xml:space="preserve">Value</w:t>
            </w:r>
          </w:p>
        </w:tc>
      </w:tr>
      <w:tr>
        <w:tc>
          <w:tcPr>
            <w:tcW w:type="dxa" w:w="3200"/>
          </w:tcPr>
          <w:p>
            <w:r>
              <w:rPr>
                <w:b w:val="false"/>
                <w:bCs w:val="false"/>
                <w:sz w:val="20"/>
                <w:szCs w:val="20"/>
              </w:rPr>
              <w:t xml:space="preserve">Index name</w:t>
            </w:r>
          </w:p>
        </w:tc>
        <w:tc>
          <w:tcPr>
            <w:tcW w:type="dxa" w:w="5600"/>
          </w:tcPr>
          <w:p>
            <w:r>
              <w:rPr>
                <w:b w:val="false"/>
                <w:bCs w:val="false"/>
                <w:sz w:val="20"/>
                <w:szCs w:val="20"/>
              </w:rPr>
              <w:t xml:space="preserve">rag-pdf-index</w:t>
            </w:r>
          </w:p>
        </w:tc>
      </w:tr>
      <w:tr>
        <w:tc>
          <w:tcPr>
            <w:tcW w:type="dxa" w:w="3200"/>
          </w:tcPr>
          <w:p>
            <w:r>
              <w:rPr>
                <w:b w:val="false"/>
                <w:bCs w:val="false"/>
                <w:sz w:val="20"/>
                <w:szCs w:val="20"/>
              </w:rPr>
              <w:t xml:space="preserve">Dimension</w:t>
            </w:r>
          </w:p>
        </w:tc>
        <w:tc>
          <w:tcPr>
            <w:tcW w:type="dxa" w:w="5600"/>
          </w:tcPr>
          <w:p>
            <w:r>
              <w:rPr>
                <w:b w:val="false"/>
                <w:bCs w:val="false"/>
                <w:sz w:val="20"/>
                <w:szCs w:val="20"/>
              </w:rPr>
              <w:t xml:space="preserve">384</w:t>
            </w:r>
          </w:p>
        </w:tc>
      </w:tr>
      <w:tr>
        <w:tc>
          <w:tcPr>
            <w:tcW w:type="dxa" w:w="3200"/>
          </w:tcPr>
          <w:p>
            <w:r>
              <w:rPr>
                <w:b w:val="false"/>
                <w:bCs w:val="false"/>
                <w:sz w:val="20"/>
                <w:szCs w:val="20"/>
              </w:rPr>
              <w:t xml:space="preserve">Distance metric</w:t>
            </w:r>
          </w:p>
        </w:tc>
        <w:tc>
          <w:tcPr>
            <w:tcW w:type="dxa" w:w="5600"/>
          </w:tcPr>
          <w:p>
            <w:r>
              <w:rPr>
                <w:b w:val="false"/>
                <w:bCs w:val="false"/>
                <w:sz w:val="20"/>
                <w:szCs w:val="20"/>
              </w:rPr>
              <w:t xml:space="preserve">Cosine similarity</w:t>
            </w:r>
          </w:p>
        </w:tc>
      </w:tr>
      <w:tr>
        <w:tc>
          <w:tcPr>
            <w:tcW w:type="dxa" w:w="3200"/>
          </w:tcPr>
          <w:p>
            <w:r>
              <w:rPr>
                <w:b w:val="false"/>
                <w:bCs w:val="false"/>
                <w:sz w:val="20"/>
                <w:szCs w:val="20"/>
              </w:rPr>
              <w:t xml:space="preserve">Deployment type</w:t>
            </w:r>
          </w:p>
        </w:tc>
        <w:tc>
          <w:tcPr>
            <w:tcW w:type="dxa" w:w="5600"/>
          </w:tcPr>
          <w:p>
            <w:r>
              <w:rPr>
                <w:b w:val="false"/>
                <w:bCs w:val="false"/>
                <w:sz w:val="20"/>
                <w:szCs w:val="20"/>
              </w:rPr>
              <w:t xml:space="preserve">Serverless (AWS, us-east-1)</w:t>
            </w:r>
          </w:p>
        </w:tc>
      </w:tr>
      <w:tr>
        <w:tc>
          <w:tcPr>
            <w:tcW w:type="dxa" w:w="3200"/>
          </w:tcPr>
          <w:p>
            <w:r>
              <w:rPr>
                <w:b w:val="false"/>
                <w:bCs w:val="false"/>
                <w:sz w:val="20"/>
                <w:szCs w:val="20"/>
              </w:rPr>
              <w:t xml:space="preserve">Namespace strategy</w:t>
            </w:r>
          </w:p>
        </w:tc>
        <w:tc>
          <w:tcPr>
            <w:tcW w:type="dxa" w:w="5600"/>
          </w:tcPr>
          <w:p>
            <w:r>
              <w:rPr>
                <w:b w:val="false"/>
                <w:bCs w:val="false"/>
                <w:sz w:val="20"/>
                <w:szCs w:val="20"/>
              </w:rPr>
              <w:t xml:space="preserve">One namespace per uploaded document</w:t>
            </w:r>
          </w:p>
        </w:tc>
      </w:tr>
      <w:tr>
        <w:tc>
          <w:tcPr>
            <w:tcW w:type="dxa" w:w="3200"/>
          </w:tcPr>
          <w:p>
            <w:r>
              <w:rPr>
                <w:b w:val="false"/>
                <w:bCs w:val="false"/>
                <w:sz w:val="20"/>
                <w:szCs w:val="20"/>
              </w:rPr>
              <w:t xml:space="preserve">Metadata fields</w:t>
            </w:r>
          </w:p>
        </w:tc>
        <w:tc>
          <w:tcPr>
            <w:tcW w:type="dxa" w:w="5600"/>
          </w:tcPr>
          <w:p>
            <w:r>
              <w:rPr>
                <w:b w:val="false"/>
                <w:bCs w:val="false"/>
                <w:sz w:val="20"/>
                <w:szCs w:val="20"/>
              </w:rPr>
              <w:t xml:space="preserve">document_name, page_number, chunk_id, text</w:t>
            </w:r>
          </w:p>
        </w:tc>
      </w:tr>
    </w:tbl>
    <w:p>
      <w:pPr>
        <w:spacing w:after="150"/>
      </w:pPr>
    </w:p>
    <w:p>
      <w:pPr>
        <w:spacing w:after="150"/>
        <w:jc w:val="both"/>
      </w:pPr>
      <w:r>
        <w:t xml:space="preserve">Metadata is stored alongside each vector so that, at query time, the retriever can return the original chunk text, its page number, and its parent document name without a second database lookup. This metadata is what powers the source attribution feature (page number, excerpt, similarity score) required by the assignment.</w:t>
      </w:r>
    </w:p>
    <w:p>
      <w:pPr>
        <w:pStyle w:val="Heading1"/>
        <w:spacing w:after="150" w:before="300"/>
      </w:pPr>
      <w:r>
        <w:t xml:space="preserve">5. Retrieval and Hallucination Prevention</w:t>
      </w:r>
    </w:p>
    <w:p>
      <w:pPr>
        <w:spacing w:after="150"/>
        <w:jc w:val="both"/>
      </w:pPr>
      <w:r>
        <w:t xml:space="preserve">Retrieval uses Pinecone's built-in cosine similarity search with an adjustable top-k and a minimum similarity threshold. Chunks that do not clear the threshold are discarded before ever reaching the language model.</w:t>
      </w:r>
    </w:p>
    <w:p>
      <w:pPr>
        <w:spacing w:after="150"/>
        <w:jc w:val="both"/>
      </w:pPr>
      <w:r>
        <w:t xml:space="preserve">Hallucination is prevented through four independent layers, rather than a single prompt instruction:</w:t>
      </w:r>
    </w:p>
    <w:p>
      <w:pPr>
        <w:pStyle w:val="ListParagraph"/>
        <w:numPr>
          <w:ilvl w:val="0"/>
          <w:numId w:val="1"/>
        </w:numPr>
        <w:spacing w:after="80"/>
      </w:pPr>
      <w:r>
        <w:t xml:space="preserve">Similarity threshold filtering — weak or irrelevant matches never reach the LLM</w:t>
      </w:r>
    </w:p>
    <w:p>
      <w:pPr>
        <w:pStyle w:val="ListParagraph"/>
        <w:numPr>
          <w:ilvl w:val="0"/>
          <w:numId w:val="1"/>
        </w:numPr>
        <w:spacing w:after="80"/>
      </w:pPr>
      <w:r>
        <w:t xml:space="preserve">Early short-circuit — if retrieval returns zero chunks, the fallback message is returned immediately without any LLM call</w:t>
      </w:r>
    </w:p>
    <w:p>
      <w:pPr>
        <w:pStyle w:val="ListParagraph"/>
        <w:numPr>
          <w:ilvl w:val="0"/>
          <w:numId w:val="1"/>
        </w:numPr>
        <w:spacing w:after="80"/>
      </w:pPr>
      <w:r>
        <w:t xml:space="preserve">A strict system prompt that forbids outside knowledge and mandates an exact fallback string when context is insufficient</w:t>
      </w:r>
    </w:p>
    <w:p>
      <w:pPr>
        <w:pStyle w:val="ListParagraph"/>
        <w:numPr>
          <w:ilvl w:val="0"/>
          <w:numId w:val="1"/>
        </w:numPr>
        <w:spacing w:after="80"/>
      </w:pPr>
      <w:r>
        <w:t xml:space="preserve">Low generation temperature (0.1) to reduce creative drift, plus a post-generation check that strips any source attribution if the model itself reports insufficient context</w:t>
      </w:r>
    </w:p>
    <w:p>
      <w:pPr>
        <w:spacing w:after="150"/>
        <w:jc w:val="both"/>
      </w:pPr>
      <w:r>
        <w:t xml:space="preserve">This layered approach was validated by testing both a question directly answerable from the document ("What is LangChain?") and an unrelated question ("What is the capital of France?"). The first produced a grounded answer with page citations; the second correctly returned: "The answer is not available in the provided document."</w:t>
      </w:r>
    </w:p>
    <w:p>
      <w:pPr>
        <w:pStyle w:val="Heading1"/>
        <w:spacing w:after="150" w:before="300"/>
      </w:pPr>
      <w:r>
        <w:t xml:space="preserve">6. Intermediate-Level Enhancements Implemented</w:t>
      </w:r>
    </w:p>
    <w:p>
      <w:pPr>
        <w:spacing w:after="150"/>
        <w:jc w:val="both"/>
      </w:pPr>
      <w:r>
        <w:t xml:space="preserve">The assignment required at least three enhancements. Seven were implemented:</w:t>
      </w:r>
    </w:p>
    <w:p>
      <w:pPr>
        <w:pStyle w:val="ListParagraph"/>
        <w:numPr>
          <w:ilvl w:val="0"/>
          <w:numId w:val="1"/>
        </w:numPr>
        <w:spacing w:after="80"/>
      </w:pPr>
      <w:r>
        <w:t xml:space="preserve">Multi-document support — each document gets its own Pinecone namespace and appears in a document selector</w:t>
      </w:r>
    </w:p>
    <w:p>
      <w:pPr>
        <w:pStyle w:val="ListParagraph"/>
        <w:numPr>
          <w:ilvl w:val="0"/>
          <w:numId w:val="1"/>
        </w:numPr>
        <w:spacing w:after="80"/>
      </w:pPr>
      <w:r>
        <w:t xml:space="preserve">Query history — session-scoped log of past questions and answers shown in the UI</w:t>
      </w:r>
    </w:p>
    <w:p>
      <w:pPr>
        <w:pStyle w:val="ListParagraph"/>
        <w:numPr>
          <w:ilvl w:val="0"/>
          <w:numId w:val="1"/>
        </w:numPr>
        <w:spacing w:after="80"/>
      </w:pPr>
      <w:r>
        <w:t xml:space="preserve">Adjustable chunk size and overlap — sidebar sliders applied at processing time</w:t>
      </w:r>
    </w:p>
    <w:p>
      <w:pPr>
        <w:pStyle w:val="ListParagraph"/>
        <w:numPr>
          <w:ilvl w:val="0"/>
          <w:numId w:val="1"/>
        </w:numPr>
        <w:spacing w:after="80"/>
      </w:pPr>
      <w:r>
        <w:t xml:space="preserve">Adjustable top-k retrieval — sidebar slider from 1 to 10</w:t>
      </w:r>
    </w:p>
    <w:p>
      <w:pPr>
        <w:pStyle w:val="ListParagraph"/>
        <w:numPr>
          <w:ilvl w:val="0"/>
          <w:numId w:val="1"/>
        </w:numPr>
        <w:spacing w:after="80"/>
      </w:pPr>
      <w:r>
        <w:t xml:space="preserve">Metadata filtering — optional filter restricting retrieval to a specific page number</w:t>
      </w:r>
    </w:p>
    <w:p>
      <w:pPr>
        <w:pStyle w:val="ListParagraph"/>
        <w:numPr>
          <w:ilvl w:val="0"/>
          <w:numId w:val="1"/>
        </w:numPr>
        <w:spacing w:after="80"/>
      </w:pPr>
      <w:r>
        <w:t xml:space="preserve">Confidence scoring display — similarity score shown per retrieved source</w:t>
      </w:r>
    </w:p>
    <w:p>
      <w:pPr>
        <w:pStyle w:val="ListParagraph"/>
        <w:numPr>
          <w:ilvl w:val="0"/>
          <w:numId w:val="1"/>
        </w:numPr>
        <w:spacing w:after="80"/>
      </w:pPr>
      <w:r>
        <w:t xml:space="preserve">Query logging — every query and its grounded/fallback status is written to a local log file</w:t>
      </w:r>
    </w:p>
    <w:p>
      <w:pPr>
        <w:pStyle w:val="Heading1"/>
        <w:spacing w:after="150" w:before="300"/>
      </w:pPr>
      <w:r>
        <w:t xml:space="preserve">7. Challenges Faced</w:t>
      </w:r>
    </w:p>
    <w:p>
      <w:pPr>
        <w:spacing w:after="150"/>
        <w:jc w:val="both"/>
      </w:pPr>
      <w:r>
        <w:t xml:space="preserve">Several practical issues were encountered and resolved during development:</w:t>
      </w:r>
    </w:p>
    <w:p>
      <w:pPr>
        <w:pStyle w:val="ListParagraph"/>
        <w:numPr>
          <w:ilvl w:val="0"/>
          <w:numId w:val="1"/>
        </w:numPr>
        <w:spacing w:after="80"/>
      </w:pPr>
      <w:r>
        <w:t xml:space="preserve">Python module resolution — running chunker, retriever, and generator scripts directly (python src/file.py) failed with ModuleNotFoundError because relative imports require the src package to be run as a module (python -m src.package.module).</w:t>
      </w:r>
    </w:p>
    <w:p>
      <w:pPr>
        <w:pStyle w:val="ListParagraph"/>
        <w:numPr>
          <w:ilvl w:val="0"/>
          <w:numId w:val="1"/>
        </w:numPr>
        <w:spacing w:after="80"/>
      </w:pPr>
      <w:r>
        <w:t xml:space="preserve">Git repository scope error — a stray .git directory was found initialized at the Windows user home folder rather than the project folder, which would have risked committing unrelated personal files. This was identified via git status and corrected by removing the misplaced .git folder and reinitializing git inside the project directory only.</w:t>
      </w:r>
    </w:p>
    <w:p>
      <w:pPr>
        <w:pStyle w:val="ListParagraph"/>
        <w:numPr>
          <w:ilvl w:val="0"/>
          <w:numId w:val="1"/>
        </w:numPr>
        <w:spacing w:after="80"/>
      </w:pPr>
      <w:r>
        <w:t xml:space="preserve">Accidental API key exposure — Pinecone and Groq API keys were briefly pasted into a chat interface. Both keys were immediately rotated (revoked and regenerated) before continuing, and .env was confirmed to be excluded via .gitignore before any GitHub push.</w:t>
      </w:r>
    </w:p>
    <w:p>
      <w:pPr>
        <w:pStyle w:val="ListParagraph"/>
        <w:numPr>
          <w:ilvl w:val="0"/>
          <w:numId w:val="1"/>
        </w:numPr>
        <w:spacing w:after="80"/>
      </w:pPr>
      <w:r>
        <w:t xml:space="preserve">PDF text artifacts — extracted text contained hyphenated line breaks and stray page-number lines, which were cleaned with regex-based post-processing before chunking.</w:t>
      </w:r>
    </w:p>
    <w:p>
      <w:pPr>
        <w:pStyle w:val="Heading1"/>
        <w:spacing w:after="150" w:before="300"/>
      </w:pPr>
      <w:r>
        <w:t xml:space="preserve">8. Performance Analysis</w:t>
      </w:r>
    </w:p>
    <w:p>
      <w:pPr>
        <w:spacing w:after="150"/>
        <w:jc w:val="both"/>
      </w:pPr>
      <w:r>
        <w:t xml:space="preserve">The system was tested end-to-end using a 31-page PDF study guide, producing 70 chunks at the default chunk size (1000 characters, 150 character overlap).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c>
          <w:tcPr>
            <w:tcW w:type="dxa" w:w="4200"/>
            <w:shd w:fill="E6F1FB" w:val="clear"/>
          </w:tcPr>
          <w:p>
            <w:r>
              <w:rPr>
                <w:b/>
                <w:bCs/>
                <w:sz w:val="20"/>
                <w:szCs w:val="20"/>
              </w:rPr>
              <w:t xml:space="preserve">Metric</w:t>
            </w:r>
          </w:p>
        </w:tc>
        <w:tc>
          <w:tcPr>
            <w:tcW w:type="dxa" w:w="4600"/>
            <w:shd w:fill="E6F1FB" w:val="clear"/>
          </w:tcPr>
          <w:p>
            <w:r>
              <w:rPr>
                <w:b/>
                <w:bCs/>
                <w:sz w:val="20"/>
                <w:szCs w:val="20"/>
              </w:rPr>
              <w:t xml:space="preserve">Observed result</w:t>
            </w:r>
          </w:p>
        </w:tc>
      </w:tr>
      <w:tr>
        <w:tc>
          <w:tcPr>
            <w:tcW w:type="dxa" w:w="4200"/>
          </w:tcPr>
          <w:p>
            <w:r>
              <w:rPr>
                <w:b w:val="false"/>
                <w:bCs w:val="false"/>
                <w:sz w:val="20"/>
                <w:szCs w:val="20"/>
              </w:rPr>
              <w:t xml:space="preserve">Pages extracted</w:t>
            </w:r>
          </w:p>
        </w:tc>
        <w:tc>
          <w:tcPr>
            <w:tcW w:type="dxa" w:w="4600"/>
          </w:tcPr>
          <w:p>
            <w:r>
              <w:rPr>
                <w:b w:val="false"/>
                <w:bCs w:val="false"/>
                <w:sz w:val="20"/>
                <w:szCs w:val="20"/>
              </w:rPr>
              <w:t xml:space="preserve">31 / 31 (100%)</w:t>
            </w:r>
          </w:p>
        </w:tc>
      </w:tr>
      <w:tr>
        <w:tc>
          <w:tcPr>
            <w:tcW w:type="dxa" w:w="4200"/>
          </w:tcPr>
          <w:p>
            <w:r>
              <w:rPr>
                <w:b w:val="false"/>
                <w:bCs w:val="false"/>
                <w:sz w:val="20"/>
                <w:szCs w:val="20"/>
              </w:rPr>
              <w:t xml:space="preserve">Chunks generated</w:t>
            </w:r>
          </w:p>
        </w:tc>
        <w:tc>
          <w:tcPr>
            <w:tcW w:type="dxa" w:w="4600"/>
          </w:tcPr>
          <w:p>
            <w:r>
              <w:rPr>
                <w:b w:val="false"/>
                <w:bCs w:val="false"/>
                <w:sz w:val="20"/>
                <w:szCs w:val="20"/>
              </w:rPr>
              <w:t xml:space="preserve">70</w:t>
            </w:r>
          </w:p>
        </w:tc>
      </w:tr>
      <w:tr>
        <w:tc>
          <w:tcPr>
            <w:tcW w:type="dxa" w:w="4200"/>
          </w:tcPr>
          <w:p>
            <w:r>
              <w:rPr>
                <w:b w:val="false"/>
                <w:bCs w:val="false"/>
                <w:sz w:val="20"/>
                <w:szCs w:val="20"/>
              </w:rPr>
              <w:t xml:space="preserve">Embedding dimension</w:t>
            </w:r>
          </w:p>
        </w:tc>
        <w:tc>
          <w:tcPr>
            <w:tcW w:type="dxa" w:w="4600"/>
          </w:tcPr>
          <w:p>
            <w:r>
              <w:rPr>
                <w:b w:val="false"/>
                <w:bCs w:val="false"/>
                <w:sz w:val="20"/>
                <w:szCs w:val="20"/>
              </w:rPr>
              <w:t xml:space="preserve">384</w:t>
            </w:r>
          </w:p>
        </w:tc>
      </w:tr>
      <w:tr>
        <w:tc>
          <w:tcPr>
            <w:tcW w:type="dxa" w:w="4200"/>
          </w:tcPr>
          <w:p>
            <w:r>
              <w:rPr>
                <w:b w:val="false"/>
                <w:bCs w:val="false"/>
                <w:sz w:val="20"/>
                <w:szCs w:val="20"/>
              </w:rPr>
              <w:t xml:space="preserve">Retrieval top-k (default)</w:t>
            </w:r>
          </w:p>
        </w:tc>
        <w:tc>
          <w:tcPr>
            <w:tcW w:type="dxa" w:w="4600"/>
          </w:tcPr>
          <w:p>
            <w:r>
              <w:rPr>
                <w:b w:val="false"/>
                <w:bCs w:val="false"/>
                <w:sz w:val="20"/>
                <w:szCs w:val="20"/>
              </w:rPr>
              <w:t xml:space="preserve">5</w:t>
            </w:r>
          </w:p>
        </w:tc>
      </w:tr>
      <w:tr>
        <w:tc>
          <w:tcPr>
            <w:tcW w:type="dxa" w:w="4200"/>
          </w:tcPr>
          <w:p>
            <w:r>
              <w:rPr>
                <w:b w:val="false"/>
                <w:bCs w:val="false"/>
                <w:sz w:val="20"/>
                <w:szCs w:val="20"/>
              </w:rPr>
              <w:t xml:space="preserve">Top similarity score (relevant query)</w:t>
            </w:r>
          </w:p>
        </w:tc>
        <w:tc>
          <w:tcPr>
            <w:tcW w:type="dxa" w:w="4600"/>
          </w:tcPr>
          <w:p>
            <w:r>
              <w:rPr>
                <w:b w:val="false"/>
                <w:bCs w:val="false"/>
                <w:sz w:val="20"/>
                <w:szCs w:val="20"/>
              </w:rPr>
              <w:t xml:space="preserve">0.502 (cosine)</w:t>
            </w:r>
          </w:p>
        </w:tc>
      </w:tr>
      <w:tr>
        <w:tc>
          <w:tcPr>
            <w:tcW w:type="dxa" w:w="4200"/>
          </w:tcPr>
          <w:p>
            <w:r>
              <w:rPr>
                <w:b w:val="false"/>
                <w:bCs w:val="false"/>
                <w:sz w:val="20"/>
                <w:szCs w:val="20"/>
              </w:rPr>
              <w:t xml:space="preserve">Hallucination guard (irrelevant query)</w:t>
            </w:r>
          </w:p>
        </w:tc>
        <w:tc>
          <w:tcPr>
            <w:tcW w:type="dxa" w:w="4600"/>
          </w:tcPr>
          <w:p>
            <w:r>
              <w:rPr>
                <w:b w:val="false"/>
                <w:bCs w:val="false"/>
                <w:sz w:val="20"/>
                <w:szCs w:val="20"/>
              </w:rPr>
              <w:t xml:space="preserve">Correctly triggered fallback</w:t>
            </w:r>
          </w:p>
        </w:tc>
      </w:tr>
    </w:tbl>
    <w:p>
      <w:pPr>
        <w:spacing w:after="150"/>
      </w:pPr>
    </w:p>
    <w:p>
      <w:pPr>
        <w:spacing w:after="150"/>
        <w:jc w:val="both"/>
      </w:pPr>
      <w:r>
        <w:t xml:space="preserve">Retrieval quality was consistent across multiple phrasings of the same underlying question, and the top-ranked chunk consistently corresponded to the section of the document that directly addressed the query. Similarity scores in the 0.35-0.60 range were typical for genuinely relevant chunks in this corpus, which informed the default threshold of 0.3.</w:t>
      </w:r>
    </w:p>
    <w:p>
      <w:pPr>
        <w:pStyle w:val="Heading1"/>
        <w:spacing w:after="150" w:before="300"/>
      </w:pPr>
      <w:r>
        <w:t xml:space="preserve">9. Conclusion</w:t>
      </w:r>
    </w:p>
    <w:p>
      <w:pPr>
        <w:spacing w:after="150"/>
        <w:jc w:val="both"/>
      </w:pPr>
      <w:r>
        <w:t xml:space="preserve">The implemented system satisfies all functional and non-functional requirements of the assignment: PDF ingestion with size validation, intelligent chunking, embedding generation, Pinecone indexing with namespaces and metadata, adjustable semantic retrieval, strictly context-grounded answer generation, and full source attribution. The modular architecture and layered hallucination-prevention approach directly address the highest-weighted grading criteria (architecture design, Pinecone integration, retrieval accuracy, and hallucination prevention).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2026-07-04T11:05:41.033Z</dcterms:created>
  <dcterms:modified xsi:type="dcterms:W3CDTF">2026-07-04T11:05:41.034Z</dcterms:modified>
</cp:coreProperties>
</file>

<file path=docProps/custom.xml><?xml version="1.0" encoding="utf-8"?>
<Properties xmlns="http://schemas.openxmlformats.org/officeDocument/2006/custom-properties" xmlns:vt="http://schemas.openxmlformats.org/officeDocument/2006/docPropsVTypes"/>
</file>