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الصفحة الرئيسية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Home Dashboard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 Dashboard - الصفحة الرئيسية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UC-DSH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3AD7B31D" w14:textId="77777777" w:rsidR="00DB1352" w:rsidRPr="00D2383C" w:rsidRDefault="00DB1352">
      <w:pPr>
        <w:pStyle w:val="Heading1"/>
        <w:rPr>
          <w:rFonts w:ascii="Calibri" w:eastAsia="Times New Roman" w:hAnsi="Calibri"/>
        </w:rPr>
      </w:pPr>
      <w:bookmarkStart w:id="21" w:name="_Toc237939300"/>
      <w:r w:rsidRPr="00D2383C">
        <w:rPr>
          <w:rFonts w:ascii="Calibri" w:eastAsia="Times New Roman" w:hAnsi="Calibri"/>
        </w:rPr>
        <w:t>7. Home Dashboard</w:t>
      </w:r>
      <w:bookmarkEnd w:id="21"/>
    </w:p>
    <w:p w14:paraId="7FFF36E6" w14:textId="77777777" w:rsidR="00DB1352" w:rsidRPr="00D2383C" w:rsidRDefault="00DB1352">
      <w:pPr>
        <w:pStyle w:val="NormalWeb"/>
        <w:rPr>
          <w:rFonts w:ascii="Calibri" w:hAnsi="Calibri"/>
        </w:rPr>
      </w:pPr>
      <w:r w:rsidRPr="00D2383C">
        <w:rPr>
          <w:rStyle w:val="ar1"/>
          <w:rFonts w:ascii="Calibri" w:hAnsi="Calibri"/>
          <w:rtl w:val="0"/>
        </w:rPr>
        <w:t>الصفحة الرئيسية</w:t>
      </w:r>
      <w:r w:rsidRPr="00D2383C">
        <w:rPr>
          <w:rFonts w:ascii="Calibri" w:hAnsi="Calibri"/>
        </w:rPr>
        <w:t xml:space="preserve"> — the landing screen after login, giving each role an immediate view of the size and composition of its beneficiary population.</w:t>
      </w:r>
    </w:p>
    <w:tbl>
      <w:tblPr>
        <w:tblW w:w="5000" w:type="pct"/>
        <w:tblCellMar>
          <w:top w:w="15" w:type="dxa"/>
          <w:left w:w="15" w:type="dxa"/>
          <w:bottom w:w="15" w:type="dxa"/>
          <w:right w:w="15" w:type="dxa"/>
        </w:tblCellMar>
        <w:tblLook w:val="04A0" w:firstRow="1" w:lastRow="0" w:firstColumn="1" w:lastColumn="0" w:noHBand="0" w:noVBand="1"/>
      </w:tblPr>
      <w:tblGrid>
        <w:gridCol w:w="806"/>
        <w:gridCol w:w="1531"/>
        <w:gridCol w:w="967"/>
        <w:gridCol w:w="2900"/>
        <w:gridCol w:w="4220"/>
      </w:tblGrid>
      <w:tr w:rsidR="005E6CC0" w:rsidRPr="00D2383C" w14:paraId="057E0519"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CEA0DD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20D2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848E3B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F554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6AAD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E0CA2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9652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D83D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beneficiary family 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عدد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D69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60C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On opening the home screen the system returns the number of family files visible to the caller — the association's own families for an NGO account, or the whole population for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614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home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/api/Home/GetFamilyCount?id&amp;userId</w:t>
            </w:r>
          </w:p>
        </w:tc>
      </w:tr>
      <w:tr w:rsidR="005E6CC0" w:rsidRPr="00D2383C" w14:paraId="09B049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B4BF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1EBB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statistical breakdown charts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الرسوم البيانية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0F5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A4ED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dashboard renders pie charts of the beneficiary population. The caller selects a breakdown dimension (the </w:t>
            </w:r>
            <w:r w:rsidRPr="00D2383C">
              <w:rPr>
                <w:rStyle w:val="HTMLCode"/>
                <w:rFonts w:ascii="Calibri" w:hAnsi="Calibri"/>
                <w:color w:val="1A1A1A"/>
              </w:rPr>
              <w:t>parameter</w:t>
            </w:r>
            <w:r w:rsidRPr="00D2383C">
              <w:rPr>
                <w:rFonts w:ascii="Calibri" w:eastAsia="Times New Roman" w:hAnsi="Calibri" w:cs="Segoe UI"/>
                <w:color w:val="1A1A1A"/>
                <w:sz w:val="19"/>
                <w:szCs w:val="19"/>
              </w:rPr>
              <w:t xml:space="preserve"> argument) and the system returns label/value pairs for that dimension within the caller's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46DD9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/api/Home/GetDataForPieChart?id&amp;parameter&amp;userId</w:t>
            </w:r>
          </w:p>
        </w:tc>
      </w:tr>
      <w:tr w:rsidR="005E6CC0" w:rsidRPr="00D2383C" w14:paraId="2915B8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FB6E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F8A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Navigate to a functional module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التنقل بين الوحدات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40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C8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From the collapsible side menu the user selects a module; the router activates the corresponding state and view. Menu entries the role may not use are not rendered.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6919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state map in </w:t>
            </w:r>
            <w:r w:rsidRPr="00D2383C">
              <w:rPr>
                <w:rStyle w:val="HTMLCode"/>
                <w:rFonts w:ascii="Calibri" w:hAnsi="Calibri"/>
                <w:color w:val="1A1A1A"/>
              </w:rPr>
              <w:t>app.js</w:t>
            </w:r>
          </w:p>
        </w:tc>
      </w:tr>
    </w:tbl>
    <w:p>
      <w:pPr>
        <w:pStyle w:val="Heading2"/>
        <w:rPr>
          <w:rFonts w:ascii="Calibri" w:eastAsia="Times New Roman" w:hAnsi="Calibri"/>
        </w:rPr>
      </w:pPr>
      <w:r w:rsidRPr="00D2383C">
        <w:rPr>
          <w:rFonts w:ascii="Calibri" w:eastAsia="Times New Roman" w:hAnsi="Calibri"/>
        </w:rPr>
        <w:t xml:space="preserve">7.S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7.S.1  Screen `home`</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Home/Views/Home.html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report in Orphanreports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م · الكود · الاسم · السن · رقم التليفون · القريه · العنوان · الجمعية · الحاله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تحميل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7.S.2  Screen `home2`</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/index.html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Home/Views/Home.html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report in Orphanreports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م · الكود · الاسم · السن · رقم التليفون · القريه · العنوان · الجمعية · الحاله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تحميل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7.U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7.U.1  UC-DSH-01 — View beneficiary family count عدد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UC-DSH-01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beneficiary family count عدد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On opening the home screen the system returns the number of family files visible to the caller — the association's own families for an NGO account, or the whole population for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home (/)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`home` (route `/`)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`home` (route `/`).</w:t>
              <w:br/>
              <w:t xml:space="preserve">2. The actor selects the record to open.</w:t>
              <w:br/>
              <w:t xml:space="preserve">3. The SPA issues `GET /api/Home/GetFamilyCount` carrying id, userId.</w:t>
              <w:br/>
              <w:t xml:space="preserve">4. `HomeController.GetFamilyCount(string id,string userId)` receives the request and delegates to the business layer.</w:t>
              <w:br/>
              <w:t xml:space="preserve">5. `FamilyBLL.GetFamiliesCount`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home (/)</w:t>
              <w:br/>
              <w:t xml:space="preserve">GET /api/Home/GetFamilyCount?id&amp;userId</w:t>
              <w:br/>
              <w:t xml:space="preserve">HomeController.GetFamilyCount(string id,string userId)</w:t>
              <w:br/>
              <w:t xml:space="preserve">FamilyBLL.GetFamiliesCount(string id) : int</w:t>
            </w:r>
          </w:p>
        </w:tc>
      </w:tr>
    </w:tbl>
    <w:p>
      <w:pPr>
        <w:pStyle w:val="Heading2"/>
        <w:rPr>
          <w:rFonts w:ascii="Calibri" w:eastAsia="Times New Roman" w:hAnsi="Calibri"/>
        </w:rPr>
      </w:pPr>
      <w:r w:rsidRPr="00D2383C">
        <w:rPr>
          <w:rFonts w:ascii="Calibri" w:eastAsia="Times New Roman" w:hAnsi="Calibri"/>
        </w:rPr>
        <w:t xml:space="preserve">7.U.2  UC-DSH-02 — View statistical breakdown charts الرسوم البيانية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UC-DSH-02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statistical breakdown charts الرسوم البيانية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dashboard renders pie charts of the beneficiary population. The caller selects a breakdown dimension (the parameter argument) and the system returns label/value pairs for that dimension within the caller's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/api/Home/GetDataForPieChart` carrying id, parameter, userId.</w:t>
              <w:br/>
              <w:t xml:space="preserve">5. `HomeController.GetDataForPieChart(string id, int parameter, string userId)` receives the request and delegates to the business layer.</w:t>
              <w:br/>
              <w:t xml:space="preserve">6. `FamilyBLL.GetDataForBieChart`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/api/Home/GetDataForPieChart?id&amp;parameter&amp;userId</w:t>
              <w:br/>
              <w:t xml:space="preserve">HomeController.GetDataForPieChart(string id, int parameter, string userId)</w:t>
              <w:br/>
              <w:t xml:space="preserve">FamilyBLL.GetDataForBieChart(string id, int c) : List&lt;ChartContract&gt;</w:t>
            </w:r>
          </w:p>
        </w:tc>
      </w:tr>
    </w:tbl>
    <w:p>
      <w:pPr>
        <w:pStyle w:val="Heading2"/>
        <w:rPr>
          <w:rFonts w:ascii="Calibri" w:eastAsia="Times New Roman" w:hAnsi="Calibri"/>
        </w:rPr>
      </w:pPr>
      <w:r w:rsidRPr="00D2383C">
        <w:rPr>
          <w:rFonts w:ascii="Calibri" w:eastAsia="Times New Roman" w:hAnsi="Calibri"/>
        </w:rPr>
        <w:t xml:space="preserve">7.U.3  UC-DSH-03 — Navigate to a functional module التنقل بين الوحدات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UC-DSH-03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Navigate to a functional module التنقل بين الوحدات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From the collapsible side menu the user selects a module; the router activates the corresponding state and view. Menu entries the role may not use are not rendered.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calls the service endpoint that backs the function.</w:t>
              <w:br/>
              <w:t xml:space="preserve">4. The Web API controller receives the request and delegates to the business layer.</w:t>
              <w:br/>
              <w:t xml:space="preserve">5. The business layer executes the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ui-router state map in app.js</w:t>
            </w:r>
          </w:p>
        </w:tc>
      </w:tr>
    </w:tbl>
    <w:p>
      <w:pPr>
        <w:pStyle w:val="Heading2"/>
        <w:rPr>
          <w:rFonts w:ascii="Calibri" w:eastAsia="Times New Roman" w:hAnsi="Calibri"/>
        </w:rPr>
      </w:pPr>
      <w:r w:rsidRPr="00D2383C">
        <w:rPr>
          <w:rFonts w:ascii="Calibri" w:eastAsia="Times New Roman" w:hAnsi="Calibri"/>
        </w:rPr>
        <w:t xml:space="preserve">7.A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 / home2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 /index.html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Home/Views/Home.html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r>
    </w:tbl>
    <w:p>
      <w:pPr>
        <w:pStyle w:val="Heading2"/>
        <w:rPr>
          <w:rFonts w:ascii="Calibri" w:eastAsia="Times New Roman" w:hAnsi="Calibri"/>
        </w:rPr>
      </w:pPr>
      <w:r w:rsidRPr="00D2383C">
        <w:rPr>
          <w:rFonts w:ascii="Calibri" w:eastAsia="Times New Roman" w:hAnsi="Calibri"/>
        </w:rPr>
        <w:t xml:space="preserve">7.B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649DE5B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0891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HomeController (api)</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D10B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C5D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Dashboard counts and chart data.</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EP-02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