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ageBreakBefore/>
        <w:spacing w:before="100" w:beforeAutospacing="1" w:after="100" w:afterAutospacing="1"/>
        <w:jc w:val="center"/>
        <w:outlineLvl w:val="1"/>
        <w:divId w:val="77597398"/>
        <w:rPr>
          <w:rFonts w:ascii="Calibri" w:eastAsia="Times New Roman" w:hAnsi="Calibri"/>
          <w:b/>
          <w:bCs/>
          <w:color w:val="14524B"/>
          <w:kern w:val="36"/>
          <w:sz w:val="60"/>
          <w:szCs w:val="60"/>
        </w:rPr>
      </w:pPr>
      <w:r w:rsidRPr="00D2383C">
        <w:rPr>
          <w:rFonts w:ascii="Calibri" w:eastAsia="Times New Roman" w:hAnsi="Calibri"/>
          <w:b/>
          <w:bCs/>
          <w:color w:val="14524B"/>
          <w:kern w:val="36"/>
          <w:sz w:val="60"/>
          <w:szCs w:val="60"/>
        </w:rPr>
        <w:t xml:space="preserve">WAR.IIROSA</w:t>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Orphan Sponsorship &amp; Family Welfare Management System</w:t>
      </w:r>
    </w:p>
    <w:p>
      <w:pPr>
        <w:pStyle w:val="ar"/>
        <w:jc w:val="center"/>
        <w:divId w:val="77597398"/>
        <w:rPr>
          <w:rFonts w:ascii="Calibri" w:hAnsi="Calibri"/>
          <w:sz w:val="26"/>
          <w:szCs w:val="26"/>
        </w:rPr>
      </w:pPr>
      <w:r w:rsidRPr="00D2383C">
        <w:rPr>
          <w:rFonts w:ascii="Calibri" w:hAnsi="Calibri"/>
          <w:sz w:val="26"/>
          <w:szCs w:val="26"/>
          <w:rtl/>
        </w:rPr>
        <w:t xml:space="preserve">الخدمات المشتركة</w:t>
      </w:r>
    </w:p>
    <w:p>
      <w:pPr>
        <w:spacing w:after="240"/>
        <w:jc w:val="center"/>
        <w:divId w:val="77597398"/>
        <w:rPr>
          <w:rFonts w:ascii="Calibri" w:eastAsia="Times New Roman" w:hAnsi="Calibri"/>
          <w:rtl/>
        </w:rPr>
      </w:pPr>
      <w:r>
        <w:t xml:space="preserve"/>
      </w:r>
    </w:p>
    <w:p>
      <w:pPr>
        <w:pStyle w:val="NormalWeb"/>
        <w:jc w:val="center"/>
        <w:divId w:val="77597398"/>
        <w:rPr>
          <w:rFonts w:ascii="Calibri" w:hAnsi="Calibri"/>
          <w:color w:val="2C6E66"/>
          <w:sz w:val="32"/>
          <w:szCs w:val="32"/>
        </w:rPr>
      </w:pPr>
      <w:r w:rsidRPr="00D2383C">
        <w:rPr>
          <w:rFonts w:ascii="Calibri" w:hAnsi="Calibri"/>
          <w:b/>
          <w:bCs/>
          <w:color w:val="2C6E66"/>
          <w:sz w:val="32"/>
          <w:szCs w:val="32"/>
        </w:rPr>
        <w:t xml:space="preserve">Module Specification &amp; Use Case Catalogue</w:t>
      </w:r>
    </w:p>
    <w:p>
      <w:pPr>
        <w:spacing w:after="240"/>
        <w:jc w:val="center"/>
        <w:divId w:val="77597398"/>
        <w:rPr>
          <w:rFonts w:ascii="Calibri" w:eastAsia="Times New Roman" w:hAnsi="Calibri"/>
          <w:rtl/>
        </w:rPr>
      </w:pPr>
      <w:r>
        <w:t xml:space="preserve"/>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 title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 - Module Specification: Cross-Cutting Services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Module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Cross-Cutting Services - الخدمات المشتركة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prefix</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UC-SYS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Chapter in master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24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Documented use cases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Principal 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(embedded in all screens)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Version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Status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Chapter content extracted verbatim; screen fields and scenarios derived from the source code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Date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18 August 2026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Parent document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WAR.IIROSA-Project-Documentation.docx v1.0 (repository WAR.IIROSA, commit 4beb736)</w:t>
            </w:r>
          </w:p>
        </w:tc>
      </w:tr>
    </w:tbl>
    <w:p>
      <w:pPr>
        <w:spacing w:after="240"/>
        <w:jc w:val="center"/>
        <w:divId w:val="77597398"/>
        <w:rPr>
          <w:rFonts w:ascii="Calibri" w:eastAsia="Times New Roman" w:hAnsi="Calibri"/>
          <w:rtl/>
        </w:rPr>
      </w:pPr>
      <w:r>
        <w:t xml:space="preserve"/>
      </w:r>
    </w:p>
    <w:p w14:paraId="7961927A" w14:textId="77777777" w:rsidR="00DB1352" w:rsidRPr="00D2383C" w:rsidRDefault="00DB1352">
      <w:pPr>
        <w:pStyle w:val="Heading1"/>
        <w:rPr>
          <w:rFonts w:ascii="Calibri" w:eastAsia="Times New Roman" w:hAnsi="Calibri"/>
        </w:rPr>
      </w:pPr>
      <w:bookmarkStart w:id="49" w:name="_Toc237939328"/>
      <w:r w:rsidRPr="00D2383C">
        <w:rPr>
          <w:rFonts w:ascii="Calibri" w:eastAsia="Times New Roman" w:hAnsi="Calibri"/>
        </w:rPr>
        <w:t>24. Cross-Cutting Services</w:t>
      </w:r>
      <w:bookmarkEnd w:id="49"/>
    </w:p>
    <w:p w14:paraId="2F3D4077" w14:textId="77777777" w:rsidR="00DB1352" w:rsidRPr="00D2383C" w:rsidRDefault="00DB1352">
      <w:pPr>
        <w:pStyle w:val="NormalWeb"/>
        <w:rPr>
          <w:rFonts w:ascii="Calibri" w:hAnsi="Calibri"/>
        </w:rPr>
      </w:pPr>
      <w:r w:rsidRPr="00D2383C">
        <w:rPr>
          <w:rStyle w:val="ar1"/>
          <w:rFonts w:ascii="Calibri" w:hAnsi="Calibri"/>
          <w:rtl w:val="0"/>
        </w:rPr>
        <w:t>الخدمات المشتركة</w:t>
      </w:r>
      <w:r w:rsidRPr="00D2383C">
        <w:rPr>
          <w:rFonts w:ascii="Calibri" w:hAnsi="Calibri"/>
        </w:rPr>
        <w:t xml:space="preserve"> — capabilities used by every module: attachment handling, reference data and validation.</w:t>
      </w:r>
    </w:p>
    <w:p w14:paraId="5BDEEFAB" w14:textId="77777777" w:rsidR="00DB1352" w:rsidRPr="00D2383C" w:rsidRDefault="00DB1352">
      <w:pPr>
        <w:pStyle w:val="Heading2"/>
        <w:rPr>
          <w:rFonts w:ascii="Calibri" w:eastAsia="Times New Roman" w:hAnsi="Calibri"/>
        </w:rPr>
      </w:pPr>
      <w:bookmarkStart w:id="50" w:name="_Toc237939329"/>
      <w:r w:rsidRPr="00D2383C">
        <w:rPr>
          <w:rFonts w:ascii="Calibri" w:eastAsia="Times New Roman" w:hAnsi="Calibri"/>
        </w:rPr>
        <w:t>24.1 Files and attachments</w:t>
      </w:r>
      <w:bookmarkEnd w:id="50"/>
    </w:p>
    <w:tbl>
      <w:tblPr>
        <w:tblW w:w="5000" w:type="pct"/>
        <w:tblCellMar>
          <w:top w:w="15" w:type="dxa"/>
          <w:left w:w="15" w:type="dxa"/>
          <w:bottom w:w="15" w:type="dxa"/>
          <w:right w:w="15" w:type="dxa"/>
        </w:tblCellMar>
        <w:tblLook w:val="04A0" w:firstRow="1" w:lastRow="0" w:firstColumn="1" w:lastColumn="0" w:noHBand="0" w:noVBand="1"/>
      </w:tblPr>
      <w:tblGrid>
        <w:gridCol w:w="1041"/>
        <w:gridCol w:w="1981"/>
        <w:gridCol w:w="1251"/>
        <w:gridCol w:w="3753"/>
        <w:gridCol w:w="2398"/>
      </w:tblGrid>
      <w:tr w:rsidR="005E6CC0" w:rsidRPr="00D2383C" w14:paraId="2BD7023E"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29D562E"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8FFDB22"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A86789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3CC755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5BE97E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7604E9D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27DBF5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UC-SYS-01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225CF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Upload a file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رفع ملف</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A568E2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98877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Uploads a photograph or document as multipart content; the system stores it, classifies it by file type (project file or project report file) and returns the identifier that the calling record stores as its attachment reference.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91F8DC"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POST /api/Files</w:t>
            </w:r>
          </w:p>
        </w:tc>
      </w:tr>
      <w:tr w:rsidR="005E6CC0" w:rsidRPr="00D2383C" w14:paraId="0840E3D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8B8F6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UC-SYS-02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60877F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Download a file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تحميل ملف</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DEE547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B2BDD2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Streams a stored attachment back to the browser by its identifier, with the appropriate content 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D025A4"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/api/Files/GetFile?fileID</w:t>
            </w:r>
          </w:p>
        </w:tc>
      </w:tr>
      <w:tr w:rsidR="005E6CC0" w:rsidRPr="00D2383C" w14:paraId="66B2FEB8"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C70774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UC-SYS-03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19DD5E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Save a generated report file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حفظ ملف التقرير</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23242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System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22FD3D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Persists a rendered report to the server file system so it can be retrieved or re-sent later.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DE1AB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/Print/SaveFileInPath</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/Print/SendFile</w:t>
            </w:r>
          </w:p>
        </w:tc>
      </w:tr>
    </w:tbl>
    <w:p w14:paraId="7BE2D3CC" w14:textId="77777777" w:rsidR="00DB1352" w:rsidRPr="00D2383C" w:rsidRDefault="00DB1352">
      <w:pPr>
        <w:pStyle w:val="Heading2"/>
        <w:rPr>
          <w:rFonts w:ascii="Calibri" w:eastAsia="Times New Roman" w:hAnsi="Calibri"/>
        </w:rPr>
      </w:pPr>
      <w:bookmarkStart w:id="51" w:name="_Toc237939330"/>
      <w:r w:rsidRPr="00D2383C">
        <w:rPr>
          <w:rFonts w:ascii="Calibri" w:eastAsia="Times New Roman" w:hAnsi="Calibri"/>
        </w:rPr>
        <w:t>24.2 Reference data</w:t>
      </w:r>
      <w:bookmarkEnd w:id="51"/>
    </w:p>
    <w:tbl>
      <w:tblPr>
        <w:tblW w:w="5000" w:type="pct"/>
        <w:tblCellMar>
          <w:top w:w="15" w:type="dxa"/>
          <w:left w:w="15" w:type="dxa"/>
          <w:bottom w:w="15" w:type="dxa"/>
          <w:right w:w="15" w:type="dxa"/>
        </w:tblCellMar>
        <w:tblLook w:val="04A0" w:firstRow="1" w:lastRow="0" w:firstColumn="1" w:lastColumn="0" w:noHBand="0" w:noVBand="1"/>
      </w:tblPr>
      <w:tblGrid>
        <w:gridCol w:w="890"/>
        <w:gridCol w:w="1693"/>
        <w:gridCol w:w="1070"/>
        <w:gridCol w:w="3209"/>
        <w:gridCol w:w="3562"/>
      </w:tblGrid>
      <w:tr w:rsidR="005E6CC0" w:rsidRPr="00D2383C" w14:paraId="40E36F9B"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7E43C1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9E1DEF4"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932EAA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16071AB"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BF569A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0DDB765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03D726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UC-SYS-04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5A1B1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 a generic lookup list</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القوائم المرجعية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BCDA35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AFEEDC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Single parameterised endpoint returning any of the system's reference lists (educational level, stage, class, educational status, health status, disability, house type/status/ownership, income sources, relationships, prayer and memorisation levels, hobbies, behaviour scales, currencies, roles) by list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F40E75"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/api/Lookup?id&amp;userId</w:t>
            </w:r>
          </w:p>
        </w:tc>
      </w:tr>
      <w:tr w:rsidR="005E6CC0" w:rsidRPr="00D2383C" w14:paraId="029104A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56FD2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UC-SYS-05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F39D6E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 guardian lookup lists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قوائم العائل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8F6DFD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1F63F9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Returns the reference lists specific to the guardian record (marital status, relation to orphans, job categories).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EF1EFFF"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/api/ParentLookup?id&amp;userId</w:t>
            </w:r>
          </w:p>
        </w:tc>
      </w:tr>
      <w:tr w:rsidR="005E6CC0" w:rsidRPr="00D2383C" w14:paraId="4F3D4E1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6D0EB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UC-SYS-06</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2D9EF8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 refusal reasons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أسباب الرفض</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DC6DA3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 Director, Staff</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AF725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Returns the catalogue of standard reasons, filtered by reason type, that a reviewer attaches when refusing a periodic report.</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5C12F38"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/api/Lookup/GetGeneralReasons?Type</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/api/GeneralReasons</w:t>
            </w:r>
          </w:p>
        </w:tc>
      </w:tr>
      <w:tr w:rsidR="005E6CC0" w:rsidRPr="00D2383C" w14:paraId="25DE5F81"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EA6F0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UC-SYS-07</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B3084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Select country, region and centre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الدولة والمنطقة والمركز</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50B134"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AB00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Cascading geography selection: countries, then regions of the chosen country, then centres of the chosen region — used on the family, association and employee forms.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4FEA5A"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/api/Country?userId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/api/Region/GetRegions?userId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/api/Region/GetCentersByRegionId?id&amp;userId</w:t>
            </w:r>
          </w:p>
        </w:tc>
      </w:tr>
      <w:tr w:rsidR="005E6CC0" w:rsidRPr="00D2383C" w14:paraId="682FCBF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02A56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UC-SYS-08</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390AD4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Select a bank</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اختيار البنك</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054212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Fin. Director, 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687F2D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Returns the banks configured for a country, used on cheque, transfer and bank-file screens.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7CD62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/api/Country?id&amp;userId</w:t>
            </w:r>
          </w:p>
        </w:tc>
      </w:tr>
      <w:tr w:rsidR="005E6CC0" w:rsidRPr="00D2383C" w14:paraId="1CF70C2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CB189A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UC-SYS-09</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1FA458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Select a job</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اختيار المهنة</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94A039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779C0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Returns the occupation catalogue used on the guardian and family income sections.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2A8B366"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/api/Job?userId</w:t>
            </w:r>
          </w:p>
        </w:tc>
      </w:tr>
      <w:tr w:rsidR="005E6CC0" w:rsidRPr="00D2383C" w14:paraId="25AD7893"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C99DB3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UC-SYS-10</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7B631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Select the orphan payment category</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فئة الصرف</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9950CE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61BA49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Returns the orphan payment categories used when defining a batch's entitlement rules.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D865666"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/api/Child/GetOrphanPayments?userId</w:t>
            </w:r>
          </w:p>
        </w:tc>
      </w:tr>
    </w:tbl>
    <w:p w14:paraId="0AF75A13" w14:textId="77777777" w:rsidR="00DB1352" w:rsidRPr="00D2383C" w:rsidRDefault="00DB1352">
      <w:pPr>
        <w:pStyle w:val="Heading2"/>
        <w:rPr>
          <w:rFonts w:ascii="Calibri" w:eastAsia="Times New Roman" w:hAnsi="Calibri"/>
        </w:rPr>
      </w:pPr>
      <w:bookmarkStart w:id="52" w:name="_Toc237939331"/>
      <w:r w:rsidRPr="00D2383C">
        <w:rPr>
          <w:rFonts w:ascii="Calibri" w:eastAsia="Times New Roman" w:hAnsi="Calibri"/>
        </w:rPr>
        <w:t>24.3 Validation</w:t>
      </w:r>
      <w:bookmarkEnd w:id="52"/>
    </w:p>
    <w:tbl>
      <w:tblPr>
        <w:tblW w:w="5000" w:type="pct"/>
        <w:tblCellMar>
          <w:top w:w="15" w:type="dxa"/>
          <w:left w:w="15" w:type="dxa"/>
          <w:bottom w:w="15" w:type="dxa"/>
          <w:right w:w="15" w:type="dxa"/>
        </w:tblCellMar>
        <w:tblLook w:val="04A0" w:firstRow="1" w:lastRow="0" w:firstColumn="1" w:lastColumn="0" w:noHBand="0" w:noVBand="1"/>
      </w:tblPr>
      <w:tblGrid>
        <w:gridCol w:w="819"/>
        <w:gridCol w:w="1555"/>
        <w:gridCol w:w="982"/>
        <w:gridCol w:w="2948"/>
        <w:gridCol w:w="4120"/>
      </w:tblGrid>
      <w:tr w:rsidR="005E6CC0" w:rsidRPr="00D2383C" w14:paraId="33FDFF32" w14:textId="77777777">
        <w:tc>
          <w:tcPr>
            <w:tcW w:w="5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E4746F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ID</w:t>
            </w:r>
          </w:p>
        </w:tc>
        <w:tc>
          <w:tcPr>
            <w:tcW w:w="95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1F7B720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Use case</w:t>
            </w:r>
          </w:p>
        </w:tc>
        <w:tc>
          <w:tcPr>
            <w:tcW w:w="6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5DD2B57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Primary actor</w:t>
            </w:r>
          </w:p>
        </w:tc>
        <w:tc>
          <w:tcPr>
            <w:tcW w:w="18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78842CF"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Description &amp; main flow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178025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Realisation</w:t>
            </w:r>
          </w:p>
        </w:tc>
      </w:tr>
      <w:tr w:rsidR="005E6CC0" w:rsidRPr="00D2383C" w14:paraId="58A5C250"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34013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UC-SYS-11</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01FBC4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Load country validation rules</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قواعد التحقق للدول</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C87B29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All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CDAEB7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Returns per-country validation configuration — notably the national-ID format and length that the client applies to input masks and checks.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5877525"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/api/Validation/GetCountriesDetail?userId</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GET /api/Validation/GetCountryDetail?id&amp;userId</w:t>
            </w:r>
          </w:p>
        </w:tc>
      </w:tr>
      <w:tr w:rsidR="005E6CC0" w:rsidRPr="00D2383C" w14:paraId="5BA0BB4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A1C67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UC-SYS-12</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ECAF7E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Check a national ID is unique</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التحقق من الرقم القومي</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B9499A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NGO, HQ roles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ED8765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Before a guardian or orphan is saved, the system checks the national ID against existing beneficiaries in the country. A second overload additionally excludes the family currently being edited, so re-saving an existing record does not report itself as a duplicate. </w:t>
            </w:r>
            <w:r w:rsidRPr="00D2383C">
              <w:rPr>
                <w:rFonts w:ascii="Calibri" w:eastAsia="Times New Roman" w:hAnsi="Calibri" w:cs="Segoe UI"/>
                <w:i/>
                <w:iCs/>
                <w:color w:val="1A1A1A"/>
                <w:sz w:val="19"/>
                <w:szCs w:val="19"/>
              </w:rPr>
              <w:t>Alternate:</w:t>
            </w:r>
            <w:r w:rsidRPr="00D2383C">
              <w:rPr>
                <w:rFonts w:ascii="Calibri" w:eastAsia="Times New Roman" w:hAnsi="Calibri" w:cs="Segoe UI"/>
                <w:color w:val="1A1A1A"/>
                <w:sz w:val="19"/>
                <w:szCs w:val="19"/>
              </w:rPr>
              <w:t xml:space="preserve"> a clash returns the conflicting record's identity so the operator can investigate rather than silently creating a duplicate beneficiary.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419292"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GET /api/Validation/CheckNid?nid&amp;name&amp;cid&amp;uid&amp;ngoId</w:t>
            </w:r>
            <w:r w:rsidRPr="00D2383C">
              <w:rPr>
                <w:rFonts w:ascii="Calibri" w:eastAsia="Times New Roman" w:hAnsi="Calibri" w:cs="Segoe UI"/>
                <w:color w:val="1A1A1A"/>
                <w:sz w:val="19"/>
                <w:szCs w:val="19"/>
              </w:rPr>
              <w:t xml:space="preserve"> (+ </w:t>
            </w:r>
            <w:r w:rsidRPr="00D2383C">
              <w:rPr>
                <w:rStyle w:val="HTMLCode"/>
                <w:rFonts w:ascii="Calibri" w:hAnsi="Calibri"/>
                <w:color w:val="1A1A1A"/>
              </w:rPr>
              <w:t>&amp;FamilyId</w:t>
            </w:r>
            <w:r w:rsidRPr="00D2383C">
              <w:rPr>
                <w:rFonts w:ascii="Calibri" w:eastAsia="Times New Roman" w:hAnsi="Calibri" w:cs="Segoe UI"/>
                <w:color w:val="1A1A1A"/>
                <w:sz w:val="19"/>
                <w:szCs w:val="19"/>
              </w:rPr>
              <w:t xml:space="preserve"> overload)</w:t>
            </w:r>
          </w:p>
        </w:tc>
      </w:tr>
      <w:tr w:rsidR="005E6CC0" w:rsidRPr="00D2383C" w14:paraId="4901FE99"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3DCDF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b/>
                <w:bCs/>
                <w:color w:val="1A1A1A"/>
                <w:sz w:val="19"/>
                <w:szCs w:val="19"/>
              </w:rPr>
              <w:t>UC-SYS-13</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E134C8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Log and surface an error</w:t>
            </w:r>
            <w:r w:rsidRPr="00D2383C">
              <w:rPr>
                <w:rFonts w:ascii="Calibri" w:eastAsia="Times New Roman" w:hAnsi="Calibri" w:cs="Segoe UI"/>
                <w:color w:val="1A1A1A"/>
                <w:sz w:val="19"/>
                <w:szCs w:val="19"/>
              </w:rPr>
              <w:br/>
            </w:r>
            <w:r w:rsidRPr="00D2383C">
              <w:rPr>
                <w:rStyle w:val="ar1"/>
                <w:rFonts w:ascii="Calibri" w:eastAsia="Times New Roman" w:hAnsi="Calibri"/>
                <w:color w:val="1A1A1A"/>
                <w:sz w:val="19"/>
                <w:szCs w:val="19"/>
                <w:rtl w:val="0"/>
              </w:rPr>
              <w:t>تسجيل الأخطاء</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56BC20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System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1FFE22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 xml:space="preserve">Every BLL operation catches exceptions, writes the method name, message and inner exception to the log4net log, and returns a </w:t>
            </w:r>
            <w:r w:rsidRPr="00D2383C">
              <w:rPr>
                <w:rStyle w:val="HTMLCode"/>
                <w:rFonts w:ascii="Calibri" w:hAnsi="Calibri"/>
                <w:color w:val="1A1A1A"/>
              </w:rPr>
              <w:t>Fail</w:t>
            </w:r>
            <w:r w:rsidRPr="00D2383C">
              <w:rPr>
                <w:rFonts w:ascii="Calibri" w:eastAsia="Times New Roman" w:hAnsi="Calibri" w:cs="Segoe UI"/>
                <w:color w:val="1A1A1A"/>
                <w:sz w:val="19"/>
                <w:szCs w:val="19"/>
              </w:rPr>
              <w:t xml:space="preserve"> response with a generic message so internal detail is not exposed. The SPA routes unhandled failures to the error state.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0940149" w14:textId="77777777" w:rsidR="00DB1352" w:rsidRPr="00D2383C" w:rsidRDefault="00DB1352">
            <w:pPr>
              <w:spacing w:before="150" w:after="240"/>
              <w:rPr>
                <w:rFonts w:ascii="Calibri" w:eastAsia="Times New Roman" w:hAnsi="Calibri" w:cs="Segoe UI"/>
                <w:color w:val="1A1A1A"/>
                <w:sz w:val="19"/>
                <w:szCs w:val="19"/>
              </w:rPr>
            </w:pPr>
            <w:r w:rsidRPr="00D2383C">
              <w:rPr>
                <w:rStyle w:val="HTMLCode"/>
                <w:rFonts w:ascii="Calibri" w:hAnsi="Calibri"/>
                <w:color w:val="1A1A1A"/>
              </w:rPr>
              <w:t>Logger.LogError</w:t>
            </w:r>
            <w:r w:rsidRPr="00D2383C">
              <w:rPr>
                <w:rFonts w:ascii="Calibri" w:eastAsia="Times New Roman" w:hAnsi="Calibri" w:cs="Segoe UI"/>
                <w:color w:val="1A1A1A"/>
                <w:sz w:val="19"/>
                <w:szCs w:val="19"/>
              </w:rPr>
              <w:t xml:space="preserve">, </w:t>
            </w:r>
            <w:r w:rsidRPr="00D2383C">
              <w:rPr>
                <w:rStyle w:val="HTMLCode"/>
                <w:rFonts w:ascii="Calibri" w:hAnsi="Calibri"/>
                <w:color w:val="1A1A1A"/>
              </w:rPr>
              <w:t>log4net.config</w:t>
            </w:r>
            <w:r w:rsidRPr="00D2383C">
              <w:rPr>
                <w:rFonts w:ascii="Calibri" w:eastAsia="Times New Roman" w:hAnsi="Calibri" w:cs="Segoe UI"/>
                <w:color w:val="1A1A1A"/>
                <w:sz w:val="19"/>
                <w:szCs w:val="19"/>
              </w:rPr>
              <w:t xml:space="preserve">, state </w:t>
            </w:r>
            <w:r w:rsidRPr="00D2383C">
              <w:rPr>
                <w:rStyle w:val="HTMLCode"/>
                <w:rFonts w:ascii="Calibri" w:hAnsi="Calibri"/>
                <w:color w:val="1A1A1A"/>
              </w:rPr>
              <w:t>error</w:t>
            </w:r>
          </w:p>
        </w:tc>
      </w:tr>
    </w:tbl>
    <w:p>
      <w:pPr>
        <w:pStyle w:val="Heading2"/>
        <w:rPr>
          <w:rFonts w:ascii="Calibri" w:eastAsia="Times New Roman" w:hAnsi="Calibri"/>
        </w:rPr>
      </w:pPr>
      <w:r w:rsidRPr="00D2383C">
        <w:rPr>
          <w:rFonts w:ascii="Calibri" w:eastAsia="Times New Roman" w:hAnsi="Calibri"/>
        </w:rPr>
        <w:t xml:space="preserve">24.S  Screen field specifications</w:t>
      </w:r>
    </w:p>
    <w:p>
      <w:pPr>
        <w:pStyle w:val="NormalWeb"/>
        <w:rPr>
          <w:rFonts w:ascii="Calibri" w:hAnsi="Calibri"/>
        </w:rPr>
      </w:pPr>
      <w:r w:rsidRPr="00D2383C">
        <w:rPr>
          <w:rStyle w:val="ar1"/>
          <w:rFonts w:ascii="Calibri" w:hAnsi="Calibri"/>
          <w:rtl w:val="0"/>
        </w:rPr>
        <w:t xml:space="preserve">Derived from the AngularJS views of this module. For every screen the table lists each data-entry field in the order it appears, the scope property it binds to, its control type, whether the form marks it mandatory, and the lookup or rule that governs it. Labels are reproduced as they appear on screen (Arabic, right-to-left).</w:t>
      </w:r>
    </w:p>
    <w:p>
      <w:pPr>
        <w:pStyle w:val="Heading2"/>
        <w:rPr>
          <w:rFonts w:ascii="Calibri" w:eastAsia="Times New Roman" w:hAnsi="Calibri"/>
        </w:rPr>
      </w:pPr>
      <w:r w:rsidRPr="00D2383C">
        <w:rPr>
          <w:rFonts w:ascii="Calibri" w:eastAsia="Times New Roman" w:hAnsi="Calibri"/>
        </w:rPr>
        <w:t xml:space="preserve">24.U  Use case scenarios</w:t>
      </w:r>
    </w:p>
    <w:p>
      <w:pPr>
        <w:pStyle w:val="NormalWeb"/>
        <w:rPr>
          <w:rFonts w:ascii="Calibri" w:hAnsi="Calibri"/>
        </w:rPr>
      </w:pPr>
      <w:r w:rsidRPr="00D2383C">
        <w:rPr>
          <w:rStyle w:val="ar1"/>
          <w:rFonts w:ascii="Calibri" w:hAnsi="Calibri"/>
          <w:rtl w:val="0"/>
        </w:rPr>
        <w:t xml:space="preserve">One expanded scenario for every use case of this module. Pre-conditions, flows and post-conditions are derived from the screen that hosts the function, the Web API action that serves it and the business-layer method that executes it; quoted messages are the literal strings returned by the business layer.</w:t>
      </w:r>
    </w:p>
    <w:p>
      <w:pPr>
        <w:pStyle w:val="Heading2"/>
        <w:rPr>
          <w:rFonts w:ascii="Calibri" w:eastAsia="Times New Roman" w:hAnsi="Calibri"/>
        </w:rPr>
      </w:pPr>
      <w:r w:rsidRPr="00D2383C">
        <w:rPr>
          <w:rFonts w:ascii="Calibri" w:eastAsia="Times New Roman" w:hAnsi="Calibri"/>
        </w:rPr>
        <w:t xml:space="preserve">24.U.1  UC-SYS-01 — Upload a file رفع ملف</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UC-SYS-01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Upload a file رفع ملف</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Import a file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 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 The uploaded workbook/CSV as the data source.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Uploads a photograph or document as multipart content; the system stores it, classifies it by file type (project file or project report file) and returns the identifier that the calling record stores as its attachment reference.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 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chooses the file to upload in the file field of the screen.</w:t>
              <w:br/>
              <w:t xml:space="preserve">3. The actor presses the command button of the screen.</w:t>
              <w:br/>
              <w:t xml:space="preserve">4. The SPA posts the file as multipart content to `POST /api/Files`.</w:t>
              <w:br/>
              <w:t xml:space="preserve">5. `FilesController.Post()` receives the request and delegates to the business layer.</w:t>
              <w:br/>
              <w:t xml:space="preserve">6. `BLL.SaveImage` executes the business rules and the data access.</w:t>
              <w:br/>
              <w:t xml:space="preserve">7. The business layer parses each row, matches it to the existing records by their key and applies the values it carries.</w:t>
              <w:br/>
              <w:t xml:space="preserve">8. Rows that cannot be matched are reported back and the system returns the count applied.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None recorded.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uploaded file is not the expected workbook/CSV layout — the import is abandoned and no row is changed.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matched records carry the imported values; unmatched rows are left untouched and reported.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POST /api/Files</w:t>
              <w:br/>
              <w:t xml:space="preserve">FilesController.Post()</w:t>
              <w:br/>
              <w:t xml:space="preserve">BLL.SaveImage(File image) : string</w:t>
            </w:r>
          </w:p>
        </w:tc>
      </w:tr>
    </w:tbl>
    <w:p>
      <w:pPr>
        <w:pStyle w:val="Heading2"/>
        <w:rPr>
          <w:rFonts w:ascii="Calibri" w:eastAsia="Times New Roman" w:hAnsi="Calibri"/>
        </w:rPr>
      </w:pPr>
      <w:r w:rsidRPr="00D2383C">
        <w:rPr>
          <w:rFonts w:ascii="Calibri" w:eastAsia="Times New Roman" w:hAnsi="Calibri"/>
        </w:rPr>
        <w:t xml:space="preserve">24.U.2  UC-SYS-02 — Download a file تحميل ملف</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UC-SYS-02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Download a file تحميل ملف</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Browse a list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Streams a stored attachment back to the browser by its identifier, with the appropriate content type.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All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system loads the filter lookups the screen offers and, for HQ roles, the association selector.</w:t>
              <w:br/>
              <w:t xml:space="preserve">3. The SPA issues `GET /api/Files/GetFile` carrying fileID.</w:t>
              <w:br/>
              <w:t xml:space="preserve">4. `FilesController.GetFile([FromUri]string fileID)` receives the request and delegates to the business layer.</w:t>
              <w:br/>
              <w:t xml:space="preserve">5. `BLL.GetImage` executes the business rules and the data access.</w:t>
              <w:br/>
              <w:t xml:space="preserve">6. The result set is scoped to the caller’s association and country, ordered and paged.</w:t>
              <w:br/>
              <w:t xml:space="preserve">7. The SPA renders the page and the paging control.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/api/Files/GetFile?fileID</w:t>
              <w:br/>
              <w:t xml:space="preserve">FilesController.GetFile([FromUri]string fileID)</w:t>
              <w:br/>
              <w:t xml:space="preserve">BLL.GetImage(Guid id) : File</w:t>
            </w:r>
          </w:p>
        </w:tc>
      </w:tr>
    </w:tbl>
    <w:p>
      <w:pPr>
        <w:pStyle w:val="Heading2"/>
        <w:rPr>
          <w:rFonts w:ascii="Calibri" w:eastAsia="Times New Roman" w:hAnsi="Calibri"/>
        </w:rPr>
      </w:pPr>
      <w:r w:rsidRPr="00D2383C">
        <w:rPr>
          <w:rFonts w:ascii="Calibri" w:eastAsia="Times New Roman" w:hAnsi="Calibri"/>
        </w:rPr>
        <w:t xml:space="preserve">24.U.3  UC-SYS-03 — Save a generated report file حفظ ملف التقرير</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UC-SYS-03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Save a generated report file حفظ ملف التقرير</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Print / produce a document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System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 Crystal Reports as the rendering engine.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Persists a rendered report to the server file system so it can be retrieved or re-sent later.</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System.</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or the range to be printed.</w:t>
              <w:br/>
              <w:t xml:space="preserve">3. The actor presses the command button of the screen.</w:t>
              <w:br/>
              <w:t xml:space="preserve">4. The browser opens `GET /Print/SaveFileInPath`.</w:t>
              <w:br/>
              <w:t xml:space="preserve">5. The print controller resolves the Crystal Reports definition, binds the dataset returned by the business layer and sets the report parameters.</w:t>
              <w:br/>
              <w:t xml:space="preserve">6. The rendered document is streamed back as a PDF for viewing and printing.</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None recorded.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The report definition or a required parameter is missing — the print action fails and no document is produced.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printable document has been produced. Where the module records printing, the row is flagged as printed.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/Print/SaveFileInPath</w:t>
              <w:br/>
              <w:t xml:space="preserve">GET /Print/SendFile</w:t>
              <w:br/>
              <w:t xml:space="preserve">PrintController.SaveFileInPath()</w:t>
            </w:r>
          </w:p>
        </w:tc>
      </w:tr>
    </w:tbl>
    <w:p>
      <w:pPr>
        <w:pStyle w:val="Heading2"/>
        <w:rPr>
          <w:rFonts w:ascii="Calibri" w:eastAsia="Times New Roman" w:hAnsi="Calibri"/>
        </w:rPr>
      </w:pPr>
      <w:r w:rsidRPr="00D2383C">
        <w:rPr>
          <w:rFonts w:ascii="Calibri" w:eastAsia="Times New Roman" w:hAnsi="Calibri"/>
        </w:rPr>
        <w:t xml:space="preserve">24.U.4  UC-SYS-04 — Load a generic lookup list القوائم المرجعية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UC-SYS-04</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Load a generic lookup list القوائم المرجعية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Browse a list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Single parameterised endpoint returning any of the system's reference lists (educational level, stage, class, educational status, health status, disability, house type/status/ownership, income sources, relationships, prayer and memorisation levels, hobbies, behaviour scales, currencies, roles) by list 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All roles.</w:t>
              <w:br/>
              <w:t xml:space="preserve">3. The calling user id is passed on the request; the BLL scopes the query to the association (and country) that owns the user, unless the role is an HQ role that may pass an explicit association 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system loads the filter lookups the screen offers and, for HQ roles, the association selector.</w:t>
              <w:br/>
              <w:t xml:space="preserve">3. The SPA issues `GET /api/Lookup` carrying id, userId.</w:t>
              <w:br/>
              <w:t xml:space="preserve">4. `LookupController.Get(string id ,string userId)` receives the request and delegates to the business layer.</w:t>
              <w:br/>
              <w:t xml:space="preserve">5. `NGOsBLL.GetHouseOwnerShips` executes the business rules and the data access.</w:t>
              <w:br/>
              <w:t xml:space="preserve">6. The result set is scoped to the caller’s association and country, ordered and paged.</w:t>
              <w:br/>
              <w:t xml:space="preserve">7. The SPA renders the page and the paging control.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/api/Lookup?id&amp;userId</w:t>
              <w:br/>
              <w:t xml:space="preserve">LookupController.Get(string id ,string userId)</w:t>
              <w:br/>
              <w:t xml:space="preserve">NGOsBLL.GetHouseOwnerShips() : LookUpResponseObject</w:t>
            </w:r>
          </w:p>
        </w:tc>
      </w:tr>
    </w:tbl>
    <w:p>
      <w:pPr>
        <w:pStyle w:val="Heading2"/>
        <w:rPr>
          <w:rFonts w:ascii="Calibri" w:eastAsia="Times New Roman" w:hAnsi="Calibri"/>
        </w:rPr>
      </w:pPr>
      <w:r w:rsidRPr="00D2383C">
        <w:rPr>
          <w:rFonts w:ascii="Calibri" w:eastAsia="Times New Roman" w:hAnsi="Calibri"/>
        </w:rPr>
        <w:t xml:space="preserve">24.U.5  UC-SYS-05 — Load guardian lookup lists قوائم العائل</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UC-SYS-05</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Load guardian lookup lists قوائم العائل</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Browse a list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Returns the reference lists specific to the guardian record (marital status, relation to orphans, job categories).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All roles.</w:t>
              <w:br/>
              <w:t xml:space="preserve">3. The calling user id is passed on the request; the BLL scopes the query to the association (and country) that owns the user, unless the role is an HQ role that may pass an explicit association id.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system loads the filter lookups the screen offers and, for HQ roles, the association selector.</w:t>
              <w:br/>
              <w:t xml:space="preserve">3. The SPA issues `GET /api/ParentLookup` carrying id, userId.</w:t>
              <w:br/>
              <w:t xml:space="preserve">4. `ParentLookupController.Get(int id,string userId)` receives the request and delegates to the business layer.</w:t>
              <w:br/>
              <w:t xml:space="preserve">5. `ParentBLL.GetEducationalStatuss` executes the business rules and the data access.</w:t>
              <w:br/>
              <w:t xml:space="preserve">6. The result set is scoped to the caller’s association and country, ordered and paged.</w:t>
              <w:br/>
              <w:t xml:space="preserve">7. The SPA renders the page and the paging control.</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No row matches the criteria — the grid renders empty and the paging control reports zero pages.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/api/ParentLookup?id&amp;userId</w:t>
              <w:br/>
              <w:t xml:space="preserve">ParentLookupController.Get(int id,string userId)</w:t>
              <w:br/>
              <w:t xml:space="preserve">ParentBLL.GetEducationalStatuss() : LookUpResponseObject</w:t>
            </w:r>
          </w:p>
        </w:tc>
      </w:tr>
    </w:tbl>
    <w:p>
      <w:pPr>
        <w:pStyle w:val="Heading2"/>
        <w:rPr>
          <w:rFonts w:ascii="Calibri" w:eastAsia="Times New Roman" w:hAnsi="Calibri"/>
        </w:rPr>
      </w:pPr>
      <w:r w:rsidRPr="00D2383C">
        <w:rPr>
          <w:rFonts w:ascii="Calibri" w:eastAsia="Times New Roman" w:hAnsi="Calibri"/>
        </w:rPr>
        <w:t xml:space="preserve">24.U.6  UC-SYS-06 — Load refusal reasons أسباب الرفض</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UC-SYS-06</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Load refusal reasons أسباب الرفض</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Review decision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Gen. Director, Staff</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Returns the catalogue of standard reasons, filtered by reason type, that a reviewer attaches when refusing a periodic report.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Gen. Director, Staff.</w:t>
              <w:br/>
              <w:t xml:space="preserve">3.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opens the item awaiting a decision and examines its content and attachments.</w:t>
              <w:br/>
              <w:t xml:space="preserve">3. The actor records the decision and, when refusing, the reason.</w:t>
              <w:br/>
              <w:t xml:space="preserve">4. The actor presses the command button of the screen.</w:t>
              <w:br/>
              <w:t xml:space="preserve">5. The SPA issues `GET /api/Lookup/GetGeneralReasons` carrying Type.</w:t>
              <w:br/>
              <w:t xml:space="preserve">6. `LookupController.GetGeneralReasons(int Type)` receives the request and delegates to the business layer.</w:t>
              <w:br/>
              <w:t xml:space="preserve">7. `BLL.GetGeneralReasons` executes the business rules and the data access.</w:t>
              <w:br/>
              <w:t xml:space="preserve">8. The business layer writes the new state, the deciding user and the decision date.</w:t>
              <w:br/>
              <w:t xml:space="preserve">9. The item leaves the pending queue and becomes visible to the association in its new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decision is a refusal — the reason is mandatory and is stored with the item so that the association can see why it was returned.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item carries its new state, the deciding user and the decision date, and moves out of the pending queue.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/api/Lookup/GetGeneralReasons?Type</w:t>
              <w:br/>
              <w:t xml:space="preserve">GET /api/GeneralReasons</w:t>
              <w:br/>
              <w:t xml:space="preserve">LookupController.GetGeneralReasons(int Type)</w:t>
              <w:br/>
              <w:t xml:space="preserve">BLL.GetGeneralReasons(int Type) : List&lt;GeneralReason&gt;</w:t>
            </w:r>
          </w:p>
        </w:tc>
      </w:tr>
    </w:tbl>
    <w:p>
      <w:pPr>
        <w:pStyle w:val="Heading2"/>
        <w:rPr>
          <w:rFonts w:ascii="Calibri" w:eastAsia="Times New Roman" w:hAnsi="Calibri"/>
        </w:rPr>
      </w:pPr>
      <w:r w:rsidRPr="00D2383C">
        <w:rPr>
          <w:rFonts w:ascii="Calibri" w:eastAsia="Times New Roman" w:hAnsi="Calibri"/>
        </w:rPr>
        <w:t xml:space="preserve">24.U.7  UC-SYS-07 — Select country, region and centre الدولة والمنطقة والمركز</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UC-SYS-07</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Select country, region and centre الدولة والمنطقة والمركز</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Cascading geography selection: countries, then regions of the chosen country, then centres of the chosen region — used on the family, association and employee forms.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All roles.</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/api/Country` carrying userId.</w:t>
              <w:br/>
              <w:t xml:space="preserve">4. `CountryController.Get(string userId)` receives the request and delegates to the business layer.</w:t>
              <w:br/>
              <w:t xml:space="preserve">5. `BLL.GetCountries`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/api/Country?userId</w:t>
              <w:br/>
              <w:t xml:space="preserve">GET /api/Region/GetRegions?userId</w:t>
              <w:br/>
              <w:t xml:space="preserve">GET /api/Region/GetCentersByRegionId?id&amp;userId</w:t>
              <w:br/>
              <w:t xml:space="preserve">CountryController.Get(string userId)</w:t>
              <w:br/>
              <w:t xml:space="preserve">BLL.GetCountries() : CountryResponseObject</w:t>
            </w:r>
          </w:p>
        </w:tc>
      </w:tr>
    </w:tbl>
    <w:p>
      <w:pPr>
        <w:pStyle w:val="Heading2"/>
        <w:rPr>
          <w:rFonts w:ascii="Calibri" w:eastAsia="Times New Roman" w:hAnsi="Calibri"/>
        </w:rPr>
      </w:pPr>
      <w:r w:rsidRPr="00D2383C">
        <w:rPr>
          <w:rFonts w:ascii="Calibri" w:eastAsia="Times New Roman" w:hAnsi="Calibri"/>
        </w:rPr>
        <w:t xml:space="preserve">24.U.8  UC-SYS-08 — Select a bank اختيار البنك</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UC-SYS-08</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Select a bank اختيار البنك</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Fin. Director, 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Returns the banks configured for a country, used on cheque, transfer and bank-file screens.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Fin. Director, NGO.</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/api/Country` carrying id, userId.</w:t>
              <w:br/>
              <w:t xml:space="preserve">4. `CountryController.Get(string userId)` receives the request and delegates to the business layer.</w:t>
              <w:br/>
              <w:t xml:space="preserve">5. `BLL.GetCountries`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/api/Country?id&amp;userId</w:t>
              <w:br/>
              <w:t xml:space="preserve">CountryController.Get(string userId)</w:t>
              <w:br/>
              <w:t xml:space="preserve">BLL.GetCountries() : CountryResponseObject</w:t>
            </w:r>
          </w:p>
        </w:tc>
      </w:tr>
    </w:tbl>
    <w:p>
      <w:pPr>
        <w:pStyle w:val="Heading2"/>
        <w:rPr>
          <w:rFonts w:ascii="Calibri" w:eastAsia="Times New Roman" w:hAnsi="Calibri"/>
        </w:rPr>
      </w:pPr>
      <w:r w:rsidRPr="00D2383C">
        <w:rPr>
          <w:rFonts w:ascii="Calibri" w:eastAsia="Times New Roman" w:hAnsi="Calibri"/>
        </w:rPr>
        <w:t xml:space="preserve">24.U.9  UC-SYS-09 — Select a job اختيار المهنة</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UC-SYS-09</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Select a job اختيار المهنة</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Returns the occupation catalogue used on the guardian and family income sections.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/api/Job` carrying userId.</w:t>
              <w:br/>
              <w:t xml:space="preserve">4. `JobController.Get(string userId)` receives the request and delegates to the business layer.</w:t>
              <w:br/>
              <w:t xml:space="preserve">5. `BLL.GetJobs`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/api/Job?userId</w:t>
              <w:br/>
              <w:t xml:space="preserve">JobController.Get(string userId)</w:t>
              <w:br/>
              <w:t xml:space="preserve">BLL.GetJobs() : JobResponseObject</w:t>
            </w:r>
          </w:p>
        </w:tc>
      </w:tr>
    </w:tbl>
    <w:p>
      <w:pPr>
        <w:pStyle w:val="Heading2"/>
        <w:rPr>
          <w:rFonts w:ascii="Calibri" w:eastAsia="Times New Roman" w:hAnsi="Calibri"/>
        </w:rPr>
      </w:pPr>
      <w:r w:rsidRPr="00D2383C">
        <w:rPr>
          <w:rFonts w:ascii="Calibri" w:eastAsia="Times New Roman" w:hAnsi="Calibri"/>
        </w:rPr>
        <w:t xml:space="preserve">24.U.10  UC-SYS-10 — Select the orphan payment category فئة الصرف</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UC-SYS-10</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Select the orphan payment category فئة الصرف</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Returns the orphan payment categories used when defining a batch's entitlement rules.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HQ roles.</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/api/Child/GetOrphanPayments` carrying userId.</w:t>
              <w:br/>
              <w:t xml:space="preserve">4. `ChildController.GetOrphanPayments(string userId)` receives the request and delegates to the business layer.</w:t>
              <w:br/>
              <w:t xml:space="preserve">5. `ChildBLL.GetOrphanPayments`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/api/Child/GetOrphanPayments?userId</w:t>
              <w:br/>
              <w:t xml:space="preserve">ChildController.GetOrphanPayments(string userId)</w:t>
              <w:br/>
              <w:t xml:space="preserve">ChildBLL.GetOrphanPayments() : LookUpResponseObject</w:t>
            </w:r>
          </w:p>
        </w:tc>
      </w:tr>
    </w:tbl>
    <w:p>
      <w:pPr>
        <w:pStyle w:val="Heading2"/>
        <w:rPr>
          <w:rFonts w:ascii="Calibri" w:eastAsia="Times New Roman" w:hAnsi="Calibri"/>
        </w:rPr>
      </w:pPr>
      <w:r w:rsidRPr="00D2383C">
        <w:rPr>
          <w:rFonts w:ascii="Calibri" w:eastAsia="Times New Roman" w:hAnsi="Calibri"/>
        </w:rPr>
        <w:t xml:space="preserve">24.U.11  UC-SYS-11 — Load country validation rules قواعد التحقق للدول</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UC-SYS-11</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Load country validation rules قواعد التحقق للدول</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Read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All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Returns per-country validation configuration — notably the national-ID format and length that the client applies to input masks and checks.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All roles.</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w:t>
              <w:br/>
              <w:t xml:space="preserve">2. The actor selects the record to open.</w:t>
              <w:br/>
              <w:t xml:space="preserve">3. The SPA issues `GET /api/Validation/GetCountriesDetail` carrying userId.</w:t>
              <w:br/>
              <w:t xml:space="preserve">4. `ValidationController.GetCountriesDetail(string userId)` receives the request and delegates to the business layer.</w:t>
              <w:br/>
              <w:t xml:space="preserve">5. `BLL.GetCountriesDetail` executes the business rules and the data access.</w:t>
              <w:br/>
              <w:t xml:space="preserve">6. The system returns the record with its child collections and the SPA binds them to the form fields.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No stored data is changed — the operation is a read.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/api/Validation/GetCountriesDetail?userId</w:t>
              <w:br/>
              <w:t xml:space="preserve">GET /api/Validation/GetCountryDetail?id&amp;userId</w:t>
              <w:br/>
              <w:t xml:space="preserve">ValidationController.GetCountriesDetail(string userId)</w:t>
              <w:br/>
              <w:t xml:space="preserve">BLL.GetCountriesDetail() : List&lt;CountryValidationContract&gt;</w:t>
            </w:r>
          </w:p>
        </w:tc>
      </w:tr>
    </w:tbl>
    <w:p>
      <w:pPr>
        <w:pStyle w:val="Heading2"/>
        <w:rPr>
          <w:rFonts w:ascii="Calibri" w:eastAsia="Times New Roman" w:hAnsi="Calibri"/>
        </w:rPr>
      </w:pPr>
      <w:r w:rsidRPr="00D2383C">
        <w:rPr>
          <w:rFonts w:ascii="Calibri" w:eastAsia="Times New Roman" w:hAnsi="Calibri"/>
        </w:rPr>
        <w:t xml:space="preserve">24.U.12  UC-SYS-12 — Check a national ID is unique التحقق من الرقم القومي</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UC-SYS-12</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Check a national ID is unique التحقق من الرقم القومي</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Update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NGO, HQ roles</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Before a guardian or orphan is saved, the system checks the national ID against existing beneficiaries in the country. A second overload additionally excludes the family currently being edited, so re-saving an existing record does not report itself as a duplicate. Alternate: a clash returns the conflicting record's identity so the operator can investigate rather than silently creating a duplicate beneficiary.</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NGO, HQ roles.</w:t>
              <w:br/>
              <w:t xml:space="preserve">3. The calling user id is passed on the request; the BLL scopes the query to the association (and country) that owns the user, unless the role is an HQ role that may pass an explicit association id.</w:t>
              <w:br/>
              <w:t xml:space="preserve">4. The target record exists and its identifier is known to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 The screen opens in edit mode on the selected record.</w:t>
              <w:br/>
              <w:t xml:space="preserve">2. The system loads the current values into the form.</w:t>
              <w:br/>
              <w:t xml:space="preserve">3. The actor changes the fields to be corrected.</w:t>
              <w:br/>
              <w:t xml:space="preserve">4. The actor presses the command button of the screen.</w:t>
              <w:br/>
              <w:t xml:space="preserve">5. The SPA issues `GET /api/Validation/CheckNid` carrying nid, name, cid, uid, ngoId.</w:t>
              <w:br/>
              <w:t xml:space="preserve">6. `ValidationController.CheckNid(string nid, string name, string cid, string uid, string ngoId)` receives the request and delegates to the business layer.</w:t>
              <w:br/>
              <w:t xml:space="preserve">7. `BLL.CheckNId` executes the business rules and the data access.</w:t>
              <w:br/>
              <w:t xml:space="preserve">8. The business layer re-validates the payload, applies the changes and persists them.</w:t>
              <w:br/>
              <w:t xml:space="preserve">9. The system returns the outcome and the SPA refreshes the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An HQ role (General Director, Financial Director, Staff) may pass an explicit association id and so read across the association boundary; an association user may not and always sees its own data.</w:t>
              <w:b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stored record carries the new values; no other record is affected.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GET /api/Validation/CheckNid?nid&amp;name&amp;cid&amp;uid&amp;ngoId</w:t>
              <w:br/>
              <w:t xml:space="preserve">ValidationController.CheckNid(string nid, string name, string cid, string uid, string ngoId)</w:t>
              <w:br/>
              <w:t xml:space="preserve">BLL.CheckNId(string id, string name, string countryid, string uid, string ngoid ,string FamilyId=null) : BoolResponseObject</w:t>
            </w:r>
          </w:p>
        </w:tc>
      </w:tr>
    </w:tbl>
    <w:p>
      <w:pPr>
        <w:pStyle w:val="Heading2"/>
        <w:rPr>
          <w:rFonts w:ascii="Calibri" w:eastAsia="Times New Roman" w:hAnsi="Calibri"/>
        </w:rPr>
      </w:pPr>
      <w:r w:rsidRPr="00D2383C">
        <w:rPr>
          <w:rFonts w:ascii="Calibri" w:eastAsia="Times New Roman" w:hAnsi="Calibri"/>
        </w:rPr>
        <w:t xml:space="preserve">24.U.13  UC-SYS-13 — Log and surface an error تسجيل الأخطاء</w:t>
      </w:r>
    </w:p>
    <w:tbl>
      <w:tblPr>
        <w:tblW w:w="3000" w:type="pct"/>
        <w:jc w:val="center"/>
        <w:tblCellMar>
          <w:top w:w="15" w:type="dxa"/>
          <w:left w:w="15" w:type="dxa"/>
          <w:bottom w:w="15" w:type="dxa"/>
          <w:right w:w="15" w:type="dxa"/>
        </w:tblCellMar>
        <w:tblLook w:val="04A0" w:firstRow="1" w:lastRow="0" w:firstColumn="1" w:lastColumn="0" w:noHBand="0" w:noVBand="1"/>
      </w:tblPr>
      <w:tblGrid>
        <w:gridCol w:w="2502"/>
        <w:gridCol w:w="3752"/>
      </w:tblGrid>
      <w:tr w:rsidR="005E6CC0" w:rsidRPr="00D2383C" w14:paraId="1FCE52D0" w14:textId="77777777">
        <w:trPr>
          <w:divId w:val="77597398"/>
          <w:jc w:val="center"/>
        </w:trPr>
        <w:tc>
          <w:tcPr>
            <w:tcW w:w="20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3A0839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Item</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FE5D94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Specification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Use case ID</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UC-SYS-13</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Name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Log and surface an error تسجيل الأخطاء</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Type</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Create a record</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Primary actor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System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Secondary actors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system (Web API + business layer); the database.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Summary</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Every BLL operation catches exceptions, writes the method name, message and inner exception to the log4net log, and returns a Fail response with a generic message so internal detail is not exposed. The SPA routes unhandled failures to the error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Trigger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The actor selects the function from the module menu or the screen that hosts it.</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Pre-conditions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is authenticated; the Forms Authentication ticket in Cookie1 is valid and the SPA holds the resolved role code and country id.</w:t>
              <w:br/>
              <w:t xml:space="preserve">2. The actor holds one of: System.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Main flow</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1. The actor reaches the function from the screen of this module that hosts it. The screen opens in add mode.</w:t>
              <w:br/>
              <w:t xml:space="preserve">2. The system loads the reference data the form needs (regions, centres, banks, types and the other lookup lists bound to the drop-downs).</w:t>
              <w:br/>
              <w:t xml:space="preserve">3. The actor completes the input fields of the form.</w:t>
              <w:br/>
              <w:t xml:space="preserve">4. The actor presses the command button of the screen.</w:t>
              <w:br/>
              <w:t xml:space="preserve">5. The SPA calls the service endpoint that backs the function.</w:t>
              <w:br/>
              <w:t xml:space="preserve">6. The Web API controller receives the request and delegates to the business layer.</w:t>
              <w:br/>
              <w:t xml:space="preserve">7. The business layer executes the rules and the data access.</w:t>
              <w:br/>
              <w:t xml:space="preserve">8. The business layer validates the payload, stamps the owning association and the creating user, and persists the new record.</w:t>
              <w:br/>
              <w:t xml:space="preserve">9. The system returns the outcome and the SPA confirms the save and returns to the list screen.</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Alternate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actor abandons the form before saving — nothing is written and the record keeps its previous state.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Exception flows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The session has expired or the role is not permitted — the request is rejected and the SPA routes back to the login state.</w:t>
              <w:br/>
              <w:t xml:space="preserve">• A mandatory field is empty or fails its format check — the save is refused and the field is flagged on the form.</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Post-conditions</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 A new record exists, owned by the association of the creating user, and appears in the list screen of the module.</w:t>
            </w:r>
          </w:p>
        </w:tc>
      </w:tr>
      <w:tr w:rsidR="005E6CC0" w:rsidRPr="00D2383C" w14:paraId="1D778E06" w14:textId="77777777">
        <w:trPr>
          <w:divId w:val="77597398"/>
          <w:jc w:val="center"/>
        </w:trPr>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494BC85C" w14:textId="77777777" w:rsidR="00DB1352" w:rsidRPr="00D2383C" w:rsidRDefault="00DB1352">
            <w:pPr>
              <w:rPr>
                <w:rFonts w:ascii="Calibri" w:eastAsia="Times New Roman" w:hAnsi="Calibri" w:cs="Segoe UI"/>
                <w:b/>
                <w:bCs/>
                <w:color w:val="FFFFFF"/>
                <w:sz w:val="22"/>
                <w:szCs w:val="22"/>
              </w:rPr>
            </w:pPr>
            <w:r w:rsidRPr="00D2383C">
              <w:rPr>
                <w:rFonts w:ascii="Calibri" w:eastAsia="Times New Roman" w:hAnsi="Calibri" w:cs="Segoe UI"/>
                <w:b/>
                <w:bCs/>
                <w:color w:val="FFFFFF"/>
                <w:sz w:val="22"/>
                <w:szCs w:val="22"/>
              </w:rPr>
              <w:t xml:space="preserve">Realisation</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B52403E" w14:textId="77777777" w:rsidR="00DB1352" w:rsidRPr="00D2383C" w:rsidRDefault="00DB1352">
            <w:pPr>
              <w:rPr>
                <w:rFonts w:ascii="Calibri" w:eastAsia="Times New Roman" w:hAnsi="Calibri" w:cs="Segoe UI"/>
                <w:color w:val="1A1A1A"/>
                <w:sz w:val="22"/>
                <w:szCs w:val="22"/>
              </w:rPr>
            </w:pPr>
            <w:r w:rsidRPr="00D2383C">
              <w:rPr>
                <w:rFonts w:ascii="Calibri" w:eastAsia="Times New Roman" w:hAnsi="Calibri" w:cs="Segoe UI"/>
                <w:color w:val="1A1A1A"/>
                <w:sz w:val="22"/>
                <w:szCs w:val="22"/>
              </w:rPr>
              <w:t xml:space="preserve">Logger.LogError, log4net.config, state error</w:t>
            </w:r>
          </w:p>
        </w:tc>
      </w:tr>
    </w:tbl>
    <w:p>
      <w:pPr>
        <w:pStyle w:val="Heading2"/>
        <w:rPr>
          <w:rFonts w:ascii="Calibri" w:eastAsia="Times New Roman" w:hAnsi="Calibri"/>
        </w:rPr>
      </w:pPr>
      <w:r w:rsidRPr="00D2383C">
        <w:rPr>
          <w:rFonts w:ascii="Calibri" w:eastAsia="Times New Roman" w:hAnsi="Calibri"/>
        </w:rPr>
        <w:t xml:space="preserve">24.A  Annex - Screens (SPA states) of this module</w:t>
      </w:r>
    </w:p>
    <w:tbl>
      <w:tblPr>
        <w:tblW w:w="5000" w:type="pct"/>
        <w:tblCellMar>
          <w:top w:w="15" w:type="dxa"/>
          <w:left w:w="15" w:type="dxa"/>
          <w:bottom w:w="15" w:type="dxa"/>
          <w:right w:w="15" w:type="dxa"/>
        </w:tblCellMar>
        <w:tblLook w:val="04A0" w:firstRow="1" w:lastRow="0" w:firstColumn="1" w:lastColumn="0" w:noHBand="0" w:noVBand="1"/>
      </w:tblPr>
      <w:tblGrid>
        <w:gridCol w:w="2419"/>
        <w:gridCol w:w="3549"/>
        <w:gridCol w:w="3801"/>
        <w:gridCol w:w="655"/>
      </w:tblGrid>
      <w:tr w:rsidR="005E6CC0" w:rsidRPr="00D2383C" w14:paraId="03A95F25" w14:textId="77777777">
        <w:tc>
          <w:tcPr>
            <w:tcW w:w="11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D9DDE79"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State</w:t>
            </w:r>
          </w:p>
        </w:tc>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2C6CB3C8"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Route</w:t>
            </w:r>
          </w:p>
        </w:tc>
        <w:tc>
          <w:tcPr>
            <w:tcW w:w="1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6139C1D1"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View</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7FCD57AC"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r>
      <w:tr w:rsidR="005E6CC0" w:rsidRPr="00D2383C" w14:paraId="7521FBCA"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C55978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error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AA3E87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/error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D1B15AB"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Error/error.html</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31B3089"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24</w:t>
            </w:r>
          </w:p>
        </w:tc>
      </w:tr>
    </w:tbl>
    <w:p>
      <w:pPr>
        <w:pStyle w:val="Heading2"/>
        <w:rPr>
          <w:rFonts w:ascii="Calibri" w:eastAsia="Times New Roman" w:hAnsi="Calibri"/>
        </w:rPr>
      </w:pPr>
      <w:r w:rsidRPr="00D2383C">
        <w:rPr>
          <w:rFonts w:ascii="Calibri" w:eastAsia="Times New Roman" w:hAnsi="Calibri"/>
        </w:rPr>
        <w:t xml:space="preserve">24.B  Annex - Web API controllers of this module</w:t>
      </w:r>
    </w:p>
    <w:tbl>
      <w:tblPr>
        <w:tblW w:w="5000" w:type="pct"/>
        <w:tblCellMar>
          <w:top w:w="15" w:type="dxa"/>
          <w:left w:w="15" w:type="dxa"/>
          <w:bottom w:w="15" w:type="dxa"/>
          <w:right w:w="15" w:type="dxa"/>
        </w:tblCellMar>
        <w:tblLook w:val="04A0" w:firstRow="1" w:lastRow="0" w:firstColumn="1" w:lastColumn="0" w:noHBand="0" w:noVBand="1"/>
      </w:tblPr>
      <w:tblGrid>
        <w:gridCol w:w="3009"/>
        <w:gridCol w:w="1310"/>
        <w:gridCol w:w="6105"/>
      </w:tblGrid>
      <w:tr w:rsidR="005E6CC0" w:rsidRPr="00D2383C" w14:paraId="128B34A0" w14:textId="77777777">
        <w:tc>
          <w:tcPr>
            <w:tcW w:w="13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3C904975"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Controller</w:t>
            </w:r>
          </w:p>
        </w:tc>
        <w:tc>
          <w:tcPr>
            <w:tcW w:w="700" w:type="pct"/>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65EE21A"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Module</w:t>
            </w:r>
          </w:p>
        </w:tc>
        <w:tc>
          <w:tcPr>
            <w:tcW w:w="0" w:type="auto"/>
            <w:tcBorders>
              <w:top w:val="single" w:sz="6" w:space="0" w:color="0D3B36"/>
              <w:left w:val="single" w:sz="6" w:space="0" w:color="0D3B36"/>
              <w:bottom w:val="single" w:sz="6" w:space="0" w:color="0D3B36"/>
              <w:right w:val="single" w:sz="6" w:space="0" w:color="0D3B36"/>
            </w:tcBorders>
            <w:shd w:val="clear" w:color="auto" w:fill="14524B"/>
            <w:tcMar>
              <w:top w:w="75" w:type="dxa"/>
              <w:left w:w="90" w:type="dxa"/>
              <w:bottom w:w="75" w:type="dxa"/>
              <w:right w:w="90" w:type="dxa"/>
            </w:tcMar>
            <w:hideMark/>
          </w:tcPr>
          <w:p w14:paraId="0114B5B3" w14:textId="77777777" w:rsidR="00DB1352" w:rsidRPr="00D2383C" w:rsidRDefault="00DB1352">
            <w:pPr>
              <w:spacing w:before="150" w:after="240"/>
              <w:rPr>
                <w:rFonts w:ascii="Calibri" w:eastAsia="Times New Roman" w:hAnsi="Calibri" w:cs="Segoe UI"/>
                <w:b/>
                <w:bCs/>
                <w:color w:val="FFFFFF"/>
                <w:sz w:val="19"/>
                <w:szCs w:val="19"/>
              </w:rPr>
            </w:pPr>
            <w:r w:rsidRPr="00D2383C">
              <w:rPr>
                <w:rFonts w:ascii="Calibri" w:eastAsia="Times New Roman" w:hAnsi="Calibri" w:cs="Segoe UI"/>
                <w:b/>
                <w:bCs/>
                <w:color w:val="FFFFFF"/>
                <w:sz w:val="19"/>
                <w:szCs w:val="19"/>
              </w:rPr>
              <w:t>Responsibility</w:t>
            </w:r>
          </w:p>
        </w:tc>
      </w:tr>
      <w:tr w:rsidR="005E6CC0" w:rsidRPr="00D2383C" w14:paraId="65C5E31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725FCA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ParentLookupController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75A1E4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7488FEA"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Guardian reference lists.</w:t>
            </w:r>
          </w:p>
        </w:tc>
      </w:tr>
      <w:tr w:rsidR="005E6CC0" w:rsidRPr="00D2383C" w14:paraId="1A2F6626"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1EF091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ChildPayment2Controller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A3D64F1"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13 / 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0564F5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Reference lists; phone duplicate check.</w:t>
            </w:r>
          </w:p>
        </w:tc>
      </w:tr>
      <w:tr w:rsidR="005E6CC0" w:rsidRPr="00D2383C" w14:paraId="311D9AF5"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61FC9C"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JobController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E24B8A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23 / 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CC993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Job catalogue; not-received, stopped and other-sponsor reports.</w:t>
            </w:r>
          </w:p>
        </w:tc>
      </w:tr>
      <w:tr w:rsidR="005E6CC0" w:rsidRPr="00D2383C" w14:paraId="22C4FE77"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7CE7EA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CountryController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7DD716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24 / 15</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553969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Countries and banks; received-payment detail.</w:t>
            </w:r>
          </w:p>
        </w:tc>
      </w:tr>
      <w:tr w:rsidR="005E6CC0" w:rsidRPr="00D2383C" w14:paraId="60D97D2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A62EC6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RegionController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013143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6FB46D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Regions and centres.</w:t>
            </w:r>
          </w:p>
        </w:tc>
      </w:tr>
      <w:tr w:rsidR="005E6CC0" w:rsidRPr="00D2383C" w14:paraId="6661009D"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12A3DD60"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LookupController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3705DE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8D033D2"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Generic reference lists, refusal reasons, housing buildings and flats.</w:t>
            </w:r>
          </w:p>
        </w:tc>
      </w:tr>
      <w:tr w:rsidR="005E6CC0" w:rsidRPr="00D2383C" w14:paraId="2515D582"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26174A8"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GeneralReasonsController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FC520E7"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288C2FE3"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Reason catalogue.</w:t>
            </w:r>
          </w:p>
        </w:tc>
      </w:tr>
      <w:tr w:rsidR="005E6CC0" w:rsidRPr="00D2383C" w14:paraId="40FC937B"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51AC9EF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ValidationController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665C23AE"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77D1A6E5"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Country validation rules; national-ID uniqueness.</w:t>
            </w:r>
          </w:p>
        </w:tc>
      </w:tr>
      <w:tr w:rsidR="005E6CC0" w:rsidRPr="00D2383C" w14:paraId="4BEE4F7C" w14:textId="77777777">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34B2ABED"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FilesController</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457A7F8F"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Ch. 24</w:t>
            </w:r>
          </w:p>
        </w:tc>
        <w:tc>
          <w:tcPr>
            <w:tcW w:w="0" w:type="auto"/>
            <w:tcBorders>
              <w:top w:val="single" w:sz="6" w:space="0" w:color="B9C8C6"/>
              <w:left w:val="single" w:sz="6" w:space="0" w:color="B9C8C6"/>
              <w:bottom w:val="single" w:sz="6" w:space="0" w:color="B9C8C6"/>
              <w:right w:val="single" w:sz="6" w:space="0" w:color="B9C8C6"/>
            </w:tcBorders>
            <w:tcMar>
              <w:top w:w="60" w:type="dxa"/>
              <w:left w:w="90" w:type="dxa"/>
              <w:bottom w:w="60" w:type="dxa"/>
              <w:right w:w="90" w:type="dxa"/>
            </w:tcMar>
            <w:hideMark/>
          </w:tcPr>
          <w:p w14:paraId="077C7056" w14:textId="77777777" w:rsidR="00DB1352" w:rsidRPr="00D2383C" w:rsidRDefault="00DB1352">
            <w:pPr>
              <w:spacing w:before="150" w:after="240"/>
              <w:rPr>
                <w:rFonts w:ascii="Calibri" w:eastAsia="Times New Roman" w:hAnsi="Calibri" w:cs="Segoe UI"/>
                <w:color w:val="1A1A1A"/>
                <w:sz w:val="19"/>
                <w:szCs w:val="19"/>
              </w:rPr>
            </w:pPr>
            <w:r w:rsidRPr="00D2383C">
              <w:rPr>
                <w:rFonts w:ascii="Calibri" w:eastAsia="Times New Roman" w:hAnsi="Calibri" w:cs="Segoe UI"/>
                <w:color w:val="1A1A1A"/>
                <w:sz w:val="19"/>
                <w:szCs w:val="19"/>
              </w:rPr>
              <w:t>Attachment upload and download.</w:t>
            </w:r>
          </w:p>
        </w:tc>
      </w:tr>
    </w:tbl>
    <w:p>
      <w:pPr>
        <w:pStyle w:val="NormalWeb"/>
        <w:rPr>
          <w:rFonts w:ascii="Calibri" w:hAnsi="Calibri"/>
        </w:rPr>
      </w:pPr>
      <w:r w:rsidRPr="00D2383C">
        <w:rPr>
          <w:rStyle w:val="ar1"/>
          <w:rFonts w:ascii="Calibri" w:hAnsi="Calibri"/>
          <w:rtl w:val="0"/>
        </w:rPr>
        <w:t xml:space="preserve">Shared context - system architecture, actors and roles, the sponsorship lifecycle, the full module map and all appendices - is in the companion document 00-Overview-and-Common-Context. The delivery backlog for this module is epic EP-19 in 00-EPICS-and-User-Stories.</w:t>
      </w:r>
    </w:p>
    <w:sectPr w:rsidR="00DB1352" w:rsidRPr="00D2383C" w:rsidSect="00D2383C">
      <w:headerReference w:type="even" r:id="rId7"/>
      <w:headerReference w:type="default" r:id="rId8"/>
      <w:footerReference w:type="even" r:id="rId9"/>
      <w:footerReference w:type="default" r:id="rId10"/>
      <w:headerReference w:type="first" r:id="rId11"/>
      <w:footerReference w:type="first" r:id="rId12"/>
      <w:pgSz w:w="12240" w:h="15840"/>
      <w:pgMar w:top="1000" w:right="900" w:bottom="100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15DB2" w14:textId="77777777" w:rsidR="001B20A2" w:rsidRDefault="001B20A2" w:rsidP="00D2383C">
      <w:r>
        <w:separator/>
      </w:r>
    </w:p>
  </w:endnote>
  <w:endnote w:type="continuationSeparator" w:id="0">
    <w:p w14:paraId="2F202D74" w14:textId="77777777" w:rsidR="001B20A2" w:rsidRDefault="001B20A2" w:rsidP="00D23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2483E" w14:textId="77777777" w:rsidR="00D2383C" w:rsidRDefault="00D238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880B0" w14:textId="2636972B" w:rsidR="00D2383C" w:rsidRDefault="00D2383C" w:rsidP="00D2383C">
    <w:pPr>
      <w:pStyle w:val="Footer"/>
      <w:jc w:val="center"/>
    </w:pPr>
    <w:r>
      <w:t>WAR.IIROSA — Project Documentation</w:t>
    </w:r>
    <w:r>
      <w:tab/>
      <w:t xml:space="preserve">Page </w:t>
    </w:r>
    <w:r>
      <w:fldChar w:fldCharType="begin"/>
    </w:r>
    <w:r>
      <w:instrText xml:space="preserve"> PAGE  \* MERGEFORMAT </w:instrText>
    </w:r>
    <w:r>
      <w:fldChar w:fldCharType="separate"/>
    </w:r>
    <w:r>
      <w:rPr>
        <w:noProof/>
      </w:rPr>
      <w:t>97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54A50" w14:textId="77777777" w:rsidR="00D2383C" w:rsidRDefault="00D23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B413A" w14:textId="77777777" w:rsidR="001B20A2" w:rsidRDefault="001B20A2" w:rsidP="00D2383C">
      <w:r>
        <w:separator/>
      </w:r>
    </w:p>
  </w:footnote>
  <w:footnote w:type="continuationSeparator" w:id="0">
    <w:p w14:paraId="6427D8B8" w14:textId="77777777" w:rsidR="001B20A2" w:rsidRDefault="001B20A2" w:rsidP="00D238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3C7FA" w14:textId="77777777" w:rsidR="00D2383C" w:rsidRDefault="00D238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0D79" w14:textId="77777777" w:rsidR="00D2383C" w:rsidRDefault="00D238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8C59" w14:textId="77777777" w:rsidR="00D2383C" w:rsidRDefault="00D238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56A52"/>
    <w:multiLevelType w:val="multilevel"/>
    <w:tmpl w:val="C2B6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700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83C"/>
    <w:rsid w:val="00153679"/>
    <w:rsid w:val="001B20A2"/>
    <w:rsid w:val="00302B75"/>
    <w:rsid w:val="005E6CC0"/>
    <w:rsid w:val="00712E8F"/>
    <w:rsid w:val="00D2383C"/>
    <w:rsid w:val="00DB13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07EF99"/>
  <w15:chartTrackingRefBased/>
  <w15:docId w15:val="{89E63B24-DC45-49D0-A08E-D43B8B9DA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pBdr>
        <w:bottom w:val="single" w:sz="18" w:space="5" w:color="14524B"/>
      </w:pBdr>
      <w:spacing w:before="100" w:beforeAutospacing="1" w:after="100" w:afterAutospacing="1"/>
      <w:outlineLvl w:val="0"/>
    </w:pPr>
    <w:rPr>
      <w:b/>
      <w:bCs/>
      <w:color w:val="14524B"/>
      <w:kern w:val="36"/>
      <w:sz w:val="44"/>
      <w:szCs w:val="44"/>
    </w:rPr>
  </w:style>
  <w:style w:type="paragraph" w:styleId="Heading2">
    <w:name w:val="heading 2"/>
    <w:basedOn w:val="Normal"/>
    <w:link w:val="Heading2Char"/>
    <w:uiPriority w:val="9"/>
    <w:qFormat/>
    <w:pPr>
      <w:spacing w:before="330" w:after="100" w:afterAutospacing="1"/>
      <w:outlineLvl w:val="1"/>
    </w:pPr>
    <w:rPr>
      <w:b/>
      <w:bCs/>
      <w:color w:val="14524B"/>
      <w:sz w:val="30"/>
      <w:szCs w:val="30"/>
    </w:rPr>
  </w:style>
  <w:style w:type="paragraph" w:styleId="Heading3">
    <w:name w:val="heading 3"/>
    <w:basedOn w:val="Normal"/>
    <w:link w:val="Heading3Char"/>
    <w:uiPriority w:val="9"/>
    <w:qFormat/>
    <w:pPr>
      <w:spacing w:before="240" w:after="100" w:afterAutospacing="1"/>
      <w:outlineLvl w:val="2"/>
    </w:pPr>
    <w:rPr>
      <w:b/>
      <w:bCs/>
      <w:color w:val="2C6E66"/>
      <w:sz w:val="25"/>
      <w:szCs w:val="25"/>
    </w:rPr>
  </w:style>
  <w:style w:type="paragraph" w:styleId="Heading4">
    <w:name w:val="heading 4"/>
    <w:basedOn w:val="Normal"/>
    <w:link w:val="Heading4Char"/>
    <w:uiPriority w:val="9"/>
    <w:qFormat/>
    <w:pPr>
      <w:spacing w:before="180" w:after="100" w:afterAutospacing="1"/>
      <w:outlineLvl w:val="3"/>
    </w:pPr>
    <w:rPr>
      <w:b/>
      <w:bCs/>
      <w:color w:val="333333"/>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EEF3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ar">
    <w:name w:val="ar"/>
    <w:basedOn w:val="Normal"/>
    <w:pPr>
      <w:bidi/>
      <w:spacing w:before="100" w:beforeAutospacing="1" w:after="100" w:afterAutospacing="1"/>
    </w:pPr>
    <w:rPr>
      <w:rFonts w:ascii="Traditional Arabic" w:hAnsi="Traditional Arabic" w:cs="Traditional Arabic"/>
    </w:rPr>
  </w:style>
  <w:style w:type="paragraph" w:customStyle="1" w:styleId="cover">
    <w:name w:val="cover"/>
    <w:basedOn w:val="Normal"/>
    <w:pPr>
      <w:spacing w:before="1800" w:after="100" w:afterAutospacing="1"/>
      <w:jc w:val="center"/>
    </w:pPr>
  </w:style>
  <w:style w:type="paragraph" w:customStyle="1" w:styleId="note">
    <w:name w:val="note"/>
    <w:basedOn w:val="Normal"/>
    <w:pPr>
      <w:pBdr>
        <w:left w:val="single" w:sz="24" w:space="9" w:color="C8892A"/>
      </w:pBdr>
      <w:shd w:val="clear" w:color="auto" w:fill="FDF6EA"/>
      <w:spacing w:before="180" w:after="180"/>
    </w:pPr>
  </w:style>
  <w:style w:type="paragraph" w:styleId="NormalWeb">
    <w:name w:val="Normal (Web)"/>
    <w:basedOn w:val="Normal"/>
    <w:uiPriority w:val="99"/>
    <w:semiHidden/>
    <w:unhideWhenUsed/>
    <w:pPr>
      <w:spacing w:before="100" w:beforeAutospacing="1" w:after="100" w:afterAutospacing="1"/>
    </w:pPr>
  </w:style>
  <w:style w:type="character" w:customStyle="1" w:styleId="ar1">
    <w:name w:val="ar1"/>
    <w:basedOn w:val="DefaultParagraphFont"/>
    <w:rPr>
      <w:rFonts w:ascii="Traditional Arabic" w:hAnsi="Traditional Arabic" w:cs="Traditional Arabic" w:hint="default"/>
      <w:rtl/>
    </w:rPr>
  </w:style>
  <w:style w:type="paragraph" w:styleId="TOC1">
    <w:name w:val="toc 1"/>
    <w:basedOn w:val="Normal"/>
    <w:next w:val="Normal"/>
    <w:autoRedefine/>
    <w:uiPriority w:val="39"/>
    <w:unhideWhenUsed/>
    <w:rsid w:val="00D2383C"/>
    <w:pPr>
      <w:spacing w:after="100"/>
    </w:pPr>
  </w:style>
  <w:style w:type="paragraph" w:styleId="TOC2">
    <w:name w:val="toc 2"/>
    <w:basedOn w:val="Normal"/>
    <w:next w:val="Normal"/>
    <w:autoRedefine/>
    <w:uiPriority w:val="39"/>
    <w:unhideWhenUsed/>
    <w:rsid w:val="00D2383C"/>
    <w:pPr>
      <w:spacing w:after="100"/>
      <w:ind w:left="240"/>
    </w:pPr>
  </w:style>
  <w:style w:type="paragraph" w:styleId="Header">
    <w:name w:val="header"/>
    <w:basedOn w:val="Normal"/>
    <w:link w:val="HeaderChar"/>
    <w:uiPriority w:val="99"/>
    <w:unhideWhenUsed/>
    <w:rsid w:val="00D2383C"/>
    <w:pPr>
      <w:tabs>
        <w:tab w:val="center" w:pos="4680"/>
        <w:tab w:val="right" w:pos="9360"/>
      </w:tabs>
    </w:pPr>
  </w:style>
  <w:style w:type="character" w:customStyle="1" w:styleId="HeaderChar">
    <w:name w:val="Header Char"/>
    <w:basedOn w:val="DefaultParagraphFont"/>
    <w:link w:val="Header"/>
    <w:uiPriority w:val="99"/>
    <w:rsid w:val="00D2383C"/>
    <w:rPr>
      <w:rFonts w:eastAsiaTheme="minorEastAsia"/>
      <w:sz w:val="24"/>
      <w:szCs w:val="24"/>
    </w:rPr>
  </w:style>
  <w:style w:type="paragraph" w:styleId="Footer">
    <w:name w:val="footer"/>
    <w:basedOn w:val="Normal"/>
    <w:link w:val="FooterChar"/>
    <w:uiPriority w:val="99"/>
    <w:unhideWhenUsed/>
    <w:rsid w:val="00D2383C"/>
    <w:pPr>
      <w:tabs>
        <w:tab w:val="center" w:pos="4680"/>
        <w:tab w:val="right" w:pos="9360"/>
      </w:tabs>
    </w:pPr>
  </w:style>
  <w:style w:type="character" w:customStyle="1" w:styleId="FooterChar">
    <w:name w:val="Footer Char"/>
    <w:basedOn w:val="DefaultParagraphFont"/>
    <w:link w:val="Footer"/>
    <w:uiPriority w:val="99"/>
    <w:rsid w:val="00D2383C"/>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97398">
      <w:marLeft w:val="0"/>
      <w:marRight w:val="0"/>
      <w:marTop w:val="1800"/>
      <w:marBottom w:val="0"/>
      <w:divBdr>
        <w:top w:val="none" w:sz="0" w:space="0" w:color="auto"/>
        <w:left w:val="none" w:sz="0" w:space="0" w:color="auto"/>
        <w:bottom w:val="none" w:sz="0" w:space="0" w:color="auto"/>
        <w:right w:val="none" w:sz="0" w:space="0" w:color="auto"/>
      </w:divBdr>
    </w:div>
    <w:div w:id="2118987741">
      <w:marLeft w:val="0"/>
      <w:marRight w:val="0"/>
      <w:marTop w:val="180"/>
      <w:marBottom w:val="180"/>
      <w:divBdr>
        <w:top w:val="none" w:sz="0" w:space="0" w:color="auto"/>
        <w:left w:val="single" w:sz="24" w:space="9" w:color="C8892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19412</Words>
  <Characters>110649</Characters>
  <Application>Microsoft Office Word</Application>
  <DocSecurity>0</DocSecurity>
  <Lines>922</Lines>
  <Paragraphs>259</Paragraphs>
  <ScaleCrop>false</ScaleCrop>
  <Company/>
  <LinksUpToDate>false</LinksUpToDate>
  <CharactersWithSpaces>129802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WAR.IIROSA Project Documentation</dc:title>
  <dc:subject/>
  <dc:creator>Osama Abdelaziz</dc:creator>
  <cp:keywords/>
  <dc:description/>
  <cp:lastModifiedBy>Osama Abdelaziz</cp:lastModifiedBy>
  <cp:revision>3</cp:revision>
  <dcterms:created xsi:type="dcterms:W3CDTF">2026-08-18T06:52:00Z</dcterms:created>
  <dcterms:modified xsi:type="dcterms:W3CDTF">2026-08-18T06:53:00Z</dcterms:modified>
</cp:coreProperties>
</file>