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c46470313f0e30fc4490f34b8bec53e9a6d5589"/>
    <w:p>
      <w:pPr>
        <w:pStyle w:val="Heading1"/>
      </w:pPr>
      <w:r>
        <w:t xml:space="preserve">تحليل سوقي وتقني لخدمة Invoice2E لتحويل الفواتير إلى فواتير إلكترونية في أوروبا</w:t>
      </w:r>
    </w:p>
    <w:bookmarkStart w:id="31" w:name="ملخص-تنفيذي"/>
    <w:p>
      <w:pPr>
        <w:pStyle w:val="Heading2"/>
      </w:pPr>
      <w:r>
        <w:t xml:space="preserve">ملخص تنفيذي</w:t>
      </w:r>
    </w:p>
    <w:p>
      <w:pPr>
        <w:pStyle w:val="FirstParagraph"/>
      </w:pPr>
      <w:r>
        <w:t xml:space="preserve">تعمل Invoice2E حالياً كخدمة تحويل «فواتير تقليدية» (PDF/JPG/PNG) إلى ملف فاتورة إلكترونية بصيغة XML متوافق مع معيار ألمانيا</w:t>
      </w:r>
      <w:r>
        <w:t xml:space="preserve"> </w:t>
      </w:r>
      <w:r>
        <w:rPr>
          <w:b/>
          <w:bCs/>
        </w:rPr>
        <w:t xml:space="preserve">XRechnung</w:t>
      </w:r>
      <w:r>
        <w:t xml:space="preserve">، مع استخراج بيانات الفاتورة بالذكاء الاصطناعي (مذكور في الموقع أنه “Gemini AI”) وإتاحة تنزيل ملف XML “مُتحقَّق من صحته” وفق المعايير الرسمية.</w:t>
      </w:r>
      <w:r>
        <w:t xml:space="preserve"> </w:t>
      </w:r>
      <w:hyperlink r:id="rId21">
        <w:r>
          <w:rPr>
            <w:rStyle w:val="Hyperlink"/>
          </w:rPr>
          <w:t xml:space="preserve">[1]</w:t>
        </w:r>
      </w:hyperlink>
    </w:p>
    <w:p>
      <w:pPr>
        <w:pStyle w:val="BodyText"/>
      </w:pPr>
      <w:r>
        <w:t xml:space="preserve">سوق الفوترة الإلكترونية الأوروبي يتجه نحو نمو “مدفوع بالتشريعات” أكثر من كونه خياراً تقنياً، مع توسع متسارع في الإلزام على مستوى</w:t>
      </w:r>
      <w:r>
        <w:t xml:space="preserve"> </w:t>
      </w:r>
      <w:r>
        <w:rPr>
          <w:b/>
          <w:bCs/>
        </w:rPr>
        <w:t xml:space="preserve">B2B</w:t>
      </w:r>
      <w:r>
        <w:t xml:space="preserve"> </w:t>
      </w:r>
      <w:r>
        <w:t xml:space="preserve">في دول عدة. في ألمانيا، بدأ تطبيق إلزام الفاتورة الإلكترونية في تعاملات B2B المحلية اعتباراً من 1 يناير 2025 مع فترات انتقالية حتى 2026/2027 بحسب حجم المورّد، مع تمييز واضح بين “فاتورة إلكترونية مُهيكلة” وبين PDF عادي.</w:t>
      </w:r>
      <w:r>
        <w:t xml:space="preserve"> </w:t>
      </w:r>
      <w:hyperlink r:id="rId22">
        <w:r>
          <w:rPr>
            <w:rStyle w:val="Hyperlink"/>
          </w:rPr>
          <w:t xml:space="preserve">[2]</w:t>
        </w:r>
      </w:hyperlink>
      <w:r>
        <w:t xml:space="preserve"> </w:t>
      </w:r>
      <w:r>
        <w:t xml:space="preserve">وفي بلجيكا يبدأ الإلزام على B2B من 1 يناير 2026 مع اشتراط الإرسال عبر شبكة</w:t>
      </w:r>
      <w:r>
        <w:t xml:space="preserve"> </w:t>
      </w:r>
      <w:r>
        <w:rPr>
          <w:b/>
          <w:bCs/>
        </w:rPr>
        <w:t xml:space="preserve">Peppol</w:t>
      </w:r>
      <w:r>
        <w:t xml:space="preserve"> </w:t>
      </w:r>
      <w:r>
        <w:t xml:space="preserve">وبصيغة Peppol BIS كمرجع.</w:t>
      </w:r>
      <w:r>
        <w:t xml:space="preserve"> </w:t>
      </w:r>
      <w:hyperlink r:id="rId23">
        <w:r>
          <w:rPr>
            <w:rStyle w:val="Hyperlink"/>
          </w:rPr>
          <w:t xml:space="preserve">[3]</w:t>
        </w:r>
      </w:hyperlink>
      <w:r>
        <w:t xml:space="preserve"> </w:t>
      </w:r>
      <w:r>
        <w:t xml:space="preserve">وفي فرنسا تم اعتماد جدول 2026–2027: استقبال إلزامي للجميع في سبتمبر 2026، وإصدار إلزامي للشركات الكبيرة/المتوسطة في 2026 ثم الشركات الصغيرة/المايكرو في 2027، عبر منصات “معتمدة/مُسجَّلة” لدى الدولة.</w:t>
      </w:r>
      <w:r>
        <w:t xml:space="preserve"> </w:t>
      </w:r>
      <w:hyperlink r:id="rId24">
        <w:r>
          <w:rPr>
            <w:rStyle w:val="Hyperlink"/>
          </w:rPr>
          <w:t xml:space="preserve">[4]</w:t>
        </w:r>
      </w:hyperlink>
      <w:r>
        <w:t xml:space="preserve"> </w:t>
      </w:r>
      <w:r>
        <w:t xml:space="preserve">وفي بولندا جرى تثبيت الإلزام عبر منصة</w:t>
      </w:r>
      <w:r>
        <w:t xml:space="preserve"> </w:t>
      </w:r>
      <w:r>
        <w:rPr>
          <w:b/>
          <w:bCs/>
        </w:rPr>
        <w:t xml:space="preserve">KSeF</w:t>
      </w:r>
      <w:r>
        <w:t xml:space="preserve"> </w:t>
      </w:r>
      <w:r>
        <w:t xml:space="preserve">ببدء مرحلي في 2026.</w:t>
      </w:r>
      <w:r>
        <w:t xml:space="preserve"> </w:t>
      </w:r>
      <w:hyperlink r:id="rId25">
        <w:r>
          <w:rPr>
            <w:rStyle w:val="Hyperlink"/>
          </w:rPr>
          <w:t xml:space="preserve">[5]</w:t>
        </w:r>
      </w:hyperlink>
      <w:r>
        <w:t xml:space="preserve"> </w:t>
      </w:r>
      <w:r>
        <w:t xml:space="preserve">وفي رومانيا أصبح الإلزام B2B سارياً من 2024 مع متطلبات إرسال خلال 5 أيام إلى منصة RO e-Factura.</w:t>
      </w:r>
      <w:r>
        <w:t xml:space="preserve"> </w:t>
      </w:r>
      <w:hyperlink r:id="rId26">
        <w:r>
          <w:rPr>
            <w:rStyle w:val="Hyperlink"/>
          </w:rPr>
          <w:t xml:space="preserve">[6]</w:t>
        </w:r>
      </w:hyperlink>
    </w:p>
    <w:p>
      <w:pPr>
        <w:pStyle w:val="BodyText"/>
      </w:pPr>
      <w:r>
        <w:t xml:space="preserve">على مستوى الاتحاد الأوروبي، تبقى</w:t>
      </w:r>
      <w:r>
        <w:t xml:space="preserve"> </w:t>
      </w:r>
      <w:r>
        <w:rPr>
          <w:b/>
          <w:bCs/>
        </w:rPr>
        <w:t xml:space="preserve">Directive 2014/55/EU</w:t>
      </w:r>
      <w:r>
        <w:t xml:space="preserve"> </w:t>
      </w:r>
      <w:r>
        <w:t xml:space="preserve">حجر الأساس في</w:t>
      </w:r>
      <w:r>
        <w:t xml:space="preserve"> </w:t>
      </w:r>
      <w:r>
        <w:rPr>
          <w:b/>
          <w:bCs/>
        </w:rPr>
        <w:t xml:space="preserve">B2G</w:t>
      </w:r>
      <w:r>
        <w:t xml:space="preserve">: فهي تُلزم الجهات العامة باستلام ومعالجة فواتير إلكترونية متوافقة مع المعيار الأوروبي وبأي “Syntax” على القائمة المنشورة.</w:t>
      </w:r>
      <w:r>
        <w:t xml:space="preserve"> </w:t>
      </w:r>
      <w:hyperlink r:id="rId27">
        <w:r>
          <w:rPr>
            <w:rStyle w:val="Hyperlink"/>
          </w:rPr>
          <w:t xml:space="preserve">[7]</w:t>
        </w:r>
      </w:hyperlink>
      <w:r>
        <w:t xml:space="preserve"> </w:t>
      </w:r>
      <w:r>
        <w:t xml:space="preserve">تقنياً، الإطار الأوروبي يحدد أن المعيار الدلالي</w:t>
      </w:r>
      <w:r>
        <w:t xml:space="preserve"> </w:t>
      </w:r>
      <w:r>
        <w:rPr>
          <w:b/>
          <w:bCs/>
        </w:rPr>
        <w:t xml:space="preserve">EN 16931</w:t>
      </w:r>
      <w:r>
        <w:t xml:space="preserve"> </w:t>
      </w:r>
      <w:r>
        <w:t xml:space="preserve">يجب أن يُحمَل ضمن إحدى صيغتي الرسائل (Syntax) المتوافقتين:</w:t>
      </w:r>
      <w:r>
        <w:t xml:space="preserve"> </w:t>
      </w:r>
      <w:r>
        <w:rPr>
          <w:b/>
          <w:bCs/>
        </w:rPr>
        <w:t xml:space="preserve">UBL 2.1</w:t>
      </w:r>
      <w:r>
        <w:t xml:space="preserve"> </w:t>
      </w:r>
      <w:r>
        <w:t xml:space="preserve">و</w:t>
      </w:r>
      <w:r>
        <w:t xml:space="preserve"> </w:t>
      </w:r>
      <w:r>
        <w:rPr>
          <w:b/>
          <w:bCs/>
        </w:rPr>
        <w:t xml:space="preserve">UN/CEFACT CII (D16B)</w:t>
      </w:r>
      <w:r>
        <w:t xml:space="preserve">؛ وهذا ما يجعل “التحويل إلى XML” عملياً مشروع “تحويل إلى أحد هذين الـSyntax + الالتزام بقواعد الدلالة والسياق الوطني (CIUS)”.</w:t>
      </w:r>
      <w:r>
        <w:t xml:space="preserve"> </w:t>
      </w:r>
      <w:hyperlink r:id="rId28">
        <w:r>
          <w:rPr>
            <w:rStyle w:val="Hyperlink"/>
          </w:rPr>
          <w:t xml:space="preserve">[8]</w:t>
        </w:r>
      </w:hyperlink>
    </w:p>
    <w:p>
      <w:pPr>
        <w:pStyle w:val="BodyText"/>
      </w:pPr>
      <w:r>
        <w:t xml:space="preserve">تشريع “VAT in the Digital Age – ViDA” أصبح عاملاً مُسرّعاً: حسب إعلان المفوضية، تم اعتماد الحزمة في مارس 2025 وستتدرّج حتى 2035، مع بدء متطلبات التقارير الرقمية للعمليات عبر الحدود (cross‑border B2B) في يوليو 2030، ومع السماح للدول بإدخال إلزام e‑invoicing محلياً ضمن شروط محددة.</w:t>
      </w:r>
      <w:r>
        <w:t xml:space="preserve"> </w:t>
      </w:r>
      <w:hyperlink r:id="rId29">
        <w:r>
          <w:rPr>
            <w:rStyle w:val="Hyperlink"/>
          </w:rPr>
          <w:t xml:space="preserve">[9]</w:t>
        </w:r>
      </w:hyperlink>
      <w:r>
        <w:t xml:space="preserve"> </w:t>
      </w:r>
      <w:r>
        <w:t xml:space="preserve">هذا يعني أن نافذة الفرصة أمام Invoice2E في أوروبا ليست فقط “تحويل PDF إلى XRechnung”، بل بناء منصة تحويل/تحقق/تكامل متعددة الدول تُغطي طبقات:</w:t>
      </w:r>
      <w:r>
        <w:t xml:space="preserve"> </w:t>
      </w:r>
      <w:r>
        <w:rPr>
          <w:b/>
          <w:bCs/>
        </w:rPr>
        <w:t xml:space="preserve">EN 16931 + CIUS محلي + شبكة تبادل (Peppol أو منصات CTC الحكومية) + واجهات API</w:t>
      </w:r>
      <w:r>
        <w:t xml:space="preserve">.</w:t>
      </w:r>
      <w:r>
        <w:t xml:space="preserve"> </w:t>
      </w:r>
      <w:hyperlink r:id="rId28">
        <w:r>
          <w:rPr>
            <w:rStyle w:val="Hyperlink"/>
          </w:rPr>
          <w:t xml:space="preserve">[10]</w:t>
        </w:r>
      </w:hyperlink>
    </w:p>
    <w:p>
      <w:pPr>
        <w:pStyle w:val="BodyText"/>
      </w:pPr>
      <w:r>
        <w:t xml:space="preserve">تنافسياً، المشهد الأوروبي يتوزع إلى ثلاث فئات: (1) مزودو شبكات/امتثال e‑invoicing (Basware، ecosio، EDICOM، Pagero…)، (2) مزودو “التقاط الفواتير” OCR/IDP (Rossum، Hypatos، Klippa…)، (3) منصات محاسبة/ERP التي تضيف Peppol وامتثالاً محلياً (Odoo، DATEV، SAP…).</w:t>
      </w:r>
      <w:r>
        <w:t xml:space="preserve"> </w:t>
      </w:r>
      <w:hyperlink r:id="rId30">
        <w:r>
          <w:rPr>
            <w:rStyle w:val="Hyperlink"/>
          </w:rPr>
          <w:t xml:space="preserve">[11]</w:t>
        </w:r>
      </w:hyperlink>
      <w:r>
        <w:t xml:space="preserve"> </w:t>
      </w:r>
      <w:r>
        <w:t xml:space="preserve">بناءً على ذلك، نقطة التمايز الواقعية لـInvoice2E ينبغي أن تركز على:</w:t>
      </w:r>
      <w:r>
        <w:t xml:space="preserve"> </w:t>
      </w:r>
      <w:r>
        <w:rPr>
          <w:b/>
          <w:bCs/>
        </w:rPr>
        <w:t xml:space="preserve">سرعة التحويل + جودة المطابقة إلى EN16931/CIUS + تحقق صارم + سهولة التكامل (API) + استضافة/حوكمة بيانات داخل أوروبا</w:t>
      </w:r>
      <w:r>
        <w:t xml:space="preserve">، بدلاً من منافسة “شبكات الامتثال الشاملة” من اليوم الأول.</w:t>
      </w:r>
    </w:p>
    <w:p>
      <w:r>
        <w:pict>
          <v:rect style="width:0;height:1.5pt" o:hralign="center" o:hrstd="t" o:hr="t"/>
        </w:pict>
      </w:r>
    </w:p>
    <w:bookmarkEnd w:id="31"/>
    <w:bookmarkStart w:id="36" w:name="X8c0abb8df3d31059f56b48796e3c496dbfd43d9"/>
    <w:p>
      <w:pPr>
        <w:pStyle w:val="Heading2"/>
      </w:pPr>
      <w:r>
        <w:t xml:space="preserve">نظرة على السوق الأوروبي واتجاهاته المستقبلية</w:t>
      </w:r>
    </w:p>
    <w:p>
      <w:pPr>
        <w:pStyle w:val="FirstParagraph"/>
      </w:pPr>
      <w:r>
        <w:t xml:space="preserve">يتجه السوق الأوروبي من “قبول e‑invoicing في B2G” إلى “إلزام e‑invoicing في B2B”، مع اختلاف نموذج التنفيذ بين الدول (شبكات مفتوحة مثل Peppol مقابل منصات حكومية مركزية/CTC). يظهر ذلك بوضوح في ألمانيا (إلزام B2B 2025 مع انتقالية) وبلجيكا (إلزام B2B 2026 عبر Peppol) وفرنسا (2026–2027 عبر منصات معتمدة) وبولندا (2026 عبر KSeF) ورومانيا (إلزام 2024 عبر RO e‑Factura).</w:t>
      </w:r>
      <w:r>
        <w:t xml:space="preserve"> </w:t>
      </w:r>
      <w:hyperlink r:id="rId22">
        <w:r>
          <w:rPr>
            <w:rStyle w:val="Hyperlink"/>
          </w:rPr>
          <w:t xml:space="preserve">[12]</w:t>
        </w:r>
      </w:hyperlink>
    </w:p>
    <w:p>
      <w:pPr>
        <w:pStyle w:val="BodyText"/>
      </w:pPr>
      <w:r>
        <w:t xml:space="preserve">على مستوى الاتحاد الأوروبي، تُعرّف المفوضية الفاتورة الإلكترونية بأنها وثيقة “مُصدَرة/مُرسلة/مُستلمة” بصيغة بيانات مُهيكلة تسمح بالمعالجة الآلية، وهو تعريف مرتبط بإطار Directive 2014/55/EU.</w:t>
      </w:r>
      <w:r>
        <w:t xml:space="preserve"> </w:t>
      </w:r>
      <w:hyperlink r:id="rId32">
        <w:r>
          <w:rPr>
            <w:rStyle w:val="Hyperlink"/>
          </w:rPr>
          <w:t xml:space="preserve">[13]</w:t>
        </w:r>
      </w:hyperlink>
      <w:r>
        <w:t xml:space="preserve"> </w:t>
      </w:r>
      <w:r>
        <w:t xml:space="preserve">وتؤكد المفوضية مزايا اقتصادية مباشرة: خفض الأعمال اليدوية وإدخال البيانات، تقليل الأخطاء، وتوفير تكاليف الطباعة والأرشفة والموارد البشرية.</w:t>
      </w:r>
      <w:r>
        <w:t xml:space="preserve"> </w:t>
      </w:r>
      <w:hyperlink r:id="rId33">
        <w:r>
          <w:rPr>
            <w:rStyle w:val="Hyperlink"/>
          </w:rPr>
          <w:t xml:space="preserve">[14]</w:t>
        </w:r>
      </w:hyperlink>
      <w:r>
        <w:t xml:space="preserve"> </w:t>
      </w:r>
      <w:r>
        <w:t xml:space="preserve">هذه المنافع تتحول إلى “ضرورة تشغيلية” عندما يصبح رفض الفواتير غير المتوافقة أمراً شائعاً (مثلاً: فرنسا تذكر صراحة أن PDF العادي لن يكون متوافقاً مع التنظيم عند بدء الإصلاح).</w:t>
      </w:r>
      <w:r>
        <w:t xml:space="preserve"> </w:t>
      </w:r>
      <w:hyperlink r:id="rId24">
        <w:r>
          <w:rPr>
            <w:rStyle w:val="Hyperlink"/>
          </w:rPr>
          <w:t xml:space="preserve">[15]</w:t>
        </w:r>
      </w:hyperlink>
    </w:p>
    <w:p>
      <w:pPr>
        <w:pStyle w:val="BodyText"/>
      </w:pPr>
      <w:r>
        <w:t xml:space="preserve">اتجاهات تقنية وتنظيمية مرجّحة في أوروبا حتى 2030 يمكن تلخيصها في أربعة محاور مترابطة:</w:t>
      </w:r>
    </w:p>
    <w:p>
      <w:pPr>
        <w:pStyle w:val="BodyText"/>
      </w:pPr>
      <w:r>
        <w:t xml:space="preserve">أولاً،</w:t>
      </w:r>
      <w:r>
        <w:t xml:space="preserve"> </w:t>
      </w:r>
      <w:r>
        <w:rPr>
          <w:b/>
          <w:bCs/>
        </w:rPr>
        <w:t xml:space="preserve">التقارب نحو EN 16931 وما حوله</w:t>
      </w:r>
      <w:r>
        <w:t xml:space="preserve">: المعيار يحدد الدلالة (Semantic model) بينما يفرض الواقع اختيار أحد الـSyntax (UBL أو CII) مع طبقات تقييد وطنية (CIUS).</w:t>
      </w:r>
      <w:r>
        <w:t xml:space="preserve"> </w:t>
      </w:r>
      <w:hyperlink r:id="rId28">
        <w:r>
          <w:rPr>
            <w:rStyle w:val="Hyperlink"/>
          </w:rPr>
          <w:t xml:space="preserve">[16]</w:t>
        </w:r>
      </w:hyperlink>
    </w:p>
    <w:p>
      <w:pPr>
        <w:pStyle w:val="BodyText"/>
      </w:pPr>
      <w:r>
        <w:t xml:space="preserve">ثانياً،</w:t>
      </w:r>
      <w:r>
        <w:t xml:space="preserve"> </w:t>
      </w:r>
      <w:r>
        <w:rPr>
          <w:b/>
          <w:bCs/>
        </w:rPr>
        <w:t xml:space="preserve">شبكات التبادل القابلة للتشغيل البيني</w:t>
      </w:r>
      <w:r>
        <w:t xml:space="preserve">: Peppol BIS Billing 3.0 يصرّح بأنه CIUS مبني على EN 16931، ويعمل ضمن منظومة “مزود/Access Point” مع قائمة مزودين معتمدين.</w:t>
      </w:r>
      <w:r>
        <w:t xml:space="preserve"> </w:t>
      </w:r>
      <w:hyperlink r:id="rId34">
        <w:r>
          <w:rPr>
            <w:rStyle w:val="Hyperlink"/>
          </w:rPr>
          <w:t xml:space="preserve">[17]</w:t>
        </w:r>
      </w:hyperlink>
    </w:p>
    <w:p>
      <w:pPr>
        <w:pStyle w:val="BodyText"/>
      </w:pPr>
      <w:r>
        <w:t xml:space="preserve">ثالثاً،</w:t>
      </w:r>
      <w:r>
        <w:t xml:space="preserve"> </w:t>
      </w:r>
      <w:r>
        <w:rPr>
          <w:b/>
          <w:bCs/>
        </w:rPr>
        <w:t xml:space="preserve">تدويل الفاتورة عبر PINT</w:t>
      </w:r>
      <w:r>
        <w:t xml:space="preserve">: Peppol يطوّر “Peppol International Invoice (PINT)” لتسهيل التوافق عبر الحدود من خلال نموذج بيانات يعرّف “نواة مشتركة” تُغطي قسماً كبيراً من محتوى الفواتير، مع طبقة “مواءمة” للضرائب عبر الولايات القضائية.</w:t>
      </w:r>
      <w:r>
        <w:t xml:space="preserve"> </w:t>
      </w:r>
      <w:hyperlink r:id="rId35">
        <w:r>
          <w:rPr>
            <w:rStyle w:val="Hyperlink"/>
          </w:rPr>
          <w:t xml:space="preserve">[18]</w:t>
        </w:r>
      </w:hyperlink>
    </w:p>
    <w:p>
      <w:pPr>
        <w:pStyle w:val="BodyText"/>
      </w:pPr>
      <w:r>
        <w:t xml:space="preserve">رابعاً،</w:t>
      </w:r>
      <w:r>
        <w:t xml:space="preserve"> </w:t>
      </w:r>
      <w:r>
        <w:rPr>
          <w:b/>
          <w:bCs/>
        </w:rPr>
        <w:t xml:space="preserve">التقارير الرقمية شبه الفورية (Digital Reporting) المرتبطة بالـVAT</w:t>
      </w:r>
      <w:r>
        <w:t xml:space="preserve">: ViDA يربط التقارير الرقمية للعمليات عبر الحدود بالـe‑invoicing بدءاً من 2030، مع هدف تقارب الأنظمة الوطنية تدريجياً.</w:t>
      </w:r>
      <w:r>
        <w:t xml:space="preserve"> </w:t>
      </w:r>
      <w:hyperlink r:id="rId29">
        <w:r>
          <w:rPr>
            <w:rStyle w:val="Hyperlink"/>
          </w:rPr>
          <w:t xml:space="preserve">[19]</w:t>
        </w:r>
      </w:hyperlink>
    </w:p>
    <w:p>
      <w:pPr>
        <w:pStyle w:val="BodyText"/>
      </w:pPr>
      <w:r>
        <w:t xml:space="preserve">بالنسبة لمنتج مثل Invoice2E، هذه الاتجاهات تعني أن “تحويل PDF/صورة إلى XML” يجب أن يتطور من ميزة تقنية مفردة إلى</w:t>
      </w:r>
      <w:r>
        <w:t xml:space="preserve"> </w:t>
      </w:r>
      <w:r>
        <w:rPr>
          <w:b/>
          <w:bCs/>
        </w:rPr>
        <w:t xml:space="preserve">سلسلة امتثال</w:t>
      </w:r>
      <w:r>
        <w:t xml:space="preserve"> </w:t>
      </w:r>
      <w:r>
        <w:t xml:space="preserve">تشمل: استخراج دقيق → تطبيع (Normalization) → توليد EN16931/CIUS → تحقق (Validation) → تسليم/تبادل (API/Peppol/منصات حكومية) → أثر تدقيقي (Audit trail).</w:t>
      </w:r>
      <w:r>
        <w:t xml:space="preserve"> </w:t>
      </w:r>
      <w:hyperlink r:id="rId28">
        <w:r>
          <w:rPr>
            <w:rStyle w:val="Hyperlink"/>
          </w:rPr>
          <w:t xml:space="preserve">[20]</w:t>
        </w:r>
      </w:hyperlink>
    </w:p>
    <w:p>
      <w:r>
        <w:pict>
          <v:rect style="width:0;height:1.5pt" o:hralign="center" o:hrstd="t" o:hr="t"/>
        </w:pict>
      </w:r>
    </w:p>
    <w:bookmarkEnd w:id="36"/>
    <w:bookmarkStart w:id="47" w:name="Xe35b0c099d7bc5de9a508be0cdcf5520f275584"/>
    <w:p>
      <w:pPr>
        <w:pStyle w:val="Heading2"/>
      </w:pPr>
      <w:r>
        <w:t xml:space="preserve">المعايير واللوائح التقنية والتنظيمية في أوروبا</w:t>
      </w:r>
    </w:p>
    <w:p>
      <w:pPr>
        <w:pStyle w:val="FirstParagraph"/>
      </w:pPr>
      <w:r>
        <w:t xml:space="preserve">الإطار الأوروبي الرسمي يبدأ من</w:t>
      </w:r>
      <w:r>
        <w:t xml:space="preserve"> </w:t>
      </w:r>
      <w:r>
        <w:rPr>
          <w:b/>
          <w:bCs/>
        </w:rPr>
        <w:t xml:space="preserve">Directive 2014/55/EU</w:t>
      </w:r>
      <w:r>
        <w:t xml:space="preserve"> </w:t>
      </w:r>
      <w:r>
        <w:t xml:space="preserve">الخاصة بالفوترة الإلكترونية في المشتريات العامة، حيث تُلزم الدول بضمان أن الجهات المتعاقدة تستلم وتعالج الفواتير الإلكترونية المتوافقة مع “المعيار الأوروبي” ومع أي Syntax ضمن القائمة المنشورة.</w:t>
      </w:r>
      <w:r>
        <w:t xml:space="preserve"> </w:t>
      </w:r>
      <w:hyperlink r:id="rId27">
        <w:r>
          <w:rPr>
            <w:rStyle w:val="Hyperlink"/>
          </w:rPr>
          <w:t xml:space="preserve">[7]</w:t>
        </w:r>
      </w:hyperlink>
      <w:r>
        <w:t xml:space="preserve"> </w:t>
      </w:r>
      <w:r>
        <w:t xml:space="preserve">ويظهر في نفس التوجيه تركيز على قابلية التشغيل البيني وتجنب تعدد المعايير غير المتوافقة بين الدول.</w:t>
      </w:r>
      <w:r>
        <w:t xml:space="preserve"> </w:t>
      </w:r>
      <w:hyperlink r:id="rId27">
        <w:r>
          <w:rPr>
            <w:rStyle w:val="Hyperlink"/>
          </w:rPr>
          <w:t xml:space="preserve">[21]</w:t>
        </w:r>
      </w:hyperlink>
    </w:p>
    <w:p>
      <w:pPr>
        <w:pStyle w:val="BodyText"/>
      </w:pPr>
      <w:r>
        <w:t xml:space="preserve">تقنياً، توضح المفوضية أن المعيار الدلالي لا يفرض شكل الرسالة (Syntax)، وأن القائمة “المتوافقة” تحصر عملياً التنفيذ في صيغتين:</w:t>
      </w:r>
      <w:r>
        <w:t xml:space="preserve"> </w:t>
      </w:r>
      <w:r>
        <w:rPr>
          <w:b/>
          <w:bCs/>
        </w:rPr>
        <w:t xml:space="preserve">UBL 2.1</w:t>
      </w:r>
      <w:r>
        <w:t xml:space="preserve"> </w:t>
      </w:r>
      <w:r>
        <w:t xml:space="preserve">و</w:t>
      </w:r>
      <w:r>
        <w:t xml:space="preserve"> </w:t>
      </w:r>
      <w:r>
        <w:rPr>
          <w:b/>
          <w:bCs/>
        </w:rPr>
        <w:t xml:space="preserve">UN/CEFACT CII (D16B)</w:t>
      </w:r>
      <w:r>
        <w:t xml:space="preserve">، مع وجود وثائق ربط (Syntax binding) تصدر كـCEN/TS.</w:t>
      </w:r>
      <w:r>
        <w:t xml:space="preserve"> </w:t>
      </w:r>
      <w:hyperlink r:id="rId28">
        <w:r>
          <w:rPr>
            <w:rStyle w:val="Hyperlink"/>
          </w:rPr>
          <w:t xml:space="preserve">[8]</w:t>
        </w:r>
      </w:hyperlink>
      <w:r>
        <w:t xml:space="preserve"> </w:t>
      </w:r>
      <w:r>
        <w:t xml:space="preserve">هذه القاعدة هي أهم نقطة هندسية لأي محول “إلى XML”: لا يكفي “إخراج XML” بل يجب اختيار UBL أو CII وتطبيق قواعد EN16931 وقواعد الدولة/القطاع.</w:t>
      </w:r>
    </w:p>
    <w:p>
      <w:pPr>
        <w:pStyle w:val="BodyText"/>
      </w:pPr>
      <w:r>
        <w:t xml:space="preserve">في طبقة “الملفّات الوطنية” (national profiles)، تظهر أربع عائلات رئيسية ذات صلة مباشرة بخدمة التحويل:</w:t>
      </w:r>
    </w:p>
    <w:p>
      <w:pPr>
        <w:pStyle w:val="BodyText"/>
      </w:pPr>
      <w:r>
        <w:rPr>
          <w:b/>
          <w:bCs/>
        </w:rPr>
        <w:t xml:space="preserve">Peppol</w:t>
      </w:r>
      <w:r>
        <w:t xml:space="preserve">:</w:t>
      </w:r>
      <w:r>
        <w:br/>
      </w:r>
      <w:r>
        <w:t xml:space="preserve">Peppol BIS Billing 3.0 يصرّح أنه CIUS مبني على EN 16931.</w:t>
      </w:r>
      <w:r>
        <w:t xml:space="preserve"> </w:t>
      </w:r>
      <w:hyperlink r:id="rId34">
        <w:r>
          <w:rPr>
            <w:rStyle w:val="Hyperlink"/>
          </w:rPr>
          <w:t xml:space="preserve">[22]</w:t>
        </w:r>
      </w:hyperlink>
      <w:r>
        <w:t xml:space="preserve"> </w:t>
      </w:r>
      <w:r>
        <w:t xml:space="preserve">الولوج إلى الشبكة يتم عبر مزودين “معتمدين/Certified Service Providers”، مع نشر قائمة رسمية للمزودين.</w:t>
      </w:r>
      <w:r>
        <w:t xml:space="preserve"> </w:t>
      </w:r>
      <w:hyperlink r:id="rId37">
        <w:r>
          <w:rPr>
            <w:rStyle w:val="Hyperlink"/>
          </w:rPr>
          <w:t xml:space="preserve">[23]</w:t>
        </w:r>
      </w:hyperlink>
      <w:r>
        <w:t xml:space="preserve"> </w:t>
      </w:r>
      <w:r>
        <w:t xml:space="preserve">عملياً، هذا يفرض متطلبات تشغيلية: إدارة عناوين/معرّفات Peppol، التسجيل في SMP، الالتزام بقواعد التحقق، والتعامل مع إشعارات/ردود الرسائل في الشبكة.</w:t>
      </w:r>
    </w:p>
    <w:p>
      <w:pPr>
        <w:pStyle w:val="BodyText"/>
      </w:pPr>
      <w:r>
        <w:rPr>
          <w:b/>
          <w:bCs/>
        </w:rPr>
        <w:t xml:space="preserve">ألمانيا: XRechnung وZUGFeRD</w:t>
      </w:r>
      <w:r>
        <w:t xml:space="preserve">:</w:t>
      </w:r>
      <w:r>
        <w:br/>
      </w:r>
      <w:r>
        <w:t xml:space="preserve">في B2G، بوابة الحكومة الاتحادية تشير إلى أن XRechnung أو ZUGFeRD (ملف شخصي XRECHNUNG) يمكن استخدامهما لإرسال فواتير وفق تنظيم الحكومة الاتحادية.</w:t>
      </w:r>
      <w:r>
        <w:t xml:space="preserve"> </w:t>
      </w:r>
      <w:hyperlink r:id="rId38">
        <w:r>
          <w:rPr>
            <w:rStyle w:val="Hyperlink"/>
          </w:rPr>
          <w:t xml:space="preserve">[24]</w:t>
        </w:r>
      </w:hyperlink>
      <w:r>
        <w:t xml:space="preserve"> </w:t>
      </w:r>
      <w:r>
        <w:t xml:space="preserve">وفي وثيقة مواصفات XRechnung (الإصدار 3.0.x)، تُعرّف XRechnung كـCIUS للـEN 16931 وتؤكد أنها تُجسّد EN16931 في Syntaxي UBL وCII، بينما الامتداد (Extension) قد يكون محصوراً عملياً في UBL لاعتبارات ربط.</w:t>
      </w:r>
      <w:r>
        <w:t xml:space="preserve"> </w:t>
      </w:r>
      <w:hyperlink r:id="rId39">
        <w:r>
          <w:rPr>
            <w:rStyle w:val="Hyperlink"/>
          </w:rPr>
          <w:t xml:space="preserve">[25]</w:t>
        </w:r>
      </w:hyperlink>
      <w:r>
        <w:t xml:space="preserve"> </w:t>
      </w:r>
      <w:r>
        <w:t xml:space="preserve">كما توضّح الوثيقة مفهوم CIUS بأنه “تضييق” لـEN16931 (تحويل عناصر اختيارية إلى إلزامية، إضافة قواعد عمل، تقييد قوائم رموز) مقابل Extension التي تضيف عناصر/قواعد جديدة ضمن حدود EN16931.</w:t>
      </w:r>
      <w:r>
        <w:t xml:space="preserve"> </w:t>
      </w:r>
      <w:hyperlink r:id="rId39">
        <w:r>
          <w:rPr>
            <w:rStyle w:val="Hyperlink"/>
          </w:rPr>
          <w:t xml:space="preserve">[26]</w:t>
        </w:r>
      </w:hyperlink>
    </w:p>
    <w:p>
      <w:pPr>
        <w:pStyle w:val="BodyText"/>
      </w:pPr>
      <w:r>
        <w:t xml:space="preserve">في B2B ألمانيا، وزارة المالية الاتحادية تذكر أن تعريف “الفاتورة الإلكترونية” تغير منذ 1 يناير 2025 ليصبح محصوراً في صيغة إلكترونية مُهيكلة تسمح بالمعالجة الآلية (وليس PDF بسيط)، مع فترات انتقالية حتى نهاية 2026 (وعلى أساس حجم المبيعات حتى 2027) للسماح بإصدار “فواتير أخرى” مؤقتاً.</w:t>
      </w:r>
      <w:r>
        <w:t xml:space="preserve"> </w:t>
      </w:r>
      <w:hyperlink r:id="rId22">
        <w:r>
          <w:rPr>
            <w:rStyle w:val="Hyperlink"/>
          </w:rPr>
          <w:t xml:space="preserve">[2]</w:t>
        </w:r>
      </w:hyperlink>
    </w:p>
    <w:p>
      <w:pPr>
        <w:pStyle w:val="BodyText"/>
      </w:pPr>
      <w:r>
        <w:rPr>
          <w:b/>
          <w:bCs/>
        </w:rPr>
        <w:t xml:space="preserve">فرنسا: إصلاح 2026–2027 وFactur‑X</w:t>
      </w:r>
      <w:r>
        <w:t xml:space="preserve">:</w:t>
      </w:r>
      <w:r>
        <w:br/>
      </w:r>
      <w:r>
        <w:t xml:space="preserve">الجهات الرسمية في فرنسا تؤكد أن الإصلاح يفرض إصدار/استقبال e‑invoicing وإرسال بيانات e‑reporting، مع استقبال إلزامي للجميع في 1 سبتمبر 2026، وإصدار إلزامي للشركات الكبيرة والمتوسطة في 2026 ثم الشركات الصغيرة/المايكرو في 2027، وبأن تمرير الفواتير يتم عبر “منصة معتمدة” لدى الدولة.</w:t>
      </w:r>
      <w:r>
        <w:t xml:space="preserve"> </w:t>
      </w:r>
      <w:hyperlink r:id="rId24">
        <w:r>
          <w:rPr>
            <w:rStyle w:val="Hyperlink"/>
          </w:rPr>
          <w:t xml:space="preserve">[4]</w:t>
        </w:r>
      </w:hyperlink>
      <w:r>
        <w:t xml:space="preserve"> </w:t>
      </w:r>
      <w:r>
        <w:t xml:space="preserve">من جهة معيار “Factur‑X”، يعرّفه المنتدى الفرنسي FNFE‑MPE كمعيار هجين Franco‑German: PDF/A‑3 يحتوي ملف XML مطابق لـEN16931 (Syntax CII D16B)، مع عدة ملفات تعريف (MINIMUM، BASIC… حتى EN16931 وEXTENDED)، ويذكر أنه نُشر إصدار Factur‑X 1.08 / ZUGFeRD 2.4 قابل للتطبيق في يناير 2026.</w:t>
      </w:r>
      <w:r>
        <w:t xml:space="preserve"> </w:t>
      </w:r>
      <w:hyperlink r:id="rId40">
        <w:r>
          <w:rPr>
            <w:rStyle w:val="Hyperlink"/>
          </w:rPr>
          <w:t xml:space="preserve">[27]</w:t>
        </w:r>
      </w:hyperlink>
    </w:p>
    <w:p>
      <w:pPr>
        <w:pStyle w:val="BodyText"/>
      </w:pPr>
      <w:r>
        <w:rPr>
          <w:b/>
          <w:bCs/>
        </w:rPr>
        <w:t xml:space="preserve">إسبانيا: Facturae (B2G) + Veri*factu + B2B e‑invoicing</w:t>
      </w:r>
      <w:r>
        <w:t xml:space="preserve">:</w:t>
      </w:r>
      <w:r>
        <w:br/>
      </w:r>
      <w:r>
        <w:t xml:space="preserve">بوابة Facturae الرسمية تذكر أن الفواتير المرسلة للإدارات العامة يجب أن تكون إلكترونية وتلتزم بصيغة Facturae 3.2.x مع توقيع XAdES، وأن FACe هو “نقطة الدخول العامة” وقد أصبح الاستخدام إلزامياً في B2G منذ يناير 2015.</w:t>
      </w:r>
      <w:r>
        <w:t xml:space="preserve"> </w:t>
      </w:r>
      <w:hyperlink r:id="rId41">
        <w:r>
          <w:rPr>
            <w:rStyle w:val="Hyperlink"/>
          </w:rPr>
          <w:t xml:space="preserve">[28]</w:t>
        </w:r>
      </w:hyperlink>
      <w:r>
        <w:br/>
      </w:r>
      <w:r>
        <w:t xml:space="preserve">في جانب “برمجيات الفوترة”، وكالة الضرائب الإسبانية تشرح أن Real Decreto 1007/2023 يضع متطلبات سلامة/تتبع/عدم قابلية التلاعب في سجلات الفوترة، باستخدام عناصر أمنية مثل “سلاسل hash” والتوقيع الإلكتروني، وأن الآلية المعروفة بـVeri*factu تتيح إرسال السجلات إلى الوكالة فور توليدها.</w:t>
      </w:r>
      <w:r>
        <w:t xml:space="preserve"> </w:t>
      </w:r>
      <w:hyperlink r:id="rId42">
        <w:r>
          <w:rPr>
            <w:rStyle w:val="Hyperlink"/>
          </w:rPr>
          <w:t xml:space="preserve">[29]</w:t>
        </w:r>
      </w:hyperlink>
      <w:r>
        <w:t xml:space="preserve"> </w:t>
      </w:r>
      <w:r>
        <w:t xml:space="preserve">كما أعلنت الوكالة تمديد مهل التكيّف إلى 2027 (قبل 1 يناير 2027 لجهات ضريبة الشركات، وقبل 1 يوليو 2027 لغيرهم).</w:t>
      </w:r>
      <w:r>
        <w:t xml:space="preserve"> </w:t>
      </w:r>
      <w:hyperlink r:id="rId43">
        <w:r>
          <w:rPr>
            <w:rStyle w:val="Hyperlink"/>
          </w:rPr>
          <w:t xml:space="preserve">[30]</w:t>
        </w:r>
      </w:hyperlink>
      <w:r>
        <w:br/>
      </w:r>
      <w:r>
        <w:t xml:space="preserve">أما قانون Ley 18/2022 (Crea y Crece) فينص على توسيع إلزام الفاتورة الإلكترونية في العلاقات التجارية بين المهنيين/الشركات (B2B) ويُحيل كثيراً من التفاصيل إلى تطوير تنظيمي لاحق (متطلبات التشغيل البيني والأمن والبيانات).</w:t>
      </w:r>
      <w:r>
        <w:t xml:space="preserve"> </w:t>
      </w:r>
      <w:hyperlink r:id="rId44">
        <w:r>
          <w:rPr>
            <w:rStyle w:val="Hyperlink"/>
          </w:rPr>
          <w:t xml:space="preserve">[31]</w:t>
        </w:r>
      </w:hyperlink>
    </w:p>
    <w:p>
      <w:pPr>
        <w:pStyle w:val="BodyText"/>
      </w:pPr>
      <w:r>
        <w:rPr>
          <w:b/>
          <w:bCs/>
        </w:rPr>
        <w:t xml:space="preserve">بلجيكا، بولندا، رومانيا، إيطاليا كنماذج إلزام متعددة</w:t>
      </w:r>
      <w:r>
        <w:t xml:space="preserve">:</w:t>
      </w:r>
      <w:r>
        <w:br/>
      </w:r>
      <w:r>
        <w:t xml:space="preserve">بلجيكا: من 1 يناير 2026 تصبح الفاتورة الإلكترونية المُهيكلة إلزامية بين الشركات المسجلة VAT، ويُذكر صراحة أن الإرسال يجب أن يكون عبر Peppol وأن Peppol‑BIS هو المرجع.</w:t>
      </w:r>
      <w:r>
        <w:t xml:space="preserve"> </w:t>
      </w:r>
      <w:hyperlink r:id="rId23">
        <w:r>
          <w:rPr>
            <w:rStyle w:val="Hyperlink"/>
          </w:rPr>
          <w:t xml:space="preserve">[3]</w:t>
        </w:r>
      </w:hyperlink>
      <w:r>
        <w:br/>
      </w:r>
      <w:r>
        <w:t xml:space="preserve">بولندا: المفوضية تلخص الانتقال إلى إلزام 2026 عبر KSeF (بدءاً من 1 فبراير 2026 للشركات الكبيرة ثم 1 أبريل 2026 للجميع ضمن B2B)، مع اعتماد BIS Billing 3.0 في السياق العام.</w:t>
      </w:r>
      <w:r>
        <w:t xml:space="preserve"> </w:t>
      </w:r>
      <w:hyperlink r:id="rId25">
        <w:r>
          <w:rPr>
            <w:rStyle w:val="Hyperlink"/>
          </w:rPr>
          <w:t xml:space="preserve">[5]</w:t>
        </w:r>
      </w:hyperlink>
      <w:r>
        <w:br/>
      </w:r>
      <w:r>
        <w:t xml:space="preserve">رومانيا: المفوضية تذكر إلزام B2B من 2024 عبر RO e‑Factura، ومتطلب الإرسال خلال 5 أيام، وتفاصيل تشريعية وعقابية مرتبطة.</w:t>
      </w:r>
      <w:r>
        <w:t xml:space="preserve"> </w:t>
      </w:r>
      <w:hyperlink r:id="rId26">
        <w:r>
          <w:rPr>
            <w:rStyle w:val="Hyperlink"/>
          </w:rPr>
          <w:t xml:space="preserve">[6]</w:t>
        </w:r>
      </w:hyperlink>
      <w:r>
        <w:br/>
      </w:r>
      <w:r>
        <w:t xml:space="preserve">إيطاليا: المفوضية تشير إلى أن صيغة FatturaPA الوطنية صُممت لتتوافق مع EN16931 وهي إلزامية في B2G، ضمن نموذج تشغيل وطني.</w:t>
      </w:r>
      <w:r>
        <w:t xml:space="preserve"> </w:t>
      </w:r>
      <w:hyperlink r:id="rId45">
        <w:r>
          <w:rPr>
            <w:rStyle w:val="Hyperlink"/>
          </w:rPr>
          <w:t xml:space="preserve">[32]</w:t>
        </w:r>
      </w:hyperlink>
    </w:p>
    <w:bookmarkStart w:id="46" w:name="X3ea7e23b78f1161817fdec94828b98778a07c4b"/>
    <w:p>
      <w:pPr>
        <w:pStyle w:val="Heading3"/>
      </w:pPr>
      <w:r>
        <w:t xml:space="preserve">ملخص سريع لمتطلبات الامتثال عبر دول مختارة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الدولة</w:t>
            </w:r>
          </w:p>
        </w:tc>
        <w:tc>
          <w:tcPr/>
          <w:p>
            <w:pPr>
              <w:pStyle w:val="Compact"/>
            </w:pPr>
            <w:r>
              <w:t xml:space="preserve">نطاق الإلزام الأكثر تأثيراً على السوق</w:t>
            </w:r>
          </w:p>
        </w:tc>
        <w:tc>
          <w:tcPr/>
          <w:p>
            <w:pPr>
              <w:pStyle w:val="Compact"/>
            </w:pPr>
            <w:r>
              <w:t xml:space="preserve">قناة/نموذج التشغيل</w:t>
            </w:r>
          </w:p>
        </w:tc>
        <w:tc>
          <w:tcPr/>
          <w:p>
            <w:pPr>
              <w:pStyle w:val="Compact"/>
            </w:pPr>
            <w:r>
              <w:t xml:space="preserve">الصيغ/المعايير المحورية التي يجب أن يدعمها التحويل</w:t>
            </w:r>
          </w:p>
        </w:tc>
      </w:tr>
      <w:tr>
        <w:tc>
          <w:tcPr/>
          <w:p>
            <w:pPr>
              <w:pStyle w:val="Compact"/>
            </w:pPr>
            <w:r>
              <w:t xml:space="preserve">ألمانيا</w:t>
            </w:r>
          </w:p>
        </w:tc>
        <w:tc>
          <w:tcPr/>
          <w:p>
            <w:pPr>
              <w:pStyle w:val="Compact"/>
            </w:pPr>
            <w:r>
              <w:t xml:space="preserve">B2B محلي منذ 2025 مع انتقالية؛ B2G قائم</w:t>
            </w:r>
          </w:p>
        </w:tc>
        <w:tc>
          <w:tcPr/>
          <w:p>
            <w:pPr>
              <w:pStyle w:val="Compact"/>
            </w:pPr>
            <w:r>
              <w:t xml:space="preserve">قنوات متعددة (ومنها Peppol)</w:t>
            </w:r>
          </w:p>
        </w:tc>
        <w:tc>
          <w:tcPr/>
          <w:p>
            <w:pPr>
              <w:pStyle w:val="Compact"/>
            </w:pPr>
            <w:r>
              <w:t xml:space="preserve">XRechnung (CIUS) على UBL/CII + دعم ZUGFeRD (ملف شخصي XRechnung)</w:t>
            </w:r>
            <w:r>
              <w:t xml:space="preserve"> </w:t>
            </w:r>
            <w:hyperlink r:id="rId22">
              <w:r>
                <w:rPr>
                  <w:rStyle w:val="Hyperlink"/>
                </w:rPr>
                <w:t xml:space="preserve">[33]</w:t>
              </w:r>
            </w:hyperlink>
          </w:p>
        </w:tc>
      </w:tr>
      <w:tr>
        <w:tc>
          <w:tcPr/>
          <w:p>
            <w:pPr>
              <w:pStyle w:val="Compact"/>
            </w:pPr>
            <w:r>
              <w:t xml:space="preserve">بلجيكا</w:t>
            </w:r>
          </w:p>
        </w:tc>
        <w:tc>
          <w:tcPr/>
          <w:p>
            <w:pPr>
              <w:pStyle w:val="Compact"/>
            </w:pPr>
            <w:r>
              <w:t xml:space="preserve">B2B إلزامي من 2026</w:t>
            </w:r>
          </w:p>
        </w:tc>
        <w:tc>
          <w:tcPr/>
          <w:p>
            <w:pPr>
              <w:pStyle w:val="Compact"/>
            </w:pPr>
            <w:r>
              <w:t xml:space="preserve">Peppol إلزامي عملياً</w:t>
            </w:r>
          </w:p>
        </w:tc>
        <w:tc>
          <w:tcPr/>
          <w:p>
            <w:pPr>
              <w:pStyle w:val="Compact"/>
            </w:pPr>
            <w:r>
              <w:t xml:space="preserve">Peppol BIS (UBL) كمرجع + إدارة Peppol IDs</w:t>
            </w:r>
            <w:r>
              <w:t xml:space="preserve"> </w:t>
            </w:r>
            <w:hyperlink r:id="rId23">
              <w:r>
                <w:rPr>
                  <w:rStyle w:val="Hyperlink"/>
                </w:rPr>
                <w:t xml:space="preserve">[3]</w:t>
              </w:r>
            </w:hyperlink>
          </w:p>
        </w:tc>
      </w:tr>
      <w:tr>
        <w:tc>
          <w:tcPr/>
          <w:p>
            <w:pPr>
              <w:pStyle w:val="Compact"/>
            </w:pPr>
            <w:r>
              <w:t xml:space="preserve">فرنسا</w:t>
            </w:r>
          </w:p>
        </w:tc>
        <w:tc>
          <w:tcPr/>
          <w:p>
            <w:pPr>
              <w:pStyle w:val="Compact"/>
            </w:pPr>
            <w:r>
              <w:t xml:space="preserve">استقبال 2026؛ إصدار 2026/2027 عبر منصات معتمدة</w:t>
            </w:r>
          </w:p>
        </w:tc>
        <w:tc>
          <w:tcPr/>
          <w:p>
            <w:pPr>
              <w:pStyle w:val="Compact"/>
            </w:pPr>
            <w:r>
              <w:t xml:space="preserve">منصات معتمدة (PDP/PPF)</w:t>
            </w:r>
          </w:p>
        </w:tc>
        <w:tc>
          <w:tcPr/>
          <w:p>
            <w:pPr>
              <w:pStyle w:val="Compact"/>
            </w:pPr>
            <w:r>
              <w:t xml:space="preserve">Factur‑X (PDF/A‑3 + CII) و/أو صيغ “الحد الأدنى” الإصلاحي + حقول إضافية إلزامية</w:t>
            </w:r>
            <w:r>
              <w:t xml:space="preserve"> </w:t>
            </w:r>
            <w:hyperlink r:id="rId24">
              <w:r>
                <w:rPr>
                  <w:rStyle w:val="Hyperlink"/>
                </w:rPr>
                <w:t xml:space="preserve">[34]</w:t>
              </w:r>
            </w:hyperlink>
          </w:p>
        </w:tc>
      </w:tr>
      <w:tr>
        <w:tc>
          <w:tcPr/>
          <w:p>
            <w:pPr>
              <w:pStyle w:val="Compact"/>
            </w:pPr>
            <w:r>
              <w:t xml:space="preserve">بولندا</w:t>
            </w:r>
          </w:p>
        </w:tc>
        <w:tc>
          <w:tcPr/>
          <w:p>
            <w:pPr>
              <w:pStyle w:val="Compact"/>
            </w:pPr>
            <w:r>
              <w:t xml:space="preserve">إلزام 2026 عبر KSeF</w:t>
            </w:r>
          </w:p>
        </w:tc>
        <w:tc>
          <w:tcPr/>
          <w:p>
            <w:pPr>
              <w:pStyle w:val="Compact"/>
            </w:pPr>
            <w:r>
              <w:t xml:space="preserve">منصة مركزية (KSeF)</w:t>
            </w:r>
          </w:p>
        </w:tc>
        <w:tc>
          <w:tcPr/>
          <w:p>
            <w:pPr>
              <w:pStyle w:val="Compact"/>
            </w:pPr>
            <w:r>
              <w:t xml:space="preserve">تكامل/توليد صيغة KSeF + جاهزية لمواءمة BIS/EN16931 في السياق العام</w:t>
            </w:r>
            <w:r>
              <w:t xml:space="preserve"> </w:t>
            </w:r>
            <w:hyperlink r:id="rId25">
              <w:r>
                <w:rPr>
                  <w:rStyle w:val="Hyperlink"/>
                </w:rPr>
                <w:t xml:space="preserve">[5]</w:t>
              </w:r>
            </w:hyperlink>
          </w:p>
        </w:tc>
      </w:tr>
      <w:tr>
        <w:tc>
          <w:tcPr/>
          <w:p>
            <w:pPr>
              <w:pStyle w:val="Compact"/>
            </w:pPr>
            <w:r>
              <w:t xml:space="preserve">رومانيا</w:t>
            </w:r>
          </w:p>
        </w:tc>
        <w:tc>
          <w:tcPr/>
          <w:p>
            <w:pPr>
              <w:pStyle w:val="Compact"/>
            </w:pPr>
            <w:r>
              <w:t xml:space="preserve">إلزام B2B منذ 2024</w:t>
            </w:r>
          </w:p>
        </w:tc>
        <w:tc>
          <w:tcPr/>
          <w:p>
            <w:pPr>
              <w:pStyle w:val="Compact"/>
            </w:pPr>
            <w:r>
              <w:t xml:space="preserve">منصة RO e‑Factura</w:t>
            </w:r>
          </w:p>
        </w:tc>
        <w:tc>
          <w:tcPr/>
          <w:p>
            <w:pPr>
              <w:pStyle w:val="Compact"/>
            </w:pPr>
            <w:r>
              <w:t xml:space="preserve">توليد XML وفق RO_CIUS + مهل إرسال/تحقق متشددة</w:t>
            </w:r>
            <w:r>
              <w:t xml:space="preserve"> </w:t>
            </w:r>
            <w:hyperlink r:id="rId26">
              <w:r>
                <w:rPr>
                  <w:rStyle w:val="Hyperlink"/>
                </w:rPr>
                <w:t xml:space="preserve">[6]</w:t>
              </w:r>
            </w:hyperlink>
          </w:p>
        </w:tc>
      </w:tr>
      <w:tr>
        <w:tc>
          <w:tcPr/>
          <w:p>
            <w:pPr>
              <w:pStyle w:val="Compact"/>
            </w:pPr>
            <w:r>
              <w:t xml:space="preserve">إسبانيا</w:t>
            </w:r>
          </w:p>
        </w:tc>
        <w:tc>
          <w:tcPr/>
          <w:p>
            <w:pPr>
              <w:pStyle w:val="Compact"/>
            </w:pPr>
            <w:r>
              <w:t xml:space="preserve">B2G Facturae؛ B2B مرتبط بتطوير تنظيمي؛ Veri*factu لسجلات الفوترة</w:t>
            </w:r>
          </w:p>
        </w:tc>
        <w:tc>
          <w:tcPr/>
          <w:p>
            <w:pPr>
              <w:pStyle w:val="Compact"/>
            </w:pPr>
            <w:r>
              <w:t xml:space="preserve">FACe (B2G) + تماثل برامج SIF</w:t>
            </w:r>
          </w:p>
        </w:tc>
        <w:tc>
          <w:tcPr/>
          <w:p>
            <w:pPr>
              <w:pStyle w:val="Compact"/>
            </w:pPr>
            <w:r>
              <w:t xml:space="preserve">Facturae (3.2.x + XAdES) + متطلبات سلامة سجل الفوترة Veri*factu</w:t>
            </w:r>
            <w:r>
              <w:t xml:space="preserve"> </w:t>
            </w:r>
            <w:hyperlink r:id="rId41">
              <w:r>
                <w:rPr>
                  <w:rStyle w:val="Hyperlink"/>
                </w:rPr>
                <w:t xml:space="preserve">[35]</w:t>
              </w:r>
            </w:hyperlink>
          </w:p>
        </w:tc>
      </w:tr>
    </w:tbl>
    <w:p>
      <w:r>
        <w:pict>
          <v:rect style="width:0;height:1.5pt" o:hralign="center" o:hrstd="t" o:hr="t"/>
        </w:pict>
      </w:r>
    </w:p>
    <w:bookmarkEnd w:id="46"/>
    <w:bookmarkEnd w:id="47"/>
    <w:bookmarkStart w:id="53" w:name="شرائح-العملاء-المستهدفة-وشخصيات-المشتري"/>
    <w:p>
      <w:pPr>
        <w:pStyle w:val="Heading2"/>
      </w:pPr>
      <w:r>
        <w:t xml:space="preserve">شرائح العملاء المستهدفة وشخصيات المشتري</w:t>
      </w:r>
    </w:p>
    <w:bookmarkStart w:id="48" w:name="X49a7aaed1a31489d264fab320387eb4c53dde31"/>
    <w:p>
      <w:pPr>
        <w:pStyle w:val="Heading3"/>
      </w:pPr>
      <w:r>
        <w:t xml:space="preserve">الشركات الصغيرة والمتوسطة والمايكرو (SMEs/Micro)</w:t>
      </w:r>
    </w:p>
    <w:p>
      <w:pPr>
        <w:pStyle w:val="FirstParagraph"/>
      </w:pPr>
      <w:r>
        <w:t xml:space="preserve">هذه الشريحة ستتأثر بقوة في دول مثل ألمانيا (استلام إلزامي منذ 2025، وإصدار إلزامي فعلي بعد انتقالية) وبلجيكا (إلزام B2B من 2026) وفرنسا (استقبال 2026 وإصدار 2027 للشركات الأصغر).</w:t>
      </w:r>
      <w:r>
        <w:t xml:space="preserve"> </w:t>
      </w:r>
      <w:hyperlink r:id="rId22">
        <w:r>
          <w:rPr>
            <w:rStyle w:val="Hyperlink"/>
          </w:rPr>
          <w:t xml:space="preserve">[36]</w:t>
        </w:r>
      </w:hyperlink>
      <w:r>
        <w:br/>
      </w:r>
      <w:r>
        <w:rPr>
          <w:b/>
          <w:bCs/>
        </w:rPr>
        <w:t xml:space="preserve">شخصية مشتري نموذجية</w:t>
      </w:r>
      <w:r>
        <w:t xml:space="preserve">: “مالك شركة/مدير إداري” يبحث عن حل بسيط لا يتطلب ERP، يريد تحويل فواتير Word/PDF الحالية بسرعة إلى صيغة مقبولة، مع أقل احتكاك ودون مخاطرة برفض الفاتورة.</w:t>
      </w:r>
    </w:p>
    <w:p>
      <w:pPr>
        <w:pStyle w:val="BodyText"/>
      </w:pPr>
      <w:r>
        <w:rPr>
          <w:b/>
          <w:bCs/>
        </w:rPr>
        <w:t xml:space="preserve">ما يهمه شرائياً</w:t>
      </w:r>
      <w:r>
        <w:t xml:space="preserve">:</w:t>
      </w:r>
      <w:r>
        <w:br/>
      </w:r>
      <w:r>
        <w:t xml:space="preserve">السهولة (رفع ملف وتحميل XML)، وضمان “القبول” عبر Validator رسمي، وسعر قابل للتوقع، وسجل حفظ/أرشفة أساسي، ودعم لغوي محلي (DE/FR/NL/ES). مطالب “القبول” واقعية لأن دولاً عديدة تفصل تنظيمياً بين PDF عادي والفاتورة الإلكترونية المهيكلة.</w:t>
      </w:r>
      <w:r>
        <w:t xml:space="preserve"> </w:t>
      </w:r>
      <w:hyperlink r:id="rId22">
        <w:r>
          <w:rPr>
            <w:rStyle w:val="Hyperlink"/>
          </w:rPr>
          <w:t xml:space="preserve">[37]</w:t>
        </w:r>
      </w:hyperlink>
    </w:p>
    <w:bookmarkEnd w:id="48"/>
    <w:bookmarkStart w:id="50" w:name="Xf20e4dd55453069de3f987d0a152f7b2df214c2"/>
    <w:p>
      <w:pPr>
        <w:pStyle w:val="Heading3"/>
      </w:pPr>
      <w:r>
        <w:t xml:space="preserve">مكاتب المحاسبة ومقدمو خدمات الرواتب/الضرائب</w:t>
      </w:r>
    </w:p>
    <w:p>
      <w:pPr>
        <w:pStyle w:val="FirstParagraph"/>
      </w:pPr>
      <w:r>
        <w:t xml:space="preserve">هذه الشريحة تتحكم بتدفقات فواتير ضخمة لعملاء متعددين. في فرنسا تُذكر صراحة قنوات المرافقة عبر الخبراء المحاسبين/ناشري البرمجيات.</w:t>
      </w:r>
      <w:r>
        <w:t xml:space="preserve"> </w:t>
      </w:r>
      <w:hyperlink r:id="rId24">
        <w:r>
          <w:rPr>
            <w:rStyle w:val="Hyperlink"/>
          </w:rPr>
          <w:t xml:space="preserve">[15]</w:t>
        </w:r>
      </w:hyperlink>
      <w:r>
        <w:t xml:space="preserve"> </w:t>
      </w:r>
      <w:r>
        <w:t xml:space="preserve">كما أن منصات SME مثل Banqup تبني رسائلها التسويقية على التعاون مع المحاسبين.</w:t>
      </w:r>
      <w:r>
        <w:t xml:space="preserve"> </w:t>
      </w:r>
      <w:hyperlink r:id="rId49">
        <w:r>
          <w:rPr>
            <w:rStyle w:val="Hyperlink"/>
          </w:rPr>
          <w:t xml:space="preserve">[38]</w:t>
        </w:r>
      </w:hyperlink>
      <w:r>
        <w:br/>
      </w:r>
      <w:r>
        <w:rPr>
          <w:b/>
          <w:bCs/>
        </w:rPr>
        <w:t xml:space="preserve">شخصية مشتري نموذجية</w:t>
      </w:r>
      <w:r>
        <w:t xml:space="preserve">: “محاسب/خبير محاسبة” يريد: (1) إدخال فواتير الموردين بسرعة (خاصة PDFs)، (2) إخراجها بصيغ متوافقة (XRechnung/ZUGFeRD/Peppol/Factur‑X) حسب البلد، (3) تكامل مع برامج المحاسبة/أرشفة.</w:t>
      </w:r>
    </w:p>
    <w:p>
      <w:pPr>
        <w:pStyle w:val="BodyText"/>
      </w:pPr>
      <w:r>
        <w:rPr>
          <w:b/>
          <w:bCs/>
        </w:rPr>
        <w:t xml:space="preserve">ما يهمه شرائياً</w:t>
      </w:r>
      <w:r>
        <w:t xml:space="preserve">:</w:t>
      </w:r>
      <w:r>
        <w:br/>
      </w:r>
      <w:r>
        <w:t xml:space="preserve">واجهة متعددة العملاء (multi‑tenant) + API + صلاحيات مستخدمين + تقارير جودة (نسبة نجاح التحقق) + اتفاقية معالجة بيانات (DPA) واضحة ضمن الإطار الأوروبي لحماية البيانات.</w:t>
      </w:r>
      <w:r>
        <w:t xml:space="preserve"> </w:t>
      </w:r>
      <w:hyperlink r:id="rId27">
        <w:r>
          <w:rPr>
            <w:rStyle w:val="Hyperlink"/>
          </w:rPr>
          <w:t xml:space="preserve">[39]</w:t>
        </w:r>
      </w:hyperlink>
    </w:p>
    <w:bookmarkEnd w:id="50"/>
    <w:bookmarkStart w:id="51" w:name="القطاع-العام-والموردون-للقطاع-العام-b2g"/>
    <w:p>
      <w:pPr>
        <w:pStyle w:val="Heading3"/>
      </w:pPr>
      <w:r>
        <w:t xml:space="preserve">القطاع العام والموردون للقطاع العام (B2G)</w:t>
      </w:r>
    </w:p>
    <w:p>
      <w:pPr>
        <w:pStyle w:val="FirstParagraph"/>
      </w:pPr>
      <w:r>
        <w:t xml:space="preserve">رغم أن Invoice2E اليوم يركز على XRechnung، إلا أن B2G ما زال “بوابة دخول” قوية في أوروبا لأن Directive 2014/55/EU تفرض قبول ومعالجة الفاتورة الإلكترونية المتوافقة.</w:t>
      </w:r>
      <w:r>
        <w:t xml:space="preserve"> </w:t>
      </w:r>
      <w:hyperlink r:id="rId27">
        <w:r>
          <w:rPr>
            <w:rStyle w:val="Hyperlink"/>
          </w:rPr>
          <w:t xml:space="preserve">[7]</w:t>
        </w:r>
      </w:hyperlink>
      <w:r>
        <w:t xml:space="preserve"> </w:t>
      </w:r>
      <w:r>
        <w:t xml:space="preserve">ألمانيا مثال عملي: قنوات حكومية لقبول XRechnung أو ZUGFeRD/XRechnung.</w:t>
      </w:r>
      <w:r>
        <w:t xml:space="preserve"> </w:t>
      </w:r>
      <w:hyperlink r:id="rId38">
        <w:r>
          <w:rPr>
            <w:rStyle w:val="Hyperlink"/>
          </w:rPr>
          <w:t xml:space="preserve">[40]</w:t>
        </w:r>
      </w:hyperlink>
      <w:r>
        <w:br/>
      </w:r>
      <w:r>
        <w:rPr>
          <w:b/>
          <w:bCs/>
        </w:rPr>
        <w:t xml:space="preserve">شخصية مشتري نموذجية</w:t>
      </w:r>
      <w:r>
        <w:t xml:space="preserve">: “مسؤول فواتير/إدارة عقود” في شركة تورّد للبلديات/الوزارات، يريد تقليل رفض الفواتير بسبب أخطاء الحقول (مثل معرفات التوجيه في ألمانيا) والتحقق قبل الإرسال.</w:t>
      </w:r>
    </w:p>
    <w:bookmarkEnd w:id="51"/>
    <w:bookmarkStart w:id="52" w:name="X6687a9a1bf54e5b424bb6a1afa7e0ed8141928f"/>
    <w:p>
      <w:pPr>
        <w:pStyle w:val="Heading3"/>
      </w:pPr>
      <w:r>
        <w:t xml:space="preserve">منصات التجارة الإلكترونية والأسواق (Marketplaces) وشبكات الموردين</w:t>
      </w:r>
    </w:p>
    <w:p>
      <w:pPr>
        <w:pStyle w:val="FirstParagraph"/>
      </w:pPr>
      <w:r>
        <w:t xml:space="preserve">مع ViDA، تُوسَّع قواعد “الوسيط/المنصة” لبعض القطاعات ويُقترب من تقارير رقمية شبه فورية عبر الحدود في 2030.</w:t>
      </w:r>
      <w:r>
        <w:t xml:space="preserve"> </w:t>
      </w:r>
      <w:hyperlink r:id="rId29">
        <w:r>
          <w:rPr>
            <w:rStyle w:val="Hyperlink"/>
          </w:rPr>
          <w:t xml:space="preserve">[9]</w:t>
        </w:r>
      </w:hyperlink>
      <w:r>
        <w:br/>
      </w:r>
      <w:r>
        <w:rPr>
          <w:b/>
          <w:bCs/>
        </w:rPr>
        <w:t xml:space="preserve">شخصية مشتري نموذجية</w:t>
      </w:r>
      <w:r>
        <w:t xml:space="preserve">: “مدير منتج/تكامل” في منصة لديها فواتير من بائعين متعددين، يريد API لتحويل المستندات إلى EN16931/Peppol أو إلى مخطط دولة معينة، مع معدل معالجة آلي مرتفع ووقت استجابة قصير.</w:t>
      </w:r>
    </w:p>
    <w:p>
      <w:r>
        <w:pict>
          <v:rect style="width:0;height:1.5pt" o:hralign="center" o:hrstd="t" o:hr="t"/>
        </w:pict>
      </w:r>
    </w:p>
    <w:bookmarkEnd w:id="52"/>
    <w:bookmarkEnd w:id="53"/>
    <w:bookmarkStart w:id="67" w:name="المشهد-التنافسي-في-أوروبا"/>
    <w:p>
      <w:pPr>
        <w:pStyle w:val="Heading2"/>
      </w:pPr>
      <w:r>
        <w:t xml:space="preserve">المشهد التنافسي في أوروبا</w:t>
      </w:r>
    </w:p>
    <w:p>
      <w:pPr>
        <w:pStyle w:val="FirstParagraph"/>
      </w:pPr>
      <w:r>
        <w:t xml:space="preserve">تظهر المنافسة الأوروبية في ثلاث طبقات:</w:t>
      </w:r>
    </w:p>
    <w:p>
      <w:pPr>
        <w:pStyle w:val="BodyText"/>
      </w:pPr>
      <w:r>
        <w:t xml:space="preserve">الطبقة الأولى:</w:t>
      </w:r>
      <w:r>
        <w:t xml:space="preserve"> </w:t>
      </w:r>
      <w:r>
        <w:rPr>
          <w:b/>
          <w:bCs/>
        </w:rPr>
        <w:t xml:space="preserve">شبكات الامتثال e‑invoicing/Peppol Access Points</w:t>
      </w:r>
      <w:r>
        <w:t xml:space="preserve"> </w:t>
      </w:r>
      <w:r>
        <w:t xml:space="preserve">(تربط ERP/أنظمة العملاء بالجهات/الشبكات وتتكفل بالتحويل والتحقق والامتثال). أمثلة: ecosio وEDICOM، ومزودون كبار للشبكات مثل Basware وPagero.</w:t>
      </w:r>
      <w:r>
        <w:t xml:space="preserve"> </w:t>
      </w:r>
      <w:hyperlink r:id="rId30">
        <w:r>
          <w:rPr>
            <w:rStyle w:val="Hyperlink"/>
          </w:rPr>
          <w:t xml:space="preserve">[41]</w:t>
        </w:r>
      </w:hyperlink>
    </w:p>
    <w:p>
      <w:pPr>
        <w:pStyle w:val="BodyText"/>
      </w:pPr>
      <w:r>
        <w:t xml:space="preserve">الطبقة الثانية:</w:t>
      </w:r>
      <w:r>
        <w:t xml:space="preserve"> </w:t>
      </w:r>
      <w:r>
        <w:rPr>
          <w:b/>
          <w:bCs/>
        </w:rPr>
        <w:t xml:space="preserve">حلول OCR/IDP لمعالجة الفواتير</w:t>
      </w:r>
      <w:r>
        <w:t xml:space="preserve"> </w:t>
      </w:r>
      <w:r>
        <w:t xml:space="preserve">(تلتقط بيانات invoice من PDF/صور وتعيدها كبيانات منظمة أو ضمن سير عمل AP). أمثلة: Rossum وHypatos وKlippa.</w:t>
      </w:r>
      <w:r>
        <w:t xml:space="preserve"> </w:t>
      </w:r>
      <w:hyperlink r:id="rId54">
        <w:r>
          <w:rPr>
            <w:rStyle w:val="Hyperlink"/>
          </w:rPr>
          <w:t xml:space="preserve">[42]</w:t>
        </w:r>
      </w:hyperlink>
    </w:p>
    <w:p>
      <w:pPr>
        <w:pStyle w:val="BodyText"/>
      </w:pPr>
      <w:r>
        <w:t xml:space="preserve">الطبقة الثالثة:</w:t>
      </w:r>
      <w:r>
        <w:t xml:space="preserve"> </w:t>
      </w:r>
      <w:r>
        <w:rPr>
          <w:b/>
          <w:bCs/>
        </w:rPr>
        <w:t xml:space="preserve">منصات محاسبة/ERP تضيف Peppol أو صيغ وطنية</w:t>
      </w:r>
      <w:r>
        <w:t xml:space="preserve"> </w:t>
      </w:r>
      <w:r>
        <w:t xml:space="preserve">(مثل Odoo وDATEV وSAP).</w:t>
      </w:r>
      <w:r>
        <w:t xml:space="preserve"> </w:t>
      </w:r>
      <w:hyperlink r:id="rId55">
        <w:r>
          <w:rPr>
            <w:rStyle w:val="Hyperlink"/>
          </w:rPr>
          <w:t xml:space="preserve">[43]</w:t>
        </w:r>
      </w:hyperlink>
    </w:p>
    <w:bookmarkStart w:id="66" w:name="Xe043449545cb0d790cf2dcb2115e10aefef345f"/>
    <w:p>
      <w:pPr>
        <w:pStyle w:val="Heading3"/>
      </w:pPr>
      <w:r>
        <w:t xml:space="preserve">جدول مقارنة مختصر لمنافسين/بدائل أوروبية ذات صلة</w:t>
      </w:r>
    </w:p>
    <w:p>
      <w:pPr>
        <w:pStyle w:val="BlockText"/>
      </w:pPr>
      <w:r>
        <w:t xml:space="preserve">ملاحظة: الأسعار “المعلنة” أدناه هي فقط ما كان منشوراً علناً في صفحات التسعير؛ مزودون كثيرون يعتمدون “تسعير مخصص/حسب الحجم” فلا يمكن الجزم بأرقام دون عرض سعر رسمي.</w:t>
      </w:r>
      <w:r>
        <w:t xml:space="preserve"> </w:t>
      </w:r>
      <w:hyperlink r:id="rId56">
        <w:r>
          <w:rPr>
            <w:rStyle w:val="Hyperlink"/>
          </w:rPr>
          <w:t xml:space="preserve">[44]</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الفئة</w:t>
            </w:r>
          </w:p>
        </w:tc>
        <w:tc>
          <w:tcPr/>
          <w:p>
            <w:pPr>
              <w:pStyle w:val="Compact"/>
            </w:pPr>
            <w:r>
              <w:t xml:space="preserve">المنتج/الشركة</w:t>
            </w:r>
          </w:p>
        </w:tc>
        <w:tc>
          <w:tcPr/>
          <w:p>
            <w:pPr>
              <w:pStyle w:val="Compact"/>
            </w:pPr>
            <w:r>
              <w:t xml:space="preserve">نقاط قوة مرتبطة مباشرة بـInvoice2E</w:t>
            </w:r>
          </w:p>
        </w:tc>
        <w:tc>
          <w:tcPr/>
          <w:p>
            <w:pPr>
              <w:pStyle w:val="Compact"/>
            </w:pPr>
            <w:r>
              <w:t xml:space="preserve">نموذج التسعير المنشور</w:t>
            </w:r>
          </w:p>
        </w:tc>
        <w:tc>
          <w:tcPr/>
          <w:p>
            <w:pPr>
              <w:pStyle w:val="Compact"/>
            </w:pPr>
            <w:r>
              <w:t xml:space="preserve">التكاملات/القنوات</w:t>
            </w:r>
          </w:p>
        </w:tc>
        <w:tc>
          <w:tcPr/>
          <w:p>
            <w:pPr>
              <w:pStyle w:val="Compact"/>
            </w:pPr>
            <w:r>
              <w:t xml:space="preserve">التركيز الجغرافي</w:t>
            </w:r>
          </w:p>
        </w:tc>
      </w:tr>
      <w:tr>
        <w:tc>
          <w:tcPr/>
          <w:p>
            <w:pPr>
              <w:pStyle w:val="Compact"/>
            </w:pPr>
            <w:r>
              <w:t xml:space="preserve">شبكة امتثال</w:t>
            </w:r>
          </w:p>
        </w:tc>
        <w:tc>
          <w:tcPr/>
          <w:p>
            <w:pPr>
              <w:pStyle w:val="Compact"/>
            </w:pPr>
            <w:r>
              <w:t xml:space="preserve">ecosio</w:t>
            </w:r>
            <w:hyperlink r:id="rId49">
              <w:r>
                <w:rPr>
                  <w:rStyle w:val="Hyperlink"/>
                </w:rPr>
                <w:t xml:space="preserve">[45]</w:t>
              </w:r>
            </w:hyperlink>
          </w:p>
        </w:tc>
        <w:tc>
          <w:tcPr/>
          <w:p>
            <w:pPr>
              <w:pStyle w:val="Compact"/>
            </w:pPr>
            <w:r>
              <w:t xml:space="preserve">بوابة/Hub واحد للاتصال بالعملاء والجهات والمنصات، مع تحقق/تحويل وفق متطلبات السلطات</w:t>
            </w:r>
            <w:r>
              <w:t xml:space="preserve"> </w:t>
            </w:r>
            <w:hyperlink r:id="rId30">
              <w:r>
                <w:rPr>
                  <w:rStyle w:val="Hyperlink"/>
                </w:rPr>
                <w:t xml:space="preserve">[46]</w:t>
              </w:r>
            </w:hyperlink>
          </w:p>
        </w:tc>
        <w:tc>
          <w:tcPr/>
          <w:p>
            <w:pPr>
              <w:pStyle w:val="Compact"/>
            </w:pPr>
            <w:r>
              <w:t xml:space="preserve">غير منشور كرقم (اتصال بالمبيعات)</w:t>
            </w:r>
          </w:p>
        </w:tc>
        <w:tc>
          <w:tcPr/>
          <w:p>
            <w:pPr>
              <w:pStyle w:val="Compact"/>
            </w:pPr>
            <w:r>
              <w:t xml:space="preserve">تكامل ERP عبر بوابة تكامل</w:t>
            </w:r>
            <w:r>
              <w:t xml:space="preserve"> </w:t>
            </w:r>
            <w:hyperlink r:id="rId57">
              <w:r>
                <w:rPr>
                  <w:rStyle w:val="Hyperlink"/>
                </w:rPr>
                <w:t xml:space="preserve">[47]</w:t>
              </w:r>
            </w:hyperlink>
          </w:p>
        </w:tc>
        <w:tc>
          <w:tcPr/>
          <w:p>
            <w:pPr>
              <w:pStyle w:val="Compact"/>
            </w:pPr>
            <w:r>
              <w:t xml:space="preserve">عالمي مع حضور أوروبي قوي</w:t>
            </w:r>
          </w:p>
        </w:tc>
      </w:tr>
      <w:tr>
        <w:tc>
          <w:tcPr/>
          <w:p>
            <w:pPr>
              <w:pStyle w:val="Compact"/>
            </w:pPr>
            <w:r>
              <w:t xml:space="preserve">شبكة امتثال/Peppol</w:t>
            </w:r>
          </w:p>
        </w:tc>
        <w:tc>
          <w:tcPr/>
          <w:p>
            <w:pPr>
              <w:pStyle w:val="Compact"/>
            </w:pPr>
            <w:r>
              <w:t xml:space="preserve">EDICOM</w:t>
            </w:r>
            <w:hyperlink r:id="rId39">
              <w:r>
                <w:rPr>
                  <w:rStyle w:val="Hyperlink"/>
                </w:rPr>
                <w:t xml:space="preserve">[48]</w:t>
              </w:r>
            </w:hyperlink>
          </w:p>
        </w:tc>
        <w:tc>
          <w:tcPr/>
          <w:p>
            <w:pPr>
              <w:pStyle w:val="Compact"/>
            </w:pPr>
            <w:r>
              <w:t xml:space="preserve">تغطية قواعد Peppol (BIS Billing 3.0 وPINT) وقواعد الدول، مع Access Point</w:t>
            </w:r>
            <w:r>
              <w:t xml:space="preserve"> </w:t>
            </w:r>
            <w:hyperlink r:id="rId58">
              <w:r>
                <w:rPr>
                  <w:rStyle w:val="Hyperlink"/>
                </w:rPr>
                <w:t xml:space="preserve">[49]</w:t>
              </w:r>
            </w:hyperlink>
          </w:p>
        </w:tc>
        <w:tc>
          <w:tcPr/>
          <w:p>
            <w:pPr>
              <w:pStyle w:val="Compact"/>
            </w:pPr>
            <w:r>
              <w:t xml:space="preserve">غير منشور كرقم</w:t>
            </w:r>
          </w:p>
        </w:tc>
        <w:tc>
          <w:tcPr/>
          <w:p>
            <w:pPr>
              <w:pStyle w:val="Compact"/>
            </w:pPr>
            <w:r>
              <w:t xml:space="preserve">منصة Peppol/EDI</w:t>
            </w:r>
            <w:r>
              <w:t xml:space="preserve"> </w:t>
            </w:r>
            <w:hyperlink r:id="rId58">
              <w:r>
                <w:rPr>
                  <w:rStyle w:val="Hyperlink"/>
                </w:rPr>
                <w:t xml:space="preserve">[49]</w:t>
              </w:r>
            </w:hyperlink>
          </w:p>
        </w:tc>
        <w:tc>
          <w:tcPr/>
          <w:p>
            <w:pPr>
              <w:pStyle w:val="Compact"/>
            </w:pPr>
            <w:r>
              <w:t xml:space="preserve">EU + دول أخرى</w:t>
            </w:r>
          </w:p>
        </w:tc>
      </w:tr>
      <w:tr>
        <w:tc>
          <w:tcPr/>
          <w:p>
            <w:pPr>
              <w:pStyle w:val="Compact"/>
            </w:pPr>
            <w:r>
              <w:t xml:space="preserve">شبكة امتثال/شبكة موردين</w:t>
            </w:r>
          </w:p>
        </w:tc>
        <w:tc>
          <w:tcPr/>
          <w:p>
            <w:pPr>
              <w:pStyle w:val="Compact"/>
            </w:pPr>
            <w:r>
              <w:t xml:space="preserve">Basware</w:t>
            </w:r>
            <w:hyperlink r:id="rId59">
              <w:r>
                <w:rPr>
                  <w:rStyle w:val="Hyperlink"/>
                </w:rPr>
                <w:t xml:space="preserve">[50]</w:t>
              </w:r>
            </w:hyperlink>
          </w:p>
        </w:tc>
        <w:tc>
          <w:tcPr/>
          <w:p>
            <w:pPr>
              <w:pStyle w:val="Compact"/>
            </w:pPr>
            <w:r>
              <w:t xml:space="preserve">شبكة تبادل فواتير “متوافقة” + تسعير مذكور كـ“تواصل معنا” (يميل للـEnterprise)</w:t>
            </w:r>
            <w:r>
              <w:t xml:space="preserve"> </w:t>
            </w:r>
            <w:hyperlink r:id="rId60">
              <w:r>
                <w:rPr>
                  <w:rStyle w:val="Hyperlink"/>
                </w:rPr>
                <w:t xml:space="preserve">[51]</w:t>
              </w:r>
            </w:hyperlink>
          </w:p>
        </w:tc>
        <w:tc>
          <w:tcPr/>
          <w:p>
            <w:pPr>
              <w:pStyle w:val="Compact"/>
            </w:pPr>
            <w:r>
              <w:t xml:space="preserve">“Get in touch” (غير رقمي)</w:t>
            </w:r>
            <w:r>
              <w:t xml:space="preserve"> </w:t>
            </w:r>
            <w:hyperlink r:id="rId56">
              <w:r>
                <w:rPr>
                  <w:rStyle w:val="Hyperlink"/>
                </w:rPr>
                <w:t xml:space="preserve">[52]</w:t>
              </w:r>
            </w:hyperlink>
          </w:p>
        </w:tc>
        <w:tc>
          <w:tcPr/>
          <w:p>
            <w:pPr>
              <w:pStyle w:val="Compact"/>
            </w:pPr>
            <w:r>
              <w:t xml:space="preserve">شبكة تبادل/شبكات موردين</w:t>
            </w:r>
            <w:r>
              <w:t xml:space="preserve"> </w:t>
            </w:r>
            <w:hyperlink r:id="rId60">
              <w:r>
                <w:rPr>
                  <w:rStyle w:val="Hyperlink"/>
                </w:rPr>
                <w:t xml:space="preserve">[53]</w:t>
              </w:r>
            </w:hyperlink>
          </w:p>
        </w:tc>
        <w:tc>
          <w:tcPr/>
          <w:p>
            <w:pPr>
              <w:pStyle w:val="Compact"/>
            </w:pPr>
            <w:r>
              <w:t xml:space="preserve">أوروبا + عالمي</w:t>
            </w:r>
          </w:p>
        </w:tc>
      </w:tr>
      <w:tr>
        <w:tc>
          <w:tcPr/>
          <w:p>
            <w:pPr>
              <w:pStyle w:val="Compact"/>
            </w:pPr>
            <w:r>
              <w:t xml:space="preserve">شبكة امتثال/Peppol</w:t>
            </w:r>
          </w:p>
        </w:tc>
        <w:tc>
          <w:tcPr/>
          <w:p>
            <w:pPr>
              <w:pStyle w:val="Compact"/>
            </w:pPr>
            <w:r>
              <w:t xml:space="preserve">Pagero (ONESOURCE)</w:t>
            </w:r>
            <w:hyperlink r:id="rId28">
              <w:r>
                <w:rPr>
                  <w:rStyle w:val="Hyperlink"/>
                </w:rPr>
                <w:t xml:space="preserve">[54]</w:t>
              </w:r>
            </w:hyperlink>
          </w:p>
        </w:tc>
        <w:tc>
          <w:tcPr/>
          <w:p>
            <w:pPr>
              <w:pStyle w:val="Compact"/>
            </w:pPr>
            <w:r>
              <w:t xml:space="preserve">منصة سحابية لإرسال/استقبال فواتير متوافقة، مع خطاب قوي حول الامتثال متعدد الدول</w:t>
            </w:r>
            <w:r>
              <w:t xml:space="preserve"> </w:t>
            </w:r>
            <w:hyperlink r:id="rId61">
              <w:r>
                <w:rPr>
                  <w:rStyle w:val="Hyperlink"/>
                </w:rPr>
                <w:t xml:space="preserve">[55]</w:t>
              </w:r>
            </w:hyperlink>
          </w:p>
        </w:tc>
        <w:tc>
          <w:tcPr/>
          <w:p>
            <w:pPr>
              <w:pStyle w:val="Compact"/>
            </w:pPr>
            <w:r>
              <w:t xml:space="preserve">غير منشور كرقم (حجز عرض/ديمو)</w:t>
            </w:r>
            <w:r>
              <w:t xml:space="preserve"> </w:t>
            </w:r>
            <w:hyperlink r:id="rId61">
              <w:r>
                <w:rPr>
                  <w:rStyle w:val="Hyperlink"/>
                </w:rPr>
                <w:t xml:space="preserve">[55]</w:t>
              </w:r>
            </w:hyperlink>
          </w:p>
        </w:tc>
        <w:tc>
          <w:tcPr/>
          <w:p>
            <w:pPr>
              <w:pStyle w:val="Compact"/>
            </w:pPr>
            <w:r>
              <w:t xml:space="preserve">تكاملات ERP + شبكة Pagero</w:t>
            </w:r>
            <w:r>
              <w:t xml:space="preserve"> </w:t>
            </w:r>
            <w:hyperlink r:id="rId61">
              <w:r>
                <w:rPr>
                  <w:rStyle w:val="Hyperlink"/>
                </w:rPr>
                <w:t xml:space="preserve">[55]</w:t>
              </w:r>
            </w:hyperlink>
          </w:p>
        </w:tc>
        <w:tc>
          <w:tcPr/>
          <w:p>
            <w:pPr>
              <w:pStyle w:val="Compact"/>
            </w:pPr>
            <w:r>
              <w:t xml:space="preserve">80+ دولة (يشمل أوروبا)</w:t>
            </w:r>
            <w:r>
              <w:t xml:space="preserve"> </w:t>
            </w:r>
            <w:hyperlink r:id="rId61">
              <w:r>
                <w:rPr>
                  <w:rStyle w:val="Hyperlink"/>
                </w:rPr>
                <w:t xml:space="preserve">[55]</w:t>
              </w:r>
            </w:hyperlink>
          </w:p>
        </w:tc>
      </w:tr>
      <w:tr>
        <w:tc>
          <w:tcPr/>
          <w:p>
            <w:pPr>
              <w:pStyle w:val="Compact"/>
            </w:pPr>
            <w:r>
              <w:t xml:space="preserve">منصة SME/محاسبين</w:t>
            </w:r>
          </w:p>
        </w:tc>
        <w:tc>
          <w:tcPr/>
          <w:p>
            <w:pPr>
              <w:pStyle w:val="Compact"/>
            </w:pPr>
            <w:r>
              <w:t xml:space="preserve">B2Brouter</w:t>
            </w:r>
            <w:hyperlink r:id="rId43">
              <w:r>
                <w:rPr>
                  <w:rStyle w:val="Hyperlink"/>
                </w:rPr>
                <w:t xml:space="preserve">[56]</w:t>
              </w:r>
            </w:hyperlink>
          </w:p>
        </w:tc>
        <w:tc>
          <w:tcPr/>
          <w:p>
            <w:pPr>
              <w:pStyle w:val="Compact"/>
            </w:pPr>
            <w:r>
              <w:t xml:space="preserve">خطة مجانية + OCR + جاهزية Peppol + Validator + ميزات شبكات وطنية (FACe/SDI/…)</w:t>
            </w:r>
            <w:r>
              <w:t xml:space="preserve"> </w:t>
            </w:r>
            <w:hyperlink r:id="rId62">
              <w:r>
                <w:rPr>
                  <w:rStyle w:val="Hyperlink"/>
                </w:rPr>
                <w:t xml:space="preserve">[57]</w:t>
              </w:r>
            </w:hyperlink>
          </w:p>
        </w:tc>
        <w:tc>
          <w:tcPr/>
          <w:p>
            <w:pPr>
              <w:pStyle w:val="Compact"/>
            </w:pPr>
            <w:r>
              <w:t xml:space="preserve">0€ (أساسي)؛ 110€/سنة؛ 300€/سنة</w:t>
            </w:r>
            <w:r>
              <w:t xml:space="preserve"> </w:t>
            </w:r>
            <w:hyperlink r:id="rId62">
              <w:r>
                <w:rPr>
                  <w:rStyle w:val="Hyperlink"/>
                </w:rPr>
                <w:t xml:space="preserve">[58]</w:t>
              </w:r>
            </w:hyperlink>
          </w:p>
        </w:tc>
        <w:tc>
          <w:tcPr/>
          <w:p>
            <w:pPr>
              <w:pStyle w:val="Compact"/>
            </w:pPr>
            <w:r>
              <w:t xml:space="preserve">Peppol + شبكات وطنية + API</w:t>
            </w:r>
            <w:r>
              <w:t xml:space="preserve"> </w:t>
            </w:r>
            <w:hyperlink r:id="rId62">
              <w:r>
                <w:rPr>
                  <w:rStyle w:val="Hyperlink"/>
                </w:rPr>
                <w:t xml:space="preserve">[57]</w:t>
              </w:r>
            </w:hyperlink>
          </w:p>
        </w:tc>
        <w:tc>
          <w:tcPr/>
          <w:p>
            <w:pPr>
              <w:pStyle w:val="Compact"/>
            </w:pPr>
            <w:r>
              <w:t xml:space="preserve">تركيز أوروبي قوي مع دعم دولي</w:t>
            </w:r>
            <w:r>
              <w:t xml:space="preserve"> </w:t>
            </w:r>
            <w:hyperlink r:id="rId63">
              <w:r>
                <w:rPr>
                  <w:rStyle w:val="Hyperlink"/>
                </w:rPr>
                <w:t xml:space="preserve">[59]</w:t>
              </w:r>
            </w:hyperlink>
          </w:p>
        </w:tc>
      </w:tr>
      <w:tr>
        <w:tc>
          <w:tcPr/>
          <w:p>
            <w:pPr>
              <w:pStyle w:val="Compact"/>
            </w:pPr>
            <w:r>
              <w:t xml:space="preserve">منصة SME/امتثال ودفع</w:t>
            </w:r>
          </w:p>
        </w:tc>
        <w:tc>
          <w:tcPr/>
          <w:p>
            <w:pPr>
              <w:pStyle w:val="Compact"/>
            </w:pPr>
            <w:r>
              <w:t xml:space="preserve">Banqup</w:t>
            </w:r>
            <w:hyperlink r:id="rId63">
              <w:r>
                <w:rPr>
                  <w:rStyle w:val="Hyperlink"/>
                </w:rPr>
                <w:t xml:space="preserve">[60]</w:t>
              </w:r>
            </w:hyperlink>
          </w:p>
        </w:tc>
        <w:tc>
          <w:tcPr/>
          <w:p>
            <w:pPr>
              <w:pStyle w:val="Compact"/>
            </w:pPr>
            <w:r>
              <w:t xml:space="preserve">تسعير منخفض للاستخدام الخفيف + OCR/استخراج بيانات + إرسال عبر Banqup/Peppol/Email</w:t>
            </w:r>
            <w:r>
              <w:t xml:space="preserve"> </w:t>
            </w:r>
            <w:hyperlink r:id="rId49">
              <w:r>
                <w:rPr>
                  <w:rStyle w:val="Hyperlink"/>
                </w:rPr>
                <w:t xml:space="preserve">[38]</w:t>
              </w:r>
            </w:hyperlink>
          </w:p>
        </w:tc>
        <w:tc>
          <w:tcPr/>
          <w:p>
            <w:pPr>
              <w:pStyle w:val="Compact"/>
            </w:pPr>
            <w:r>
              <w:t xml:space="preserve">5€/شهر و13€/شهر (حتى 20 مستند/شهر في الجدول)</w:t>
            </w:r>
            <w:r>
              <w:t xml:space="preserve"> </w:t>
            </w:r>
            <w:hyperlink r:id="rId49">
              <w:r>
                <w:rPr>
                  <w:rStyle w:val="Hyperlink"/>
                </w:rPr>
                <w:t xml:space="preserve">[38]</w:t>
              </w:r>
            </w:hyperlink>
          </w:p>
        </w:tc>
        <w:tc>
          <w:tcPr/>
          <w:p>
            <w:pPr>
              <w:pStyle w:val="Compact"/>
            </w:pPr>
            <w:r>
              <w:t xml:space="preserve">موصلات شبكة + تكامل محاسبي</w:t>
            </w:r>
            <w:r>
              <w:t xml:space="preserve"> </w:t>
            </w:r>
            <w:hyperlink r:id="rId49">
              <w:r>
                <w:rPr>
                  <w:rStyle w:val="Hyperlink"/>
                </w:rPr>
                <w:t xml:space="preserve">[38]</w:t>
              </w:r>
            </w:hyperlink>
          </w:p>
        </w:tc>
        <w:tc>
          <w:tcPr/>
          <w:p>
            <w:pPr>
              <w:pStyle w:val="Compact"/>
            </w:pPr>
            <w:r>
              <w:t xml:space="preserve">بلجيكا/أوروبا (رسالة Peppol‑ready 2026)</w:t>
            </w:r>
            <w:r>
              <w:t xml:space="preserve"> </w:t>
            </w:r>
            <w:hyperlink r:id="rId64">
              <w:r>
                <w:rPr>
                  <w:rStyle w:val="Hyperlink"/>
                </w:rPr>
                <w:t xml:space="preserve">[61]</w:t>
              </w:r>
            </w:hyperlink>
          </w:p>
        </w:tc>
      </w:tr>
      <w:tr>
        <w:tc>
          <w:tcPr/>
          <w:p>
            <w:pPr>
              <w:pStyle w:val="Compact"/>
            </w:pPr>
            <w:r>
              <w:t xml:space="preserve">IDP/OCR</w:t>
            </w:r>
          </w:p>
        </w:tc>
        <w:tc>
          <w:tcPr/>
          <w:p>
            <w:pPr>
              <w:pStyle w:val="Compact"/>
            </w:pPr>
            <w:r>
              <w:t xml:space="preserve">Klippa</w:t>
            </w:r>
            <w:hyperlink r:id="rId41">
              <w:r>
                <w:rPr>
                  <w:rStyle w:val="Hyperlink"/>
                </w:rPr>
                <w:t xml:space="preserve">[62]</w:t>
              </w:r>
            </w:hyperlink>
          </w:p>
        </w:tc>
        <w:tc>
          <w:tcPr/>
          <w:p>
            <w:pPr>
              <w:pStyle w:val="Compact"/>
            </w:pPr>
            <w:r>
              <w:t xml:space="preserve">تسعير واضح ومعالجة فواتير مع OCR وتكاملات محاسبة/ERP</w:t>
            </w:r>
            <w:r>
              <w:t xml:space="preserve"> </w:t>
            </w:r>
            <w:hyperlink r:id="rId65">
              <w:r>
                <w:rPr>
                  <w:rStyle w:val="Hyperlink"/>
                </w:rPr>
                <w:t xml:space="preserve">[63]</w:t>
              </w:r>
            </w:hyperlink>
          </w:p>
        </w:tc>
        <w:tc>
          <w:tcPr/>
          <w:p>
            <w:pPr>
              <w:pStyle w:val="Compact"/>
            </w:pPr>
            <w:r>
              <w:t xml:space="preserve">95€/شهر (حتى 4000/سنة)؛ 275€/شهر (حتى 12000/سنة)</w:t>
            </w:r>
            <w:r>
              <w:t xml:space="preserve"> </w:t>
            </w:r>
            <w:hyperlink r:id="rId65">
              <w:r>
                <w:rPr>
                  <w:rStyle w:val="Hyperlink"/>
                </w:rPr>
                <w:t xml:space="preserve">[64]</w:t>
              </w:r>
            </w:hyperlink>
          </w:p>
        </w:tc>
        <w:tc>
          <w:tcPr/>
          <w:p>
            <w:pPr>
              <w:pStyle w:val="Compact"/>
            </w:pPr>
            <w:r>
              <w:t xml:space="preserve">API/Integrations</w:t>
            </w:r>
            <w:r>
              <w:t xml:space="preserve"> </w:t>
            </w:r>
            <w:hyperlink r:id="rId65">
              <w:r>
                <w:rPr>
                  <w:rStyle w:val="Hyperlink"/>
                </w:rPr>
                <w:t xml:space="preserve">[63]</w:t>
              </w:r>
            </w:hyperlink>
          </w:p>
        </w:tc>
        <w:tc>
          <w:tcPr/>
          <w:p>
            <w:pPr>
              <w:pStyle w:val="Compact"/>
            </w:pPr>
            <w:r>
              <w:t xml:space="preserve">أوروبي مع توسع دولي</w:t>
            </w:r>
          </w:p>
        </w:tc>
      </w:tr>
      <w:tr>
        <w:tc>
          <w:tcPr/>
          <w:p>
            <w:pPr>
              <w:pStyle w:val="Compact"/>
            </w:pPr>
            <w:r>
              <w:t xml:space="preserve">IDP/OCR</w:t>
            </w:r>
          </w:p>
        </w:tc>
        <w:tc>
          <w:tcPr/>
          <w:p>
            <w:pPr>
              <w:pStyle w:val="Compact"/>
            </w:pPr>
            <w:r>
              <w:t xml:space="preserve">Rossum</w:t>
            </w:r>
            <w:hyperlink r:id="rId55">
              <w:r>
                <w:rPr>
                  <w:rStyle w:val="Hyperlink"/>
                </w:rPr>
                <w:t xml:space="preserve">[65]</w:t>
              </w:r>
            </w:hyperlink>
          </w:p>
        </w:tc>
        <w:tc>
          <w:tcPr/>
          <w:p>
            <w:pPr>
              <w:pStyle w:val="Compact"/>
            </w:pPr>
            <w:r>
              <w:t xml:space="preserve">استخراج بيانات مع “قواعد/منطق” وواجهة تقارير وتكاملات؛ صفحة تسعير بدون أرقام علنية</w:t>
            </w:r>
            <w:r>
              <w:t xml:space="preserve"> </w:t>
            </w:r>
            <w:hyperlink r:id="rId54">
              <w:r>
                <w:rPr>
                  <w:rStyle w:val="Hyperlink"/>
                </w:rPr>
                <w:t xml:space="preserve">[66]</w:t>
              </w:r>
            </w:hyperlink>
          </w:p>
        </w:tc>
        <w:tc>
          <w:tcPr/>
          <w:p>
            <w:pPr>
              <w:pStyle w:val="Compact"/>
            </w:pPr>
            <w:r>
              <w:t xml:space="preserve">غير منشور كرقم</w:t>
            </w:r>
          </w:p>
        </w:tc>
        <w:tc>
          <w:tcPr/>
          <w:p>
            <w:pPr>
              <w:pStyle w:val="Compact"/>
            </w:pPr>
            <w:r>
              <w:t xml:space="preserve">API/Webhooks/منطق مخصص</w:t>
            </w:r>
            <w:r>
              <w:t xml:space="preserve"> </w:t>
            </w:r>
            <w:hyperlink r:id="rId54">
              <w:r>
                <w:rPr>
                  <w:rStyle w:val="Hyperlink"/>
                </w:rPr>
                <w:t xml:space="preserve">[67]</w:t>
              </w:r>
            </w:hyperlink>
          </w:p>
        </w:tc>
        <w:tc>
          <w:tcPr/>
          <w:p>
            <w:pPr>
              <w:pStyle w:val="Compact"/>
            </w:pPr>
            <w:r>
              <w:t xml:space="preserve">أوروبي + دولي</w:t>
            </w:r>
          </w:p>
        </w:tc>
      </w:tr>
      <w:tr>
        <w:tc>
          <w:tcPr/>
          <w:p>
            <w:pPr>
              <w:pStyle w:val="Compact"/>
            </w:pPr>
            <w:r>
              <w:t xml:space="preserve">أتمتة AP</w:t>
            </w:r>
          </w:p>
        </w:tc>
        <w:tc>
          <w:tcPr/>
          <w:p>
            <w:pPr>
              <w:pStyle w:val="Compact"/>
            </w:pPr>
            <w:r>
              <w:t xml:space="preserve">Hypatos</w:t>
            </w:r>
            <w:hyperlink r:id="rId64">
              <w:r>
                <w:rPr>
                  <w:rStyle w:val="Hyperlink"/>
                </w:rPr>
                <w:t xml:space="preserve">[68]</w:t>
              </w:r>
            </w:hyperlink>
          </w:p>
        </w:tc>
        <w:tc>
          <w:tcPr/>
          <w:p>
            <w:pPr>
              <w:pStyle w:val="Compact"/>
            </w:pPr>
            <w:r>
              <w:t xml:space="preserve">استخراج من مستندات غير مهيكلة (PDF/Email) مع أتمتة AP (التقاط→مطابقة→موافقات)</w:t>
            </w:r>
            <w:r>
              <w:t xml:space="preserve"> </w:t>
            </w:r>
            <w:hyperlink r:id="rId59">
              <w:r>
                <w:rPr>
                  <w:rStyle w:val="Hyperlink"/>
                </w:rPr>
                <w:t xml:space="preserve">[69]</w:t>
              </w:r>
            </w:hyperlink>
          </w:p>
        </w:tc>
        <w:tc>
          <w:tcPr/>
          <w:p>
            <w:pPr>
              <w:pStyle w:val="Compact"/>
            </w:pPr>
            <w:r>
              <w:t xml:space="preserve">غير منشور كرقم</w:t>
            </w:r>
          </w:p>
        </w:tc>
        <w:tc>
          <w:tcPr/>
          <w:p>
            <w:pPr>
              <w:pStyle w:val="Compact"/>
            </w:pPr>
            <w:r>
              <w:t xml:space="preserve">تكاملات نظم مالية/ERP (مذكورة في الحل)</w:t>
            </w:r>
            <w:r>
              <w:t xml:space="preserve"> </w:t>
            </w:r>
            <w:hyperlink r:id="rId59">
              <w:r>
                <w:rPr>
                  <w:rStyle w:val="Hyperlink"/>
                </w:rPr>
                <w:t xml:space="preserve">[69]</w:t>
              </w:r>
            </w:hyperlink>
          </w:p>
        </w:tc>
        <w:tc>
          <w:tcPr/>
          <w:p>
            <w:pPr>
              <w:pStyle w:val="Compact"/>
            </w:pPr>
            <w:r>
              <w:t xml:space="preserve">شركات متوسطة/كبيرة (أوروبا)</w:t>
            </w:r>
          </w:p>
        </w:tc>
      </w:tr>
      <w:tr>
        <w:tc>
          <w:tcPr/>
          <w:p>
            <w:pPr>
              <w:pStyle w:val="Compact"/>
            </w:pPr>
            <w:r>
              <w:t xml:space="preserve">ERP/محاسبة</w:t>
            </w:r>
          </w:p>
        </w:tc>
        <w:tc>
          <w:tcPr/>
          <w:p>
            <w:pPr>
              <w:pStyle w:val="Compact"/>
            </w:pPr>
            <w:r>
              <w:t xml:space="preserve">Odoo</w:t>
            </w:r>
            <w:hyperlink r:id="rId49">
              <w:r>
                <w:rPr>
                  <w:rStyle w:val="Hyperlink"/>
                </w:rPr>
                <w:t xml:space="preserve">[70]</w:t>
              </w:r>
            </w:hyperlink>
          </w:p>
        </w:tc>
        <w:tc>
          <w:tcPr/>
          <w:p>
            <w:pPr>
              <w:pStyle w:val="Compact"/>
            </w:pPr>
            <w:r>
              <w:t xml:space="preserve">توثيق رسمي لكيفية التسجيل على Peppol داخل النظام وإرسال/استقبال</w:t>
            </w:r>
            <w:r>
              <w:t xml:space="preserve"> </w:t>
            </w:r>
            <w:hyperlink r:id="rId55">
              <w:r>
                <w:rPr>
                  <w:rStyle w:val="Hyperlink"/>
                </w:rPr>
                <w:t xml:space="preserve">[71]</w:t>
              </w:r>
            </w:hyperlink>
          </w:p>
        </w:tc>
        <w:tc>
          <w:tcPr/>
          <w:p>
            <w:pPr>
              <w:pStyle w:val="Compact"/>
            </w:pPr>
            <w:r>
              <w:t xml:space="preserve">تسعير Odoo خارج نطاق التقرير (ليس محور هذه المقارنة)</w:t>
            </w:r>
          </w:p>
        </w:tc>
        <w:tc>
          <w:tcPr/>
          <w:p>
            <w:pPr>
              <w:pStyle w:val="Compact"/>
            </w:pPr>
            <w:r>
              <w:t xml:space="preserve">تكامل Peppol داخل المنتج</w:t>
            </w:r>
            <w:r>
              <w:t xml:space="preserve"> </w:t>
            </w:r>
            <w:hyperlink r:id="rId55">
              <w:r>
                <w:rPr>
                  <w:rStyle w:val="Hyperlink"/>
                </w:rPr>
                <w:t xml:space="preserve">[71]</w:t>
              </w:r>
            </w:hyperlink>
          </w:p>
        </w:tc>
        <w:tc>
          <w:tcPr/>
          <w:p>
            <w:pPr>
              <w:pStyle w:val="Compact"/>
            </w:pPr>
            <w:r>
              <w:t xml:space="preserve">أوروبي/عالمي</w:t>
            </w:r>
          </w:p>
        </w:tc>
      </w:tr>
    </w:tbl>
    <w:p>
      <w:pPr>
        <w:pStyle w:val="BodyText"/>
      </w:pPr>
      <w:r>
        <w:rPr>
          <w:b/>
          <w:bCs/>
        </w:rPr>
        <w:t xml:space="preserve">قراءة تنافسية لصالح Invoice2E</w:t>
      </w:r>
      <w:r>
        <w:t xml:space="preserve">:</w:t>
      </w:r>
      <w:r>
        <w:br/>
      </w:r>
      <w:r>
        <w:t xml:space="preserve">الفرصة الأكبر تكمن في “منطقة التقاطع” بين منصات SME (التي تقدم سير عمل/بوابة) ومزودي الشبكات (الذين يقدمون امتثالاً ثقيلاً لكن بتسعير Enterprise): أي منتج API‑first مخصص للتحويل والتحقق متعدد الصيغ والدول—مع تجربة self‑service قوية—قد يقتنص شريحة “متوسطي التعقيد”: شركات صغيرة ومتوسطة لديها تدفق PDF كبير لكنها لا تريد مشروع شبكة امتثال كامل. ومع توسع الإلزام (ألمانيا/بلجيكا/فرنسا/بولندا/رومانيا)، تصبح هذه الشريحة واسعة.</w:t>
      </w:r>
      <w:r>
        <w:t xml:space="preserve"> </w:t>
      </w:r>
      <w:hyperlink r:id="rId22">
        <w:r>
          <w:rPr>
            <w:rStyle w:val="Hyperlink"/>
          </w:rPr>
          <w:t xml:space="preserve">[12]</w:t>
        </w:r>
      </w:hyperlink>
    </w:p>
    <w:p>
      <w:r>
        <w:pict>
          <v:rect style="width:0;height:1.5pt" o:hralign="center" o:hrstd="t" o:hr="t"/>
        </w:pict>
      </w:r>
    </w:p>
    <w:bookmarkEnd w:id="66"/>
    <w:bookmarkEnd w:id="67"/>
    <w:bookmarkStart w:id="71" w:name="Xb0aa476dfb95246987a3054f0c508ab94e8df1b"/>
    <w:p>
      <w:pPr>
        <w:pStyle w:val="Heading2"/>
      </w:pPr>
      <w:r>
        <w:t xml:space="preserve">البنية التقنية المقترحة وخارطة طريق المنتج</w:t>
      </w:r>
    </w:p>
    <w:p>
      <w:pPr>
        <w:pStyle w:val="FirstParagraph"/>
      </w:pPr>
      <w:r>
        <w:t xml:space="preserve">Invoice2E اليوم يَعِد بتحويل PDF/JPG/PNG إلى XRechnung XML مع استخراج بالذكاء الاصطناعي والتحقق مقابل “المعايير الرسمية”.</w:t>
      </w:r>
      <w:r>
        <w:t xml:space="preserve"> </w:t>
      </w:r>
      <w:hyperlink r:id="rId21">
        <w:r>
          <w:rPr>
            <w:rStyle w:val="Hyperlink"/>
          </w:rPr>
          <w:t xml:space="preserve">[1]</w:t>
        </w:r>
      </w:hyperlink>
      <w:r>
        <w:t xml:space="preserve"> </w:t>
      </w:r>
      <w:r>
        <w:t xml:space="preserve">للوصول إلى قابلية توسع أوروبية، يجب فصل المنتج إلى طبقات هندسية ثابتة تدعم “تنويعات” المعيار عبر الدول.</w:t>
      </w:r>
    </w:p>
    <w:bookmarkStart w:id="68" w:name="Xfb793af629b8d841601dd357f962ab2fdbc8631"/>
    <w:p>
      <w:pPr>
        <w:pStyle w:val="Heading3"/>
      </w:pPr>
      <w:r>
        <w:t xml:space="preserve">متطلبات تقنية حاكمة يجب أن يلتزم بها التصميم</w:t>
      </w:r>
    </w:p>
    <w:p>
      <w:pPr>
        <w:pStyle w:val="FirstParagraph"/>
      </w:pPr>
      <w:r>
        <w:t xml:space="preserve">المعيار الأوروبي يفرض عملياً أن تكون الفاتورة “مطابقة دلالياً” لـEN 16931، ومحمولة على UBL 2.1 أو CII D16B.</w:t>
      </w:r>
      <w:r>
        <w:t xml:space="preserve"> </w:t>
      </w:r>
      <w:hyperlink r:id="rId28">
        <w:r>
          <w:rPr>
            <w:rStyle w:val="Hyperlink"/>
          </w:rPr>
          <w:t xml:space="preserve">[8]</w:t>
        </w:r>
      </w:hyperlink>
      <w:r>
        <w:t xml:space="preserve"> </w:t>
      </w:r>
      <w:r>
        <w:t xml:space="preserve">وPeppol BIS Billing 3.0 يُضيف قيود CIUS على EN 16931.</w:t>
      </w:r>
      <w:r>
        <w:t xml:space="preserve"> </w:t>
      </w:r>
      <w:hyperlink r:id="rId34">
        <w:r>
          <w:rPr>
            <w:rStyle w:val="Hyperlink"/>
          </w:rPr>
          <w:t xml:space="preserve">[22]</w:t>
        </w:r>
      </w:hyperlink>
      <w:r>
        <w:t xml:space="preserve"> </w:t>
      </w:r>
      <w:r>
        <w:t xml:space="preserve">وXRechnung كذلك CIUS لـEN 16931 مع تطبيق على UBL وCII.</w:t>
      </w:r>
      <w:r>
        <w:t xml:space="preserve"> </w:t>
      </w:r>
      <w:hyperlink r:id="rId39">
        <w:r>
          <w:rPr>
            <w:rStyle w:val="Hyperlink"/>
          </w:rPr>
          <w:t xml:space="preserve">[25]</w:t>
        </w:r>
      </w:hyperlink>
      <w:r>
        <w:t xml:space="preserve"> </w:t>
      </w:r>
      <w:r>
        <w:t xml:space="preserve">وFactur‑X/ZUGFeRD يضيفان بعداً “هجينا” (PDF/A‑3 + XML CII الموافق لـEN16931).</w:t>
      </w:r>
      <w:r>
        <w:t xml:space="preserve"> </w:t>
      </w:r>
      <w:hyperlink r:id="rId40">
        <w:r>
          <w:rPr>
            <w:rStyle w:val="Hyperlink"/>
          </w:rPr>
          <w:t xml:space="preserve">[72]</w:t>
        </w:r>
      </w:hyperlink>
    </w:p>
    <w:bookmarkEnd w:id="68"/>
    <w:bookmarkStart w:id="69" w:name="معمارية-منتج-مقترحة"/>
    <w:p>
      <w:pPr>
        <w:pStyle w:val="Heading3"/>
      </w:pPr>
      <w:r>
        <w:t xml:space="preserve">معمارية منتج مقترحة</w:t>
      </w:r>
    </w:p>
    <w:p>
      <w:pPr>
        <w:pStyle w:val="SourceCode"/>
      </w:pPr>
      <w:r>
        <w:rPr>
          <w:rStyle w:val="VerbatimChar"/>
        </w:rPr>
        <w:t xml:space="preserve">flowchart LR</w:t>
      </w:r>
      <w:r>
        <w:br/>
      </w:r>
      <w:r>
        <w:rPr>
          <w:rStyle w:val="VerbatimChar"/>
        </w:rPr>
        <w:t xml:space="preserve">  A[Ingestion: PDF/JPG/PNG] --&gt; B{Detect: PDF text or scanned image?}</w:t>
      </w:r>
      <w:r>
        <w:br/>
      </w:r>
      <w:r>
        <w:rPr>
          <w:rStyle w:val="VerbatimChar"/>
        </w:rPr>
        <w:t xml:space="preserve">  B --&gt;|Text PDF| C[Parse text + layout (PDF objects)]</w:t>
      </w:r>
      <w:r>
        <w:br/>
      </w:r>
      <w:r>
        <w:rPr>
          <w:rStyle w:val="VerbatimChar"/>
        </w:rPr>
        <w:t xml:space="preserve">  B --&gt;|Image/scan| D[Image pre-processing + OCR]</w:t>
      </w:r>
      <w:r>
        <w:br/>
      </w:r>
      <w:r>
        <w:rPr>
          <w:rStyle w:val="VerbatimChar"/>
        </w:rPr>
        <w:t xml:space="preserve">  C --&gt; E[Document understanding\n(line items, totals, VAT, parties)]</w:t>
      </w:r>
      <w:r>
        <w:br/>
      </w:r>
      <w:r>
        <w:rPr>
          <w:rStyle w:val="VerbatimChar"/>
        </w:rPr>
        <w:t xml:space="preserve">  D --&gt; E</w:t>
      </w:r>
      <w:r>
        <w:br/>
      </w:r>
      <w:r>
        <w:rPr>
          <w:rStyle w:val="VerbatimChar"/>
        </w:rPr>
        <w:t xml:space="preserve">  E --&gt; F[Normalization\n(VAT IDs, dates, currencies, codes)]</w:t>
      </w:r>
      <w:r>
        <w:br/>
      </w:r>
      <w:r>
        <w:rPr>
          <w:rStyle w:val="VerbatimChar"/>
        </w:rPr>
        <w:t xml:space="preserve">  F --&gt; G[Semantic mapping to EN 16931\nbusiness terms]</w:t>
      </w:r>
      <w:r>
        <w:br/>
      </w:r>
      <w:r>
        <w:rPr>
          <w:rStyle w:val="VerbatimChar"/>
        </w:rPr>
        <w:t xml:space="preserve">  G --&gt; H{Target profile?}</w:t>
      </w:r>
      <w:r>
        <w:br/>
      </w:r>
      <w:r>
        <w:rPr>
          <w:rStyle w:val="VerbatimChar"/>
        </w:rPr>
        <w:t xml:space="preserve">  H --&gt;|XRechnung| I[Generate UBL and/or CII\nCIUS XRechnung rules]</w:t>
      </w:r>
      <w:r>
        <w:br/>
      </w:r>
      <w:r>
        <w:rPr>
          <w:rStyle w:val="VerbatimChar"/>
        </w:rPr>
        <w:t xml:space="preserve">  H --&gt;|Peppol BIS| J[Generate UBL\nPeppol BIS Billing 3.0 rules]</w:t>
      </w:r>
      <w:r>
        <w:br/>
      </w:r>
      <w:r>
        <w:rPr>
          <w:rStyle w:val="VerbatimChar"/>
        </w:rPr>
        <w:t xml:space="preserve">  H --&gt;|Factur-X/ZUGFeRD| K[Generate CII XML + embed into PDF/A-3]</w:t>
      </w:r>
      <w:r>
        <w:br/>
      </w:r>
      <w:r>
        <w:rPr>
          <w:rStyle w:val="VerbatimChar"/>
        </w:rPr>
        <w:t xml:space="preserve">  I --&gt; L[Validation: XSD + Schematron + country rules]</w:t>
      </w:r>
      <w:r>
        <w:br/>
      </w:r>
      <w:r>
        <w:rPr>
          <w:rStyle w:val="VerbatimChar"/>
        </w:rPr>
        <w:t xml:space="preserve">  J --&gt; L</w:t>
      </w:r>
      <w:r>
        <w:br/>
      </w:r>
      <w:r>
        <w:rPr>
          <w:rStyle w:val="VerbatimChar"/>
        </w:rPr>
        <w:t xml:space="preserve">  K --&gt; L</w:t>
      </w:r>
      <w:r>
        <w:br/>
      </w:r>
      <w:r>
        <w:rPr>
          <w:rStyle w:val="VerbatimChar"/>
        </w:rPr>
        <w:t xml:space="preserve">  L --&gt; M{Delivery channel}</w:t>
      </w:r>
      <w:r>
        <w:br/>
      </w:r>
      <w:r>
        <w:rPr>
          <w:rStyle w:val="VerbatimChar"/>
        </w:rPr>
        <w:t xml:space="preserve">  M --&gt;|Download| N[User downloads XML/PDF-A3]</w:t>
      </w:r>
      <w:r>
        <w:br/>
      </w:r>
      <w:r>
        <w:rPr>
          <w:rStyle w:val="VerbatimChar"/>
        </w:rPr>
        <w:t xml:space="preserve">  M --&gt;|API| O[REST API + webhooks]</w:t>
      </w:r>
      <w:r>
        <w:br/>
      </w:r>
      <w:r>
        <w:rPr>
          <w:rStyle w:val="VerbatimChar"/>
        </w:rPr>
        <w:t xml:space="preserve">  M --&gt;|Peppol| P[Peppol Access Point integration/partner]</w:t>
      </w:r>
      <w:r>
        <w:br/>
      </w:r>
      <w:r>
        <w:rPr>
          <w:rStyle w:val="VerbatimChar"/>
        </w:rPr>
        <w:t xml:space="preserve">  L --&gt; Q[Audit logs + evidence\n(for compliance/support)]</w:t>
      </w:r>
      <w:r>
        <w:br/>
      </w:r>
      <w:r>
        <w:rPr>
          <w:rStyle w:val="VerbatimChar"/>
        </w:rPr>
        <w:t xml:space="preserve">  Q --&gt; R[Retention + deletion policies\nGDPR-aligned]</w:t>
      </w:r>
    </w:p>
    <w:bookmarkEnd w:id="69"/>
    <w:bookmarkStart w:id="70" w:name="Xb213485816fbd3290adc30175e2ccc6971bada8"/>
    <w:p>
      <w:pPr>
        <w:pStyle w:val="Heading3"/>
      </w:pPr>
      <w:r>
        <w:t xml:space="preserve">خارطة طريق منتج قصيرة/متوسطة/طويلة مع تقدير جهد مبدئي</w:t>
      </w:r>
    </w:p>
    <w:p>
      <w:pPr>
        <w:pStyle w:val="BlockText"/>
      </w:pPr>
      <w:r>
        <w:t xml:space="preserve">جميع تقديرات الجهد أدناه</w:t>
      </w:r>
      <w:r>
        <w:t xml:space="preserve"> </w:t>
      </w:r>
      <w:r>
        <w:rPr>
          <w:b/>
          <w:bCs/>
        </w:rPr>
        <w:t xml:space="preserve">افتراضية</w:t>
      </w:r>
      <w:r>
        <w:t xml:space="preserve"> </w:t>
      </w:r>
      <w:r>
        <w:t xml:space="preserve">لأن حجم الفريق الحالي، البنية الحالية، الميزانية، ومستوى الأتمتة/الاختبارات غير محددة في الطلب. لذلك تُقدَّم كخيارات تعتمد على فريق صغير (2–4 مهندسين) أو فريق متوسط (5–8). (غير محدد: حجم الفريق/الميزانية/البنية الحالية).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الأفق الزمني</w:t>
            </w:r>
          </w:p>
        </w:tc>
        <w:tc>
          <w:tcPr/>
          <w:p>
            <w:pPr>
              <w:pStyle w:val="Compact"/>
            </w:pPr>
            <w:r>
              <w:t xml:space="preserve">هدف المنتج</w:t>
            </w:r>
          </w:p>
        </w:tc>
        <w:tc>
          <w:tcPr/>
          <w:p>
            <w:pPr>
              <w:pStyle w:val="Compact"/>
            </w:pPr>
            <w:r>
              <w:t xml:space="preserve">مخرجات عملية (Deliverables)</w:t>
            </w:r>
          </w:p>
        </w:tc>
        <w:tc>
          <w:tcPr/>
          <w:p>
            <w:pPr>
              <w:pStyle w:val="Compact"/>
            </w:pPr>
            <w:r>
              <w:t xml:space="preserve">“جهد تقريبي” (افتراضي)</w:t>
            </w:r>
          </w:p>
        </w:tc>
      </w:tr>
      <w:tr>
        <w:tc>
          <w:tcPr/>
          <w:p>
            <w:pPr>
              <w:pStyle w:val="Compact"/>
            </w:pPr>
            <w:r>
              <w:t xml:space="preserve">قصير الأمد</w:t>
            </w:r>
          </w:p>
        </w:tc>
        <w:tc>
          <w:tcPr/>
          <w:p>
            <w:pPr>
              <w:pStyle w:val="Compact"/>
            </w:pPr>
            <w:r>
              <w:t xml:space="preserve">تثبيت الجودة والامتثال في ألمانيا وتحضير تعدد الصيغ</w:t>
            </w:r>
          </w:p>
        </w:tc>
        <w:tc>
          <w:tcPr/>
          <w:p>
            <w:pPr>
              <w:pStyle w:val="Compact"/>
            </w:pPr>
            <w:r>
              <w:t xml:space="preserve">دعم “EN16931‑core” داخلياً كطبقة وسيطة؛ تحسين التحقق XRechnung (UBL+CII)؛ تقارير سبب الرفض؛ صفحة سياسات واضحة (خصوصية/شروط)</w:t>
            </w:r>
          </w:p>
        </w:tc>
        <w:tc>
          <w:tcPr/>
          <w:p>
            <w:pPr>
              <w:pStyle w:val="Compact"/>
            </w:pPr>
            <w:r>
              <w:t xml:space="preserve">4–8 أسابيع</w:t>
            </w:r>
          </w:p>
        </w:tc>
      </w:tr>
      <w:tr>
        <w:tc>
          <w:tcPr/>
          <w:p>
            <w:pPr>
              <w:pStyle w:val="Compact"/>
            </w:pPr>
            <w:r>
              <w:t xml:space="preserve">قصير الأمد</w:t>
            </w:r>
          </w:p>
        </w:tc>
        <w:tc>
          <w:tcPr/>
          <w:p>
            <w:pPr>
              <w:pStyle w:val="Compact"/>
            </w:pPr>
            <w:r>
              <w:t xml:space="preserve">API‑first</w:t>
            </w:r>
          </w:p>
        </w:tc>
        <w:tc>
          <w:tcPr/>
          <w:p>
            <w:pPr>
              <w:pStyle w:val="Compact"/>
            </w:pPr>
            <w:r>
              <w:t xml:space="preserve">REST API (Upload→Status→Result) + Webhooks + مفاتيح API + معدلات (rate limits) + عزل بيانات (tenant isolation)</w:t>
            </w:r>
          </w:p>
        </w:tc>
        <w:tc>
          <w:tcPr/>
          <w:p>
            <w:pPr>
              <w:pStyle w:val="Compact"/>
            </w:pPr>
            <w:r>
              <w:t xml:space="preserve">4–10 أسابيع</w:t>
            </w:r>
          </w:p>
        </w:tc>
      </w:tr>
      <w:tr>
        <w:tc>
          <w:tcPr/>
          <w:p>
            <w:pPr>
              <w:pStyle w:val="Compact"/>
            </w:pPr>
            <w:r>
              <w:t xml:space="preserve">متوسط الأمد</w:t>
            </w:r>
          </w:p>
        </w:tc>
        <w:tc>
          <w:tcPr/>
          <w:p>
            <w:pPr>
              <w:pStyle w:val="Compact"/>
            </w:pPr>
            <w:r>
              <w:t xml:space="preserve">دعم Peppol BIS Billing 3.0 (UBL)</w:t>
            </w:r>
          </w:p>
        </w:tc>
        <w:tc>
          <w:tcPr/>
          <w:p>
            <w:pPr>
              <w:pStyle w:val="Compact"/>
            </w:pPr>
            <w:r>
              <w:t xml:space="preserve">مولّد Peppol BIS (CIUS) + تحقق مطابق + خيار “تسليم عبر شريك Access Point” (بدلاً من بناء AP ذاتياً)</w:t>
            </w:r>
          </w:p>
        </w:tc>
        <w:tc>
          <w:tcPr/>
          <w:p>
            <w:pPr>
              <w:pStyle w:val="Compact"/>
            </w:pPr>
            <w:r>
              <w:t xml:space="preserve">8–16 أسبوعاً</w:t>
            </w:r>
          </w:p>
        </w:tc>
      </w:tr>
      <w:tr>
        <w:tc>
          <w:tcPr/>
          <w:p>
            <w:pPr>
              <w:pStyle w:val="Compact"/>
            </w:pPr>
            <w:r>
              <w:t xml:space="preserve">متوسط الأمد</w:t>
            </w:r>
          </w:p>
        </w:tc>
        <w:tc>
          <w:tcPr/>
          <w:p>
            <w:pPr>
              <w:pStyle w:val="Compact"/>
            </w:pPr>
            <w:r>
              <w:t xml:space="preserve">دعم هجين ZUGFeRD/Factur‑X</w:t>
            </w:r>
          </w:p>
        </w:tc>
        <w:tc>
          <w:tcPr/>
          <w:p>
            <w:pPr>
              <w:pStyle w:val="Compact"/>
            </w:pPr>
            <w:r>
              <w:t xml:space="preserve">توليد CII + تعبئة ملف XML داخل PDF/A‑3، وتحديد Profiles (Minimum/Basic/EN16931)</w:t>
            </w:r>
          </w:p>
        </w:tc>
        <w:tc>
          <w:tcPr/>
          <w:p>
            <w:pPr>
              <w:pStyle w:val="Compact"/>
            </w:pPr>
            <w:r>
              <w:t xml:space="preserve">8–14 أسبوعاً</w:t>
            </w:r>
            <w:r>
              <w:t xml:space="preserve"> </w:t>
            </w:r>
            <w:hyperlink r:id="rId40">
              <w:r>
                <w:rPr>
                  <w:rStyle w:val="Hyperlink"/>
                </w:rPr>
                <w:t xml:space="preserve">[72]</w:t>
              </w:r>
            </w:hyperlink>
          </w:p>
        </w:tc>
      </w:tr>
      <w:tr>
        <w:tc>
          <w:tcPr/>
          <w:p>
            <w:pPr>
              <w:pStyle w:val="Compact"/>
            </w:pPr>
            <w:r>
              <w:t xml:space="preserve">طويل الأمد</w:t>
            </w:r>
          </w:p>
        </w:tc>
        <w:tc>
          <w:tcPr/>
          <w:p>
            <w:pPr>
              <w:pStyle w:val="Compact"/>
            </w:pPr>
            <w:r>
              <w:t xml:space="preserve">توسيع متعدد دول CTC</w:t>
            </w:r>
          </w:p>
        </w:tc>
        <w:tc>
          <w:tcPr/>
          <w:p>
            <w:pPr>
              <w:pStyle w:val="Compact"/>
            </w:pPr>
            <w:r>
              <w:t xml:space="preserve">موصلات/قوالب لبلدان منصة مركزية (مثل KSeF/RO e‑Factura) + تكيفات قواعد محلية + مراقبة/إعادة إرسال</w:t>
            </w:r>
          </w:p>
        </w:tc>
        <w:tc>
          <w:tcPr/>
          <w:p>
            <w:pPr>
              <w:pStyle w:val="Compact"/>
            </w:pPr>
            <w:r>
              <w:t xml:space="preserve">4–9 أشهر</w:t>
            </w:r>
            <w:r>
              <w:t xml:space="preserve"> </w:t>
            </w:r>
            <w:hyperlink r:id="rId25">
              <w:r>
                <w:rPr>
                  <w:rStyle w:val="Hyperlink"/>
                </w:rPr>
                <w:t xml:space="preserve">[73]</w:t>
              </w:r>
            </w:hyperlink>
          </w:p>
        </w:tc>
      </w:tr>
      <w:tr>
        <w:tc>
          <w:tcPr/>
          <w:p>
            <w:pPr>
              <w:pStyle w:val="Compact"/>
            </w:pPr>
            <w:r>
              <w:t xml:space="preserve">طويل الأمد</w:t>
            </w:r>
          </w:p>
        </w:tc>
        <w:tc>
          <w:tcPr/>
          <w:p>
            <w:pPr>
              <w:pStyle w:val="Compact"/>
            </w:pPr>
            <w:r>
              <w:t xml:space="preserve">جاهزية ViDA‑era</w:t>
            </w:r>
          </w:p>
        </w:tc>
        <w:tc>
          <w:tcPr/>
          <w:p>
            <w:pPr>
              <w:pStyle w:val="Compact"/>
            </w:pPr>
            <w:r>
              <w:t xml:space="preserve">تدفقات تدعم تقارير رقمية cross‑border (2030) وإدارة اختلافات الضرائب/البيانات بزمن قصير</w:t>
            </w:r>
          </w:p>
        </w:tc>
        <w:tc>
          <w:tcPr/>
          <w:p>
            <w:pPr>
              <w:pStyle w:val="Compact"/>
            </w:pPr>
            <w:r>
              <w:t xml:space="preserve">برنامج متعدد المراحل حتى 2030</w:t>
            </w:r>
            <w:r>
              <w:t xml:space="preserve"> </w:t>
            </w:r>
            <w:hyperlink r:id="rId29">
              <w:r>
                <w:rPr>
                  <w:rStyle w:val="Hyperlink"/>
                </w:rPr>
                <w:t xml:space="preserve">[74]</w:t>
              </w:r>
            </w:hyperlink>
          </w:p>
        </w:tc>
      </w:tr>
    </w:tbl>
    <w:p>
      <w:pPr>
        <w:pStyle w:val="BodyText"/>
      </w:pPr>
      <w:r>
        <w:rPr>
          <w:b/>
          <w:bCs/>
        </w:rPr>
        <w:t xml:space="preserve">قرار استراتيجي حاسم: Peppol Access Point</w:t>
      </w:r>
      <w:r>
        <w:br/>
      </w:r>
      <w:r>
        <w:t xml:space="preserve">بناء Access Point داخلياً يعني الدخول في مجال تشغيل/امتثال/مراقبة 24/7 وتفاعل مع منظومة اعتماد ومواصفات وتحديثات. القائمة الرسمية لمزودي الخدمة المعتمدين توضح أن السوق يضم عدداً كبيراً من مزودي AP، ما يجعل خيار الشراكة (Affiliate/Partner) غالباً أسرع لإطلاق السوق من بناء AP كامل من الصفر.</w:t>
      </w:r>
      <w:r>
        <w:t xml:space="preserve"> </w:t>
      </w:r>
      <w:hyperlink r:id="rId37">
        <w:r>
          <w:rPr>
            <w:rStyle w:val="Hyperlink"/>
          </w:rPr>
          <w:t xml:space="preserve">[75]</w:t>
        </w:r>
      </w:hyperlink>
    </w:p>
    <w:p>
      <w:r>
        <w:pict>
          <v:rect style="width:0;height:1.5pt" o:hralign="center" o:hrstd="t" o:hr="t"/>
        </w:pict>
      </w:r>
    </w:p>
    <w:bookmarkEnd w:id="70"/>
    <w:bookmarkEnd w:id="71"/>
    <w:bookmarkStart w:id="79" w:name="X663d7398133492e922453121257ec700fd28980"/>
    <w:p>
      <w:pPr>
        <w:pStyle w:val="Heading2"/>
      </w:pPr>
      <w:r>
        <w:t xml:space="preserve">استراتيجية الدخول إلى السوق والتسويق في أوروبا</w:t>
      </w:r>
    </w:p>
    <w:bookmarkStart w:id="72" w:name="تموضع-positioning-مقترح"/>
    <w:p>
      <w:pPr>
        <w:pStyle w:val="Heading3"/>
      </w:pPr>
      <w:r>
        <w:t xml:space="preserve">تموضع (Positioning) مقترح</w:t>
      </w:r>
    </w:p>
    <w:p>
      <w:pPr>
        <w:pStyle w:val="FirstParagraph"/>
      </w:pPr>
      <w:r>
        <w:t xml:space="preserve">التموضع الأكثر مباشرة لInvoice2E: “تحويل فواتير PDF/صور إلى فواتير إلكترونية مُهيكلة ومتوافقة” مع تركيز أولي على ألمانيا (XRechnung) ثم توسيع إلى Peppol/Factur‑X لتغطية بلجيكا/فرنسا وغيرهما. هذا التموضع يتناغم مع موجة إلزام واضحة في دول متعددة.</w:t>
      </w:r>
      <w:r>
        <w:t xml:space="preserve"> </w:t>
      </w:r>
      <w:hyperlink r:id="rId22">
        <w:r>
          <w:rPr>
            <w:rStyle w:val="Hyperlink"/>
          </w:rPr>
          <w:t xml:space="preserve">[76]</w:t>
        </w:r>
      </w:hyperlink>
    </w:p>
    <w:bookmarkEnd w:id="72"/>
    <w:bookmarkStart w:id="73" w:name="استراتيجية-تسعير-مبدئية-خيارات"/>
    <w:p>
      <w:pPr>
        <w:pStyle w:val="Heading3"/>
      </w:pPr>
      <w:r>
        <w:t xml:space="preserve">استراتيجية تسعير مبدئية (خيارات)</w:t>
      </w:r>
    </w:p>
    <w:p>
      <w:pPr>
        <w:pStyle w:val="FirstParagraph"/>
      </w:pPr>
      <w:r>
        <w:t xml:space="preserve">لأن تسعير Invoice2E الحالي</w:t>
      </w:r>
      <w:r>
        <w:t xml:space="preserve"> </w:t>
      </w:r>
      <w:r>
        <w:rPr>
          <w:b/>
          <w:bCs/>
        </w:rPr>
        <w:t xml:space="preserve">غير محدد</w:t>
      </w:r>
      <w:r>
        <w:t xml:space="preserve"> </w:t>
      </w:r>
      <w:r>
        <w:t xml:space="preserve">في الطلب، من المفيد عرض ثلاثة نماذج شائعة في أوروبا (مع ملاحظة أن منافسين مثل B2Brouter لديهم خطة مجانية، وBanqup لديهم باقات منخفضة للاستخدام الخفيف، بينما مزودي الشبكات غالباً “اتصل بنا”).</w:t>
      </w:r>
      <w:r>
        <w:t xml:space="preserve"> </w:t>
      </w:r>
      <w:hyperlink r:id="rId62">
        <w:r>
          <w:rPr>
            <w:rStyle w:val="Hyperlink"/>
          </w:rPr>
          <w:t xml:space="preserve">[77]</w:t>
        </w:r>
      </w:hyperlink>
    </w:p>
    <w:p>
      <w:pPr>
        <w:pStyle w:val="BodyText"/>
      </w:pPr>
      <w:r>
        <w:t xml:space="preserve">1)</w:t>
      </w:r>
      <w:r>
        <w:t xml:space="preserve"> </w:t>
      </w:r>
      <w:r>
        <w:rPr>
          <w:b/>
          <w:bCs/>
        </w:rPr>
        <w:t xml:space="preserve">Pay‑per‑invoice</w:t>
      </w:r>
      <w:r>
        <w:t xml:space="preserve"> </w:t>
      </w:r>
      <w:r>
        <w:t xml:space="preserve">(ملائم للتحويل فقط): سعر لكل تحويل + خصم للحجم + “رصيد شهري”.</w:t>
      </w:r>
      <w:r>
        <w:br/>
      </w:r>
      <w:r>
        <w:t xml:space="preserve">2)</w:t>
      </w:r>
      <w:r>
        <w:t xml:space="preserve"> </w:t>
      </w:r>
      <w:r>
        <w:rPr>
          <w:b/>
          <w:bCs/>
        </w:rPr>
        <w:t xml:space="preserve">اشتراك شهري/سنوي</w:t>
      </w:r>
      <w:r>
        <w:t xml:space="preserve"> </w:t>
      </w:r>
      <w:r>
        <w:t xml:space="preserve">(SME): باقات حسب عدد الوثائق/المستخدمين مع حد أقصى.</w:t>
      </w:r>
      <w:r>
        <w:br/>
      </w:r>
      <w:r>
        <w:t xml:space="preserve">3)</w:t>
      </w:r>
      <w:r>
        <w:t xml:space="preserve"> </w:t>
      </w:r>
      <w:r>
        <w:rPr>
          <w:b/>
          <w:bCs/>
        </w:rPr>
        <w:t xml:space="preserve">API plans</w:t>
      </w:r>
      <w:r>
        <w:t xml:space="preserve"> </w:t>
      </w:r>
      <w:r>
        <w:t xml:space="preserve">(محاسبين/منصات): تسعير على أساس عدد التحويلات + SLA + دعم/دعم تقني + بيئة اختبار.</w:t>
      </w:r>
    </w:p>
    <w:bookmarkEnd w:id="73"/>
    <w:bookmarkStart w:id="75" w:name="قنوات-التوزيع-gtm-channels-في-أوروبا"/>
    <w:p>
      <w:pPr>
        <w:pStyle w:val="Heading3"/>
      </w:pPr>
      <w:r>
        <w:t xml:space="preserve">قنوات التوزيع (GTM Channels) في أوروبا</w:t>
      </w:r>
    </w:p>
    <w:p>
      <w:pPr>
        <w:pStyle w:val="FirstParagraph"/>
      </w:pPr>
      <w:r>
        <w:t xml:space="preserve">الشراكات التقنية هي الأكثر فعالية في سوق “مدفوع بالامتثال”:</w:t>
      </w:r>
    </w:p>
    <w:p>
      <w:pPr>
        <w:pStyle w:val="BodyText"/>
      </w:pPr>
      <w:r>
        <w:t xml:space="preserve">الاندماج مع برامج المحاسبة/ERP: لأن كثيراً من الشركات سيحلّون مشكلة الالتزام عبر مزود برنامجهم الحالي (مثال: Odoo يشرح رسماً خطوات التسجيل على Peppol ضمن المنتج).</w:t>
      </w:r>
      <w:r>
        <w:t xml:space="preserve"> </w:t>
      </w:r>
      <w:hyperlink r:id="rId55">
        <w:r>
          <w:rPr>
            <w:rStyle w:val="Hyperlink"/>
          </w:rPr>
          <w:t xml:space="preserve">[71]</w:t>
        </w:r>
      </w:hyperlink>
      <w:r>
        <w:t xml:space="preserve"> </w:t>
      </w:r>
      <w:r>
        <w:t xml:space="preserve">وDATEV في ألمانيا يركز على صيغ EN 16931 مثل XRechnung وZUGFeRD 2.x داخل منظومته.</w:t>
      </w:r>
      <w:r>
        <w:t xml:space="preserve"> </w:t>
      </w:r>
      <w:hyperlink r:id="rId74">
        <w:r>
          <w:rPr>
            <w:rStyle w:val="Hyperlink"/>
          </w:rPr>
          <w:t xml:space="preserve">[78]</w:t>
        </w:r>
      </w:hyperlink>
    </w:p>
    <w:p>
      <w:pPr>
        <w:pStyle w:val="BodyText"/>
      </w:pPr>
      <w:r>
        <w:t xml:space="preserve">شراكات Peppol: إما من خلال برنامج شراكة مع Access Points معتمدة (بدلاً من بناء AP)، أو عبر اختيار AP لإرسال الفواتير بعد التحويل.</w:t>
      </w:r>
      <w:r>
        <w:t xml:space="preserve"> </w:t>
      </w:r>
      <w:hyperlink r:id="rId37">
        <w:r>
          <w:rPr>
            <w:rStyle w:val="Hyperlink"/>
          </w:rPr>
          <w:t xml:space="preserve">[75]</w:t>
        </w:r>
      </w:hyperlink>
    </w:p>
    <w:p>
      <w:pPr>
        <w:pStyle w:val="BodyText"/>
      </w:pPr>
      <w:r>
        <w:t xml:space="preserve">بوابات/إصلاحات وطنية: فرنسا تشترط المرور عبر منصات معتمدة لإرسال الفواتير في الإصلاح 2026–2027، ما يجعل بناء تكامل/شراكة مع منصات “مُسجلة/معتمدة” طريقاً إلى السوق.</w:t>
      </w:r>
      <w:r>
        <w:t xml:space="preserve"> </w:t>
      </w:r>
      <w:hyperlink r:id="rId24">
        <w:r>
          <w:rPr>
            <w:rStyle w:val="Hyperlink"/>
          </w:rPr>
          <w:t xml:space="preserve">[4]</w:t>
        </w:r>
      </w:hyperlink>
    </w:p>
    <w:bookmarkEnd w:id="75"/>
    <w:bookmarkStart w:id="76" w:name="محتوىseo-مصمم-للواقع-الأوروبي"/>
    <w:p>
      <w:pPr>
        <w:pStyle w:val="Heading3"/>
      </w:pPr>
      <w:r>
        <w:t xml:space="preserve">محتوى/SEO (مُصمم للواقع الأوروبي)</w:t>
      </w:r>
    </w:p>
    <w:p>
      <w:pPr>
        <w:pStyle w:val="FirstParagraph"/>
      </w:pPr>
      <w:r>
        <w:t xml:space="preserve">أفضل محتوى في هذا المجال هو “محتوى امتثال عملي” يجيب عن أسئلة: “هل PDF يكفي؟ ما الفرق بين structured e‑invoice وPDF؟ ما الصيغ المقبولة وما الـValidator؟” لأن الجهات الرسمية نفسها تضع هذا الفصل بوضوح (ألمانيا/بلجيكا/فرنسا).</w:t>
      </w:r>
      <w:r>
        <w:t xml:space="preserve"> </w:t>
      </w:r>
      <w:hyperlink r:id="rId22">
        <w:r>
          <w:rPr>
            <w:rStyle w:val="Hyperlink"/>
          </w:rPr>
          <w:t xml:space="preserve">[36]</w:t>
        </w:r>
      </w:hyperlink>
      <w:r>
        <w:br/>
      </w:r>
      <w:r>
        <w:t xml:space="preserve">اقتراح بنية محتوى بلغات أوروبا الأساسية (DE/EN/FR/NL/ES) مع صفحات هبوط لكل دولة: “Germany B2B e‑invoice 2025”، “Belgium 2026 Peppol”، “France 2026 PDP/PPF + Factur‑X”، مع CTA يحول إلى تجربة مجانية.</w:t>
      </w:r>
    </w:p>
    <w:bookmarkEnd w:id="76"/>
    <w:bookmarkStart w:id="78" w:name="الامتثال-لـgdpr-كعامل-تسويقي-وثقة"/>
    <w:p>
      <w:pPr>
        <w:pStyle w:val="Heading3"/>
      </w:pPr>
      <w:r>
        <w:t xml:space="preserve">الامتثال لـGDPR كعامل تسويقي وثقة</w:t>
      </w:r>
    </w:p>
    <w:p>
      <w:pPr>
        <w:pStyle w:val="FirstParagraph"/>
      </w:pPr>
      <w:r>
        <w:t xml:space="preserve">Directive 2014/55/EU تخصص مادة لحماية البيانات وتوضح أن التطبيق لا يمس القوانين الأوروبية والوطنية لحماية البيانات.</w:t>
      </w:r>
      <w:r>
        <w:t xml:space="preserve"> </w:t>
      </w:r>
      <w:hyperlink r:id="rId27">
        <w:r>
          <w:rPr>
            <w:rStyle w:val="Hyperlink"/>
          </w:rPr>
          <w:t xml:space="preserve">[7]</w:t>
        </w:r>
      </w:hyperlink>
      <w:r>
        <w:t xml:space="preserve"> </w:t>
      </w:r>
      <w:r>
        <w:t xml:space="preserve">وبما أن Invoice2E يعالج وثائق تحتوي بيانات شخصية/مالية، يجب حوكمة ذلك ضمن GDPR (Regulation (EU) 2016/679).</w:t>
      </w:r>
      <w:r>
        <w:t xml:space="preserve"> </w:t>
      </w:r>
      <w:hyperlink r:id="rId77">
        <w:r>
          <w:rPr>
            <w:rStyle w:val="Hyperlink"/>
          </w:rPr>
          <w:t xml:space="preserve">[79]</w:t>
        </w:r>
      </w:hyperlink>
      <w:r>
        <w:t xml:space="preserve"> </w:t>
      </w:r>
      <w:r>
        <w:t xml:space="preserve">عملياً، في السوق الأوروبي هذا يتحول إلى عناصر تسويقية: استضافة داخل المنطقة الاقتصادية الأوروبية، DPA، سياسة احتفاظ/حذف، وإثباتات تشفير ونمذجة صلاحيات (خصوصاً عند استهداف المحاسبين والمنصات).</w:t>
      </w:r>
    </w:p>
    <w:p>
      <w:r>
        <w:pict>
          <v:rect style="width:0;height:1.5pt" o:hralign="center" o:hrstd="t" o:hr="t"/>
        </w:pict>
      </w:r>
    </w:p>
    <w:bookmarkEnd w:id="78"/>
    <w:bookmarkEnd w:id="79"/>
    <w:bookmarkStart w:id="86" w:name="X69418610504dfbc47cbd8ff5142f0c5a934ad62"/>
    <w:p>
      <w:pPr>
        <w:pStyle w:val="Heading2"/>
      </w:pPr>
      <w:r>
        <w:t xml:space="preserve">نموذج الإيرادات، اقتصاديات الوحدة، المخاطر، KPIs، وخطة تنفيذ 12 شهراً</w:t>
      </w:r>
    </w:p>
    <w:bookmarkStart w:id="80" w:name="X29a58d607799e94f5c3a480779350403652c02d"/>
    <w:p>
      <w:pPr>
        <w:pStyle w:val="Heading3"/>
      </w:pPr>
      <w:r>
        <w:t xml:space="preserve">سيناريوهات تسعير وإيراد (مع افتراضات واضحة)</w:t>
      </w:r>
    </w:p>
    <w:p>
      <w:pPr>
        <w:pStyle w:val="BlockText"/>
      </w:pPr>
      <w:r>
        <w:t xml:space="preserve">مدخلات غير محددة: تكلفة الاستدلال على نموذج الذكاء الاصطناعي (خاصة إذا كان مزوداً خارجياً)، تكاليف OCR، الاستضافة، الدعم، ومتوسط عدد الصفحات/الفاتورة، ونسبة الفواتير الرقمية مقابل الممسوحة. لذلك الأرقام التالية “إطارية” وليست توقعاً مالياً ملزماً.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السيناريو</w:t>
            </w:r>
          </w:p>
        </w:tc>
        <w:tc>
          <w:tcPr/>
          <w:p>
            <w:pPr>
              <w:pStyle w:val="Compact"/>
            </w:pPr>
            <w:r>
              <w:t xml:space="preserve">العميل المستهدف</w:t>
            </w:r>
          </w:p>
        </w:tc>
        <w:tc>
          <w:tcPr/>
          <w:p>
            <w:pPr>
              <w:pStyle w:val="Compact"/>
            </w:pPr>
            <w:r>
              <w:t xml:space="preserve">مثال تسعير (اقتراح)</w:t>
            </w:r>
          </w:p>
        </w:tc>
        <w:tc>
          <w:tcPr/>
          <w:p>
            <w:pPr>
              <w:pStyle w:val="Compact"/>
            </w:pPr>
            <w:r>
              <w:t xml:space="preserve">منطق اقتصاديات الوحدة (إطاري)</w:t>
            </w:r>
          </w:p>
        </w:tc>
      </w:tr>
      <w:tr>
        <w:tc>
          <w:tcPr/>
          <w:p>
            <w:pPr>
              <w:pStyle w:val="Compact"/>
            </w:pPr>
            <w:r>
              <w:t xml:space="preserve">SME Starter</w:t>
            </w:r>
          </w:p>
        </w:tc>
        <w:tc>
          <w:tcPr/>
          <w:p>
            <w:pPr>
              <w:pStyle w:val="Compact"/>
            </w:pPr>
            <w:r>
              <w:t xml:space="preserve">شركات صغيرة (حتى 200 فاتورة/شهر)</w:t>
            </w:r>
          </w:p>
        </w:tc>
        <w:tc>
          <w:tcPr/>
          <w:p>
            <w:pPr>
              <w:pStyle w:val="Compact"/>
            </w:pPr>
            <w:r>
              <w:t xml:space="preserve">19–39€/شهر + حد تحويل + رسوم إضافية</w:t>
            </w:r>
          </w:p>
        </w:tc>
        <w:tc>
          <w:tcPr/>
          <w:p>
            <w:pPr>
              <w:pStyle w:val="Compact"/>
            </w:pPr>
            <w:r>
              <w:t xml:space="preserve">الهدف: “استبدال إدخال يدوي” بسعر قريب من أدوات SME (مع الانتباه لوجود منافس بخطة مجانية/ثم 110€/سنة)</w:t>
            </w:r>
            <w:r>
              <w:t xml:space="preserve"> </w:t>
            </w:r>
            <w:hyperlink r:id="rId62">
              <w:r>
                <w:rPr>
                  <w:rStyle w:val="Hyperlink"/>
                </w:rPr>
                <w:t xml:space="preserve">[58]</w:t>
              </w:r>
            </w:hyperlink>
          </w:p>
        </w:tc>
      </w:tr>
      <w:tr>
        <w:tc>
          <w:tcPr/>
          <w:p>
            <w:pPr>
              <w:pStyle w:val="Compact"/>
            </w:pPr>
            <w:r>
              <w:t xml:space="preserve">Accountant Pro</w:t>
            </w:r>
          </w:p>
        </w:tc>
        <w:tc>
          <w:tcPr/>
          <w:p>
            <w:pPr>
              <w:pStyle w:val="Compact"/>
            </w:pPr>
            <w:r>
              <w:t xml:space="preserve">مكاتب محاسبة (متعدد العملاء)</w:t>
            </w:r>
          </w:p>
        </w:tc>
        <w:tc>
          <w:tcPr/>
          <w:p>
            <w:pPr>
              <w:pStyle w:val="Compact"/>
            </w:pPr>
            <w:r>
              <w:t xml:space="preserve">149–499€/شهر حسب الحجم + مقاعد مستخدمين + Multi‑tenant</w:t>
            </w:r>
          </w:p>
        </w:tc>
        <w:tc>
          <w:tcPr/>
          <w:p>
            <w:pPr>
              <w:pStyle w:val="Compact"/>
            </w:pPr>
            <w:r>
              <w:t xml:space="preserve">رفع LTV عبر الاحتفاظ (Churn منخفض) لأن تغيير مزود تحويل مرتبط بتكاملات وسير عمل</w:t>
            </w:r>
          </w:p>
        </w:tc>
      </w:tr>
      <w:tr>
        <w:tc>
          <w:tcPr/>
          <w:p>
            <w:pPr>
              <w:pStyle w:val="Compact"/>
            </w:pPr>
            <w:r>
              <w:t xml:space="preserve">API/Platform</w:t>
            </w:r>
          </w:p>
        </w:tc>
        <w:tc>
          <w:tcPr/>
          <w:p>
            <w:pPr>
              <w:pStyle w:val="Compact"/>
            </w:pPr>
            <w:r>
              <w:t xml:space="preserve">منصات/ERP plugins</w:t>
            </w:r>
          </w:p>
        </w:tc>
        <w:tc>
          <w:tcPr/>
          <w:p>
            <w:pPr>
              <w:pStyle w:val="Compact"/>
            </w:pPr>
            <w:r>
              <w:t xml:space="preserve">0.05–0.20€ لكل تحويل + حد أدنى شهري + SLA</w:t>
            </w:r>
          </w:p>
        </w:tc>
        <w:tc>
          <w:tcPr/>
          <w:p>
            <w:pPr>
              <w:pStyle w:val="Compact"/>
            </w:pPr>
            <w:r>
              <w:t xml:space="preserve">هامش يعتمد على تكلفة التحويل/التحقق وتكلفة الدعم. مناسب للاندماج مع سوق “إلزام” قادم (بلجيكا/فرنسا/ألمانيا)</w:t>
            </w:r>
            <w:r>
              <w:t xml:space="preserve"> </w:t>
            </w:r>
            <w:hyperlink r:id="rId23">
              <w:r>
                <w:rPr>
                  <w:rStyle w:val="Hyperlink"/>
                </w:rPr>
                <w:t xml:space="preserve">[80]</w:t>
              </w:r>
            </w:hyperlink>
          </w:p>
        </w:tc>
      </w:tr>
    </w:tbl>
    <w:p>
      <w:pPr>
        <w:pStyle w:val="BodyText"/>
      </w:pPr>
      <w:r>
        <w:rPr>
          <w:b/>
          <w:bCs/>
        </w:rPr>
        <w:t xml:space="preserve">مؤشرات CAC/LTV (صياغة منهجية دون أرقام قاطعة)</w:t>
      </w:r>
      <w:r>
        <w:br/>
      </w:r>
      <w:r>
        <w:t xml:space="preserve">- CAC (تكلفة اكتساب عميل) تختلف جذرياً بين self‑service SEO (أقل) وبين مبيعات B2B عبر شراكات ERP (أعلى ولكن LTV أعلى).</w:t>
      </w:r>
      <w:r>
        <w:br/>
      </w:r>
      <w:r>
        <w:t xml:space="preserve">- LTV (قيمة عمر العميل) في هذا المجال ترتفع عندما يصبح العميل “ملزماً قانونياً” بالصيغ، لأن حل الفوترة يصبح جزءاً من الامتثال وليس ميزة اختيارية.</w:t>
      </w:r>
      <w:r>
        <w:t xml:space="preserve"> </w:t>
      </w:r>
      <w:hyperlink r:id="rId22">
        <w:r>
          <w:rPr>
            <w:rStyle w:val="Hyperlink"/>
          </w:rPr>
          <w:t xml:space="preserve">[36]</w:t>
        </w:r>
      </w:hyperlink>
    </w:p>
    <w:bookmarkEnd w:id="80"/>
    <w:bookmarkStart w:id="82" w:name="المخاطر-القانونيةالتشغيلية-وخطط-التخفيف"/>
    <w:p>
      <w:pPr>
        <w:pStyle w:val="Heading3"/>
      </w:pPr>
      <w:r>
        <w:t xml:space="preserve">المخاطر القانونية/التشغيلية وخطط التخفيف</w:t>
      </w:r>
    </w:p>
    <w:p>
      <w:pPr>
        <w:pStyle w:val="FirstParagraph"/>
      </w:pPr>
      <w:r>
        <w:rPr>
          <w:b/>
          <w:bCs/>
        </w:rPr>
        <w:t xml:space="preserve">مخاطر رفض الفواتير بسبب أخطاء CIUS/قواعد محلية</w:t>
      </w:r>
      <w:r>
        <w:t xml:space="preserve">:</w:t>
      </w:r>
      <w:r>
        <w:br/>
      </w:r>
      <w:r>
        <w:t xml:space="preserve">إذا لم يطابق XML القواعد (Schematron/قواعد العمل)، قد يؤدي ذلك إلى رفض الفاتورة وتأخر الدفع، وهو ما تحاول التشريعات تجنبه عبر إلزام القبول فقط للفواتير المتوافقة.</w:t>
      </w:r>
      <w:r>
        <w:t xml:space="preserve"> </w:t>
      </w:r>
      <w:hyperlink r:id="rId27">
        <w:r>
          <w:rPr>
            <w:rStyle w:val="Hyperlink"/>
          </w:rPr>
          <w:t xml:space="preserve">[81]</w:t>
        </w:r>
      </w:hyperlink>
      <w:r>
        <w:br/>
      </w:r>
      <w:r>
        <w:t xml:space="preserve">التخفيف: تحقق متعدد الطبقات (XSD + Schematron + قواعد محلية)، وإظهار تقرير “سبب الرفض” للمستخدم قبل الإرسال.</w:t>
      </w:r>
    </w:p>
    <w:p>
      <w:pPr>
        <w:pStyle w:val="BodyText"/>
      </w:pPr>
      <w:r>
        <w:rPr>
          <w:b/>
          <w:bCs/>
        </w:rPr>
        <w:t xml:space="preserve">مخاطر تغيّر الجداول الزمنية والتنظيم</w:t>
      </w:r>
      <w:r>
        <w:t xml:space="preserve">:</w:t>
      </w:r>
      <w:r>
        <w:br/>
      </w:r>
      <w:r>
        <w:t xml:space="preserve">الأمثلة الأوروبية (فرنسا/إسبانيا/بولندا) توضح أن القوانين تُستكمل بمراسيم وجداول قد تتغير أو تُمدد.</w:t>
      </w:r>
      <w:r>
        <w:t xml:space="preserve"> </w:t>
      </w:r>
      <w:hyperlink r:id="rId81">
        <w:r>
          <w:rPr>
            <w:rStyle w:val="Hyperlink"/>
          </w:rPr>
          <w:t xml:space="preserve">[82]</w:t>
        </w:r>
      </w:hyperlink>
      <w:r>
        <w:br/>
      </w:r>
      <w:r>
        <w:t xml:space="preserve">التخفيف: “طريق امتثال” قائم على تحديث قواعد/Profiles كبيانات (rules-as-data) وإطلاقات صغيرة.</w:t>
      </w:r>
    </w:p>
    <w:p>
      <w:pPr>
        <w:pStyle w:val="BodyText"/>
      </w:pPr>
      <w:r>
        <w:rPr>
          <w:b/>
          <w:bCs/>
        </w:rPr>
        <w:t xml:space="preserve">مخاطر حماية البيانات ونقلها عند استخدام مزودي ذكاء اصطناعي</w:t>
      </w:r>
      <w:r>
        <w:t xml:space="preserve">:</w:t>
      </w:r>
      <w:r>
        <w:br/>
      </w:r>
      <w:r>
        <w:t xml:space="preserve">Invoice2E يذكر استخدام “Gemini AI” لاستخراج البيانات.</w:t>
      </w:r>
      <w:r>
        <w:t xml:space="preserve"> </w:t>
      </w:r>
      <w:hyperlink r:id="rId21">
        <w:r>
          <w:rPr>
            <w:rStyle w:val="Hyperlink"/>
          </w:rPr>
          <w:t xml:space="preserve">[83]</w:t>
        </w:r>
      </w:hyperlink>
      <w:r>
        <w:t xml:space="preserve"> </w:t>
      </w:r>
      <w:r>
        <w:t xml:space="preserve">هذا يرفع حساسية الامتثال لـGDPR (خصوصاً نقل البيانات خارج المنطقة الاقتصادية الأوروبية إن حدث) وضرورة اتفاقيات معالجة البيانات وتقييمات نقل البيانات.</w:t>
      </w:r>
      <w:r>
        <w:t xml:space="preserve"> </w:t>
      </w:r>
      <w:hyperlink r:id="rId77">
        <w:r>
          <w:rPr>
            <w:rStyle w:val="Hyperlink"/>
          </w:rPr>
          <w:t xml:space="preserve">[79]</w:t>
        </w:r>
      </w:hyperlink>
      <w:r>
        <w:br/>
      </w:r>
      <w:r>
        <w:t xml:space="preserve">التخفيف: خيارات تشغيل داخل أوروبا (نماذج/مزودون EU)، أو وضع “وضع عدم الإرسال الخارجي” للعملاء الحساسين، وسياسات حذف سريعة (data minimization + retention).</w:t>
      </w:r>
    </w:p>
    <w:p>
      <w:pPr>
        <w:pStyle w:val="BodyText"/>
      </w:pPr>
      <w:r>
        <w:rPr>
          <w:b/>
          <w:bCs/>
        </w:rPr>
        <w:t xml:space="preserve">مخاطر الاعتماد على منصات حكومية/CTC</w:t>
      </w:r>
      <w:r>
        <w:t xml:space="preserve"> </w:t>
      </w:r>
      <w:r>
        <w:t xml:space="preserve">(رومانيا/بولندا):</w:t>
      </w:r>
      <w:r>
        <w:br/>
      </w:r>
      <w:r>
        <w:t xml:space="preserve">عندما يكون الإرسال إلزامياً عبر منصة مركزية وبمهل محددة (مثل 5 أيام في رومانيا)، تصبح الأعطال/التأخيرات خطراً تشغيلياً.</w:t>
      </w:r>
      <w:r>
        <w:t xml:space="preserve"> </w:t>
      </w:r>
      <w:hyperlink r:id="rId26">
        <w:r>
          <w:rPr>
            <w:rStyle w:val="Hyperlink"/>
          </w:rPr>
          <w:t xml:space="preserve">[84]</w:t>
        </w:r>
      </w:hyperlink>
      <w:r>
        <w:br/>
      </w:r>
      <w:r>
        <w:t xml:space="preserve">التخفيف: صف انتظار (queue) + إعادة إرسال + مراقبة حالة + آلية fallback موثقة (حيث يسمح القانون/المنصة).</w:t>
      </w:r>
    </w:p>
    <w:bookmarkEnd w:id="82"/>
    <w:bookmarkStart w:id="83" w:name="kpis-ومقاييس-نجاح-مقترحة"/>
    <w:p>
      <w:pPr>
        <w:pStyle w:val="Heading3"/>
      </w:pPr>
      <w:r>
        <w:t xml:space="preserve">KPIs ومقاييس نجاح (مقترحة)</w:t>
      </w:r>
    </w:p>
    <w:p>
      <w:pPr>
        <w:pStyle w:val="Compact"/>
        <w:numPr>
          <w:ilvl w:val="0"/>
          <w:numId w:val="1001"/>
        </w:numPr>
      </w:pPr>
      <w:r>
        <w:rPr>
          <w:b/>
          <w:bCs/>
        </w:rPr>
        <w:t xml:space="preserve">معدل نجاح التحقق (Validation Pass Rate)</w:t>
      </w:r>
      <w:r>
        <w:t xml:space="preserve"> </w:t>
      </w:r>
      <w:r>
        <w:t xml:space="preserve">لكل Profile (XRechnung/Peppol/Factur‑X).</w:t>
      </w:r>
    </w:p>
    <w:p>
      <w:pPr>
        <w:pStyle w:val="Compact"/>
        <w:numPr>
          <w:ilvl w:val="0"/>
          <w:numId w:val="1001"/>
        </w:numPr>
      </w:pPr>
      <w:r>
        <w:rPr>
          <w:b/>
          <w:bCs/>
        </w:rPr>
        <w:t xml:space="preserve">نسبة المعالجة الآلية بدون تدخل (STP rate)</w:t>
      </w:r>
      <w:r>
        <w:t xml:space="preserve">: كم فاتورة تُحوَّل بلا تعديلات بشرية.</w:t>
      </w:r>
    </w:p>
    <w:p>
      <w:pPr>
        <w:pStyle w:val="Compact"/>
        <w:numPr>
          <w:ilvl w:val="0"/>
          <w:numId w:val="1001"/>
        </w:numPr>
      </w:pPr>
      <w:r>
        <w:rPr>
          <w:b/>
          <w:bCs/>
        </w:rPr>
        <w:t xml:space="preserve">زمن التحويل end‑to‑end</w:t>
      </w:r>
      <w:r>
        <w:t xml:space="preserve"> </w:t>
      </w:r>
      <w:r>
        <w:t xml:space="preserve">(رفع→نتيجة)، مع طبقات SLA.</w:t>
      </w:r>
    </w:p>
    <w:p>
      <w:pPr>
        <w:pStyle w:val="Compact"/>
        <w:numPr>
          <w:ilvl w:val="0"/>
          <w:numId w:val="1001"/>
        </w:numPr>
      </w:pPr>
      <w:r>
        <w:rPr>
          <w:b/>
          <w:bCs/>
        </w:rPr>
        <w:t xml:space="preserve">دقة استخراج الحقول الحرجة</w:t>
      </w:r>
      <w:r>
        <w:t xml:space="preserve">: رقم الفاتورة، الإجمالي، VAT IDs، تواريخ، بنود/ضرائب.</w:t>
      </w:r>
    </w:p>
    <w:p>
      <w:pPr>
        <w:pStyle w:val="Compact"/>
        <w:numPr>
          <w:ilvl w:val="0"/>
          <w:numId w:val="1001"/>
        </w:numPr>
      </w:pPr>
      <w:r>
        <w:rPr>
          <w:b/>
          <w:bCs/>
        </w:rPr>
        <w:t xml:space="preserve">معدل الرفض بعد الإرسال</w:t>
      </w:r>
      <w:r>
        <w:t xml:space="preserve"> </w:t>
      </w:r>
      <w:r>
        <w:t xml:space="preserve">(إن توفر إرسال/Peppol).</w:t>
      </w:r>
    </w:p>
    <w:p>
      <w:pPr>
        <w:pStyle w:val="Compact"/>
        <w:numPr>
          <w:ilvl w:val="0"/>
          <w:numId w:val="1001"/>
        </w:numPr>
      </w:pPr>
      <w:r>
        <w:rPr>
          <w:b/>
          <w:bCs/>
        </w:rPr>
        <w:t xml:space="preserve">الاحتفاظ (Retention) والتوقف (Churn)</w:t>
      </w:r>
      <w:r>
        <w:t xml:space="preserve"> </w:t>
      </w:r>
      <w:r>
        <w:t xml:space="preserve">حسب الشريحة (SME/محاسب/API).</w:t>
      </w:r>
    </w:p>
    <w:p>
      <w:pPr>
        <w:pStyle w:val="Compact"/>
        <w:numPr>
          <w:ilvl w:val="0"/>
          <w:numId w:val="1001"/>
        </w:numPr>
      </w:pPr>
      <w:r>
        <w:rPr>
          <w:b/>
          <w:bCs/>
        </w:rPr>
        <w:t xml:space="preserve">تكلفة التحويل الواحدة</w:t>
      </w:r>
      <w:r>
        <w:t xml:space="preserve"> </w:t>
      </w:r>
      <w:r>
        <w:t xml:space="preserve">(CPO: cost per output invoice) لمراقبة تأثير تكلفة OCR/LLM والاستضافة.</w:t>
      </w:r>
    </w:p>
    <w:bookmarkEnd w:id="83"/>
    <w:bookmarkStart w:id="84" w:name="قائمة-تنفيذ-مختصرة-لمدة-12-شهرا"/>
    <w:p>
      <w:pPr>
        <w:pStyle w:val="Heading3"/>
      </w:pPr>
      <w:r>
        <w:t xml:space="preserve">قائمة تنفيذ مختصرة لمدة 12 شهراً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المجال</w:t>
            </w:r>
          </w:p>
        </w:tc>
        <w:tc>
          <w:tcPr/>
          <w:p>
            <w:pPr>
              <w:pStyle w:val="Compact"/>
            </w:pPr>
            <w:r>
              <w:t xml:space="preserve">بنود تنفيذ أساسية</w:t>
            </w:r>
          </w:p>
        </w:tc>
        <w:tc>
          <w:tcPr/>
          <w:p>
            <w:pPr>
              <w:pStyle w:val="Compact"/>
            </w:pPr>
            <w:r>
              <w:t xml:space="preserve">مخرجات قابلة للقياس</w:t>
            </w:r>
          </w:p>
        </w:tc>
      </w:tr>
      <w:tr>
        <w:tc>
          <w:tcPr/>
          <w:p>
            <w:pPr>
              <w:pStyle w:val="Compact"/>
            </w:pPr>
            <w:r>
              <w:t xml:space="preserve">امتثال المعيار</w:t>
            </w:r>
          </w:p>
        </w:tc>
        <w:tc>
          <w:tcPr/>
          <w:p>
            <w:pPr>
              <w:pStyle w:val="Compact"/>
            </w:pPr>
            <w:r>
              <w:t xml:space="preserve">توحيد طبقة EN16931 الداخلية + تفعيل UBL/CII + CIUS XRechnung</w:t>
            </w:r>
          </w:p>
        </w:tc>
        <w:tc>
          <w:tcPr/>
          <w:p>
            <w:pPr>
              <w:pStyle w:val="Compact"/>
            </w:pPr>
            <w:r>
              <w:t xml:space="preserve">ملفات تمر Validators بنسبة ≥ 98% في سيناريوهات الاختبار</w:t>
            </w:r>
            <w:r>
              <w:t xml:space="preserve"> </w:t>
            </w:r>
            <w:hyperlink r:id="rId28">
              <w:r>
                <w:rPr>
                  <w:rStyle w:val="Hyperlink"/>
                </w:rPr>
                <w:t xml:space="preserve">[85]</w:t>
              </w:r>
            </w:hyperlink>
          </w:p>
        </w:tc>
      </w:tr>
      <w:tr>
        <w:tc>
          <w:tcPr/>
          <w:p>
            <w:pPr>
              <w:pStyle w:val="Compact"/>
            </w:pPr>
            <w:r>
              <w:t xml:space="preserve">المنتج</w:t>
            </w:r>
          </w:p>
        </w:tc>
        <w:tc>
          <w:tcPr/>
          <w:p>
            <w:pPr>
              <w:pStyle w:val="Compact"/>
            </w:pPr>
            <w:r>
              <w:t xml:space="preserve">API + Webhooks + لوحة أخطاء + Multi‑tenant</w:t>
            </w:r>
          </w:p>
        </w:tc>
        <w:tc>
          <w:tcPr/>
          <w:p>
            <w:pPr>
              <w:pStyle w:val="Compact"/>
            </w:pPr>
            <w:r>
              <w:t xml:space="preserve">أول 3 تكاملات خارجية ناجحة (ERP/محاسبة/بوابة)</w:t>
            </w:r>
          </w:p>
        </w:tc>
      </w:tr>
      <w:tr>
        <w:tc>
          <w:tcPr/>
          <w:p>
            <w:pPr>
              <w:pStyle w:val="Compact"/>
            </w:pPr>
            <w:r>
              <w:t xml:space="preserve">توسع جغرافي</w:t>
            </w:r>
          </w:p>
        </w:tc>
        <w:tc>
          <w:tcPr/>
          <w:p>
            <w:pPr>
              <w:pStyle w:val="Compact"/>
            </w:pPr>
            <w:r>
              <w:t xml:space="preserve">إضافة Peppol BIS Billing 3.0 + خيار شريك Access Point</w:t>
            </w:r>
          </w:p>
        </w:tc>
        <w:tc>
          <w:tcPr/>
          <w:p>
            <w:pPr>
              <w:pStyle w:val="Compact"/>
            </w:pPr>
            <w:r>
              <w:t xml:space="preserve">أول عميل في بلجيكا/هولندا عبر Peppol</w:t>
            </w:r>
            <w:r>
              <w:t xml:space="preserve"> </w:t>
            </w:r>
            <w:hyperlink r:id="rId34">
              <w:r>
                <w:rPr>
                  <w:rStyle w:val="Hyperlink"/>
                </w:rPr>
                <w:t xml:space="preserve">[86]</w:t>
              </w:r>
            </w:hyperlink>
          </w:p>
        </w:tc>
      </w:tr>
      <w:tr>
        <w:tc>
          <w:tcPr/>
          <w:p>
            <w:pPr>
              <w:pStyle w:val="Compact"/>
            </w:pPr>
            <w:r>
              <w:t xml:space="preserve">فرنسا</w:t>
            </w:r>
          </w:p>
        </w:tc>
        <w:tc>
          <w:tcPr/>
          <w:p>
            <w:pPr>
              <w:pStyle w:val="Compact"/>
            </w:pPr>
            <w:r>
              <w:t xml:space="preserve">دعم Factur‑X (PDF/A‑3 + XML CII) + تحضير حزم حقول إضافية</w:t>
            </w:r>
          </w:p>
        </w:tc>
        <w:tc>
          <w:tcPr/>
          <w:p>
            <w:pPr>
              <w:pStyle w:val="Compact"/>
            </w:pPr>
            <w:r>
              <w:t xml:space="preserve">جاهزية تجريبية قبل سبتمبر 2026</w:t>
            </w:r>
            <w:r>
              <w:t xml:space="preserve"> </w:t>
            </w:r>
            <w:hyperlink r:id="rId24">
              <w:r>
                <w:rPr>
                  <w:rStyle w:val="Hyperlink"/>
                </w:rPr>
                <w:t xml:space="preserve">[87]</w:t>
              </w:r>
            </w:hyperlink>
          </w:p>
        </w:tc>
      </w:tr>
      <w:tr>
        <w:tc>
          <w:tcPr/>
          <w:p>
            <w:pPr>
              <w:pStyle w:val="Compact"/>
            </w:pPr>
            <w:r>
              <w:t xml:space="preserve">ثقة وأمن</w:t>
            </w:r>
          </w:p>
        </w:tc>
        <w:tc>
          <w:tcPr/>
          <w:p>
            <w:pPr>
              <w:pStyle w:val="Compact"/>
            </w:pPr>
            <w:r>
              <w:t xml:space="preserve">DPA + سياسات احتفاظ/حذف + تشفير + سجل تدقيق</w:t>
            </w:r>
          </w:p>
        </w:tc>
        <w:tc>
          <w:tcPr/>
          <w:p>
            <w:pPr>
              <w:pStyle w:val="Compact"/>
            </w:pPr>
            <w:r>
              <w:t xml:space="preserve">تقليل مدة الاحتفاظ الافتراضي + تقارير وصول/حذف وفقا للـGDPR</w:t>
            </w:r>
            <w:r>
              <w:t xml:space="preserve"> </w:t>
            </w:r>
            <w:hyperlink r:id="rId77">
              <w:r>
                <w:rPr>
                  <w:rStyle w:val="Hyperlink"/>
                </w:rPr>
                <w:t xml:space="preserve">[88]</w:t>
              </w:r>
            </w:hyperlink>
          </w:p>
        </w:tc>
      </w:tr>
      <w:tr>
        <w:tc>
          <w:tcPr/>
          <w:p>
            <w:pPr>
              <w:pStyle w:val="Compact"/>
            </w:pPr>
            <w:r>
              <w:t xml:space="preserve">التسويق</w:t>
            </w:r>
          </w:p>
        </w:tc>
        <w:tc>
          <w:tcPr/>
          <w:p>
            <w:pPr>
              <w:pStyle w:val="Compact"/>
            </w:pPr>
            <w:r>
              <w:t xml:space="preserve">صفحات امتثال لكل دولة + محتوى “PDF vs e‑invoice” + شراكات محاسبين</w:t>
            </w:r>
          </w:p>
        </w:tc>
        <w:tc>
          <w:tcPr/>
          <w:p>
            <w:pPr>
              <w:pStyle w:val="Compact"/>
            </w:pPr>
            <w:r>
              <w:t xml:space="preserve">نمو عضوي شهري + تحويل تجربة مجانية إلى مدفوع</w:t>
            </w:r>
          </w:p>
        </w:tc>
      </w:tr>
    </w:tbl>
    <w:bookmarkEnd w:id="84"/>
    <w:bookmarkStart w:id="85" w:name="خارطة-طريق-12-شهرا-زمنية"/>
    <w:p>
      <w:pPr>
        <w:pStyle w:val="Heading3"/>
      </w:pPr>
      <w:r>
        <w:t xml:space="preserve">خارطة طريق 12 شهراً (زمنية)</w:t>
      </w:r>
    </w:p>
    <w:p>
      <w:pPr>
        <w:pStyle w:val="SourceCode"/>
      </w:pPr>
      <w:r>
        <w:rPr>
          <w:rStyle w:val="VerbatimChar"/>
        </w:rPr>
        <w:t xml:space="preserve">gantt</w:t>
      </w:r>
      <w:r>
        <w:br/>
      </w:r>
      <w:r>
        <w:rPr>
          <w:rStyle w:val="VerbatimChar"/>
        </w:rPr>
        <w:t xml:space="preserve">  title 12-Month Roadmap (Invoice2E Europe Expansion)</w:t>
      </w:r>
      <w:r>
        <w:br/>
      </w:r>
      <w:r>
        <w:rPr>
          <w:rStyle w:val="VerbatimChar"/>
        </w:rPr>
        <w:t xml:space="preserve">  dateFormat  YYYY-MM-DD</w:t>
      </w:r>
      <w:r>
        <w:br/>
      </w:r>
      <w:r>
        <w:rPr>
          <w:rStyle w:val="VerbatimChar"/>
        </w:rPr>
        <w:t xml:space="preserve">  axisFormat  %b %Y</w:t>
      </w:r>
      <w:r>
        <w:br/>
      </w:r>
      <w:r>
        <w:br/>
      </w:r>
      <w:r>
        <w:rPr>
          <w:rStyle w:val="VerbatimChar"/>
        </w:rPr>
        <w:t xml:space="preserve">  section Core compliance</w:t>
      </w:r>
      <w:r>
        <w:br/>
      </w:r>
      <w:r>
        <w:rPr>
          <w:rStyle w:val="VerbatimChar"/>
        </w:rPr>
        <w:t xml:space="preserve">  EN16931 internal model + UBL/CII foundation           :a1, 2026-02-15, 60d</w:t>
      </w:r>
      <w:r>
        <w:br/>
      </w:r>
      <w:r>
        <w:rPr>
          <w:rStyle w:val="VerbatimChar"/>
        </w:rPr>
        <w:t xml:space="preserve">  XRechnung hardening (rules, reports, tests)          :a2, after a1, 45d</w:t>
      </w:r>
      <w:r>
        <w:br/>
      </w:r>
      <w:r>
        <w:br/>
      </w:r>
      <w:r>
        <w:rPr>
          <w:rStyle w:val="VerbatimChar"/>
        </w:rPr>
        <w:t xml:space="preserve">  section Productization</w:t>
      </w:r>
      <w:r>
        <w:br/>
      </w:r>
      <w:r>
        <w:rPr>
          <w:rStyle w:val="VerbatimChar"/>
        </w:rPr>
        <w:t xml:space="preserve">  Public REST API + Webhooks + Keys + Rate limits      :b1, 2026-03-15, 75d</w:t>
      </w:r>
      <w:r>
        <w:br/>
      </w:r>
      <w:r>
        <w:rPr>
          <w:rStyle w:val="VerbatimChar"/>
        </w:rPr>
        <w:t xml:space="preserve">  Multi-tenant + audit trail + retention controls      :b2, 2026-04-15, 75d</w:t>
      </w:r>
      <w:r>
        <w:br/>
      </w:r>
      <w:r>
        <w:br/>
      </w:r>
      <w:r>
        <w:rPr>
          <w:rStyle w:val="VerbatimChar"/>
        </w:rPr>
        <w:t xml:space="preserve">  section Expansion</w:t>
      </w:r>
      <w:r>
        <w:br/>
      </w:r>
      <w:r>
        <w:rPr>
          <w:rStyle w:val="VerbatimChar"/>
        </w:rPr>
        <w:t xml:space="preserve">  Peppol BIS Billing 3.0 generator + validator         :c1, 2026-05-15, 90d</w:t>
      </w:r>
      <w:r>
        <w:br/>
      </w:r>
      <w:r>
        <w:rPr>
          <w:rStyle w:val="VerbatimChar"/>
        </w:rPr>
        <w:t xml:space="preserve">  Peppol delivery via partner Access Point             :c2, 2026-06-15, 75d</w:t>
      </w:r>
      <w:r>
        <w:br/>
      </w:r>
      <w:r>
        <w:br/>
      </w:r>
      <w:r>
        <w:rPr>
          <w:rStyle w:val="VerbatimChar"/>
        </w:rPr>
        <w:t xml:space="preserve">  section France readiness</w:t>
      </w:r>
      <w:r>
        <w:br/>
      </w:r>
      <w:r>
        <w:rPr>
          <w:rStyle w:val="VerbatimChar"/>
        </w:rPr>
        <w:t xml:space="preserve">  Factur-X/ZUGFeRD hybrid output (PDF/A-3 + CII)       :d1, 2026-07-01, 75d</w:t>
      </w:r>
      <w:r>
        <w:br/>
      </w:r>
      <w:r>
        <w:rPr>
          <w:rStyle w:val="VerbatimChar"/>
        </w:rPr>
        <w:t xml:space="preserve">  France field extensions + platform workflow planning :d2, 2026-08-01, 60d</w:t>
      </w:r>
      <w:r>
        <w:br/>
      </w:r>
      <w:r>
        <w:br/>
      </w:r>
      <w:r>
        <w:rPr>
          <w:rStyle w:val="VerbatimChar"/>
        </w:rPr>
        <w:t xml:space="preserve">  section Go-to-market</w:t>
      </w:r>
      <w:r>
        <w:br/>
      </w:r>
      <w:r>
        <w:rPr>
          <w:rStyle w:val="VerbatimChar"/>
        </w:rPr>
        <w:t xml:space="preserve">  Country landing pages (DE/EN/FR/NL) + SEO            :e1, 2026-03-01, 180d</w:t>
      </w:r>
      <w:r>
        <w:br/>
      </w:r>
      <w:r>
        <w:rPr>
          <w:rStyle w:val="VerbatimChar"/>
        </w:rPr>
        <w:t xml:space="preserve">  Partnerships (accountants, ERP vendors)              :e2, 2026-05-01, 210d</w:t>
      </w:r>
    </w:p>
    <w:p>
      <w:pPr>
        <w:pStyle w:val="FirstParagraph"/>
      </w:pPr>
      <w:r>
        <w:rPr>
          <w:b/>
          <w:bCs/>
        </w:rPr>
        <w:t xml:space="preserve">خلاصة تنفيذية للعام القادم</w:t>
      </w:r>
      <w:r>
        <w:t xml:space="preserve">: إذا تم تنفيذ طبقة EN16931/UBL/CII بشكل “محايد” ثم إضافة CIUS (XRechnung، Peppol BIS) بصيغة قواعد قابلة للتحديث، يمكن لـInvoice2E الانتقال من منتج ألماني متخصص إلى منصة تحويل/تحقق أوروبية في الوقت المناسب قبل ذروة إصلاحات 2026–2027 (بلجيكا/فرنسا) ومع موجة التقارير الرقمية المرتبطة بـViDA على المدى الأبعد.</w:t>
      </w:r>
      <w:r>
        <w:t xml:space="preserve"> </w:t>
      </w:r>
      <w:hyperlink r:id="rId22">
        <w:r>
          <w:rPr>
            <w:rStyle w:val="Hyperlink"/>
          </w:rPr>
          <w:t xml:space="preserve">[89]</w:t>
        </w:r>
      </w:hyperlink>
    </w:p>
    <w:bookmarkEnd w:id="85"/>
    <w:bookmarkEnd w:id="86"/>
    <w:bookmarkEnd w:id="87"/>
    <w:bookmarkEnd w:id="88"/>
    <w:p>
      <w:r>
        <w:pict>
          <v:rect style="width:0;height:1.5pt" o:hralign="center" o:hrstd="t" o:hr="t"/>
        </w:pict>
      </w:r>
    </w:p>
    <w:bookmarkStart w:id="89" w:name="citations"/>
    <w:p>
      <w:pPr>
        <w:pStyle w:val="FirstParagraph"/>
      </w:pPr>
      <w:hyperlink r:id="rId21">
        <w:r>
          <w:rPr>
            <w:rStyle w:val="Hyperlink"/>
          </w:rPr>
          <w:t xml:space="preserve">[1]</w:t>
        </w:r>
      </w:hyperlink>
      <w:r>
        <w:t xml:space="preserve"> </w:t>
      </w:r>
      <w:hyperlink r:id="rId21">
        <w:r>
          <w:rPr>
            <w:rStyle w:val="Hyperlink"/>
          </w:rPr>
          <w:t xml:space="preserve">[83]</w:t>
        </w:r>
      </w:hyperlink>
      <w:r>
        <w:t xml:space="preserve"> </w:t>
      </w:r>
      <w:r>
        <w:t xml:space="preserve">https://www.invoice2e.de/</w:t>
      </w:r>
    </w:p>
    <w:p>
      <w:pPr>
        <w:pStyle w:val="BodyText"/>
      </w:pPr>
      <w:hyperlink r:id="rId21">
        <w:r>
          <w:rPr>
            <w:rStyle w:val="Hyperlink"/>
          </w:rPr>
          <w:t xml:space="preserve">https://www.invoice2e.de/</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hyperlink r:id="rId22">
        <w:r>
          <w:rPr>
            <w:rStyle w:val="Hyperlink"/>
          </w:rPr>
          <w:t xml:space="preserve">[33]</w:t>
        </w:r>
      </w:hyperlink>
      <w:r>
        <w:t xml:space="preserve"> </w:t>
      </w:r>
      <w:hyperlink r:id="rId22">
        <w:r>
          <w:rPr>
            <w:rStyle w:val="Hyperlink"/>
          </w:rPr>
          <w:t xml:space="preserve">[36]</w:t>
        </w:r>
      </w:hyperlink>
      <w:r>
        <w:t xml:space="preserve"> </w:t>
      </w:r>
      <w:hyperlink r:id="rId22">
        <w:r>
          <w:rPr>
            <w:rStyle w:val="Hyperlink"/>
          </w:rPr>
          <w:t xml:space="preserve">[37]</w:t>
        </w:r>
      </w:hyperlink>
      <w:r>
        <w:t xml:space="preserve"> </w:t>
      </w:r>
      <w:hyperlink r:id="rId22">
        <w:r>
          <w:rPr>
            <w:rStyle w:val="Hyperlink"/>
          </w:rPr>
          <w:t xml:space="preserve">[76]</w:t>
        </w:r>
      </w:hyperlink>
      <w:r>
        <w:t xml:space="preserve"> </w:t>
      </w:r>
      <w:hyperlink r:id="rId22">
        <w:r>
          <w:rPr>
            <w:rStyle w:val="Hyperlink"/>
          </w:rPr>
          <w:t xml:space="preserve">[89]</w:t>
        </w:r>
      </w:hyperlink>
      <w:r>
        <w:t xml:space="preserve"> </w:t>
      </w:r>
      <w:r>
        <w:t xml:space="preserve">https://www.bundesfinanzministerium.de/Content/DE/FAQ/e-rechnung.html</w:t>
      </w:r>
    </w:p>
    <w:p>
      <w:pPr>
        <w:pStyle w:val="BodyText"/>
      </w:pPr>
      <w:hyperlink r:id="rId22">
        <w:r>
          <w:rPr>
            <w:rStyle w:val="Hyperlink"/>
          </w:rPr>
          <w:t xml:space="preserve">https://www.bundesfinanzministerium.de/Content/DE/FAQ/e-rechnung.html</w:t>
        </w:r>
      </w:hyperlink>
    </w:p>
    <w:p>
      <w:pPr>
        <w:pStyle w:val="BodyText"/>
      </w:pPr>
      <w:hyperlink r:id="rId23">
        <w:r>
          <w:rPr>
            <w:rStyle w:val="Hyperlink"/>
          </w:rPr>
          <w:t xml:space="preserve">[3]</w:t>
        </w:r>
      </w:hyperlink>
      <w:r>
        <w:t xml:space="preserve"> </w:t>
      </w:r>
      <w:hyperlink r:id="rId23">
        <w:r>
          <w:rPr>
            <w:rStyle w:val="Hyperlink"/>
          </w:rPr>
          <w:t xml:space="preserve">[80]</w:t>
        </w:r>
      </w:hyperlink>
      <w:r>
        <w:t xml:space="preserve"> </w:t>
      </w:r>
      <w:r>
        <w:t xml:space="preserve">https://einvoice.belgium.be/en/partner/fod-financien</w:t>
      </w:r>
    </w:p>
    <w:p>
      <w:pPr>
        <w:pStyle w:val="BodyText"/>
      </w:pPr>
      <w:hyperlink r:id="rId23">
        <w:r>
          <w:rPr>
            <w:rStyle w:val="Hyperlink"/>
          </w:rPr>
          <w:t xml:space="preserve">https://einvoice.belgium.be/en/partner/fod-financien</w:t>
        </w:r>
      </w:hyperlink>
    </w:p>
    <w:p>
      <w:pPr>
        <w:pStyle w:val="BodyText"/>
      </w:pPr>
      <w:hyperlink r:id="rId24">
        <w:r>
          <w:rPr>
            <w:rStyle w:val="Hyperlink"/>
          </w:rPr>
          <w:t xml:space="preserve">[4]</w:t>
        </w:r>
      </w:hyperlink>
      <w:r>
        <w:t xml:space="preserve"> </w:t>
      </w:r>
      <w:hyperlink r:id="rId24">
        <w:r>
          <w:rPr>
            <w:rStyle w:val="Hyperlink"/>
          </w:rPr>
          <w:t xml:space="preserve">[15]</w:t>
        </w:r>
      </w:hyperlink>
      <w:r>
        <w:t xml:space="preserve"> </w:t>
      </w:r>
      <w:hyperlink r:id="rId24">
        <w:r>
          <w:rPr>
            <w:rStyle w:val="Hyperlink"/>
          </w:rPr>
          <w:t xml:space="preserve">[34]</w:t>
        </w:r>
      </w:hyperlink>
      <w:r>
        <w:t xml:space="preserve"> </w:t>
      </w:r>
      <w:hyperlink r:id="rId24">
        <w:r>
          <w:rPr>
            <w:rStyle w:val="Hyperlink"/>
          </w:rPr>
          <w:t xml:space="preserve">[87]</w:t>
        </w:r>
      </w:hyperlink>
      <w:r>
        <w:t xml:space="preserve"> </w:t>
      </w:r>
      <w:r>
        <w:t xml:space="preserve">https://www.economie.gouv.fr/tout-savoir-sur-la-facturation-electronique-pour-les-entreprises</w:t>
      </w:r>
    </w:p>
    <w:p>
      <w:pPr>
        <w:pStyle w:val="BodyText"/>
      </w:pPr>
      <w:hyperlink r:id="rId24">
        <w:r>
          <w:rPr>
            <w:rStyle w:val="Hyperlink"/>
          </w:rPr>
          <w:t xml:space="preserve">https://www.economie.gouv.fr/tout-savoir-sur-la-facturation-electronique-pour-les-entreprises</w:t>
        </w:r>
      </w:hyperlink>
    </w:p>
    <w:p>
      <w:pPr>
        <w:pStyle w:val="BodyText"/>
      </w:pPr>
      <w:hyperlink r:id="rId25">
        <w:r>
          <w:rPr>
            <w:rStyle w:val="Hyperlink"/>
          </w:rPr>
          <w:t xml:space="preserve">[5]</w:t>
        </w:r>
      </w:hyperlink>
      <w:r>
        <w:t xml:space="preserve"> </w:t>
      </w:r>
      <w:hyperlink r:id="rId25">
        <w:r>
          <w:rPr>
            <w:rStyle w:val="Hyperlink"/>
          </w:rPr>
          <w:t xml:space="preserve">[73]</w:t>
        </w:r>
      </w:hyperlink>
      <w:r>
        <w:t xml:space="preserve"> </w:t>
      </w:r>
      <w:r>
        <w:t xml:space="preserve">https://ec.europa.eu/digital-building-blocks/sites/spaces/DIGITAL/pages/467108896/eInvoicing%2Bin%2BPoland</w:t>
      </w:r>
    </w:p>
    <w:p>
      <w:pPr>
        <w:pStyle w:val="BodyText"/>
      </w:pPr>
      <w:hyperlink r:id="rId25">
        <w:r>
          <w:rPr>
            <w:rStyle w:val="Hyperlink"/>
          </w:rPr>
          <w:t xml:space="preserve">https://ec.europa.eu/digital-building-blocks/sites/spaces/DIGITAL/pages/467108896/eInvoicing%2Bin%2BPoland</w:t>
        </w:r>
      </w:hyperlink>
    </w:p>
    <w:p>
      <w:pPr>
        <w:pStyle w:val="BodyText"/>
      </w:pPr>
      <w:hyperlink r:id="rId26">
        <w:r>
          <w:rPr>
            <w:rStyle w:val="Hyperlink"/>
          </w:rPr>
          <w:t xml:space="preserve">[6]</w:t>
        </w:r>
      </w:hyperlink>
      <w:r>
        <w:t xml:space="preserve"> </w:t>
      </w:r>
      <w:hyperlink r:id="rId26">
        <w:r>
          <w:rPr>
            <w:rStyle w:val="Hyperlink"/>
          </w:rPr>
          <w:t xml:space="preserve">[84]</w:t>
        </w:r>
      </w:hyperlink>
      <w:r>
        <w:t xml:space="preserve"> </w:t>
      </w:r>
      <w:r>
        <w:t xml:space="preserve">https://ec.europa.eu/digital-building-blocks/sites/pages/viewpage.action?pageId=861175868</w:t>
      </w:r>
    </w:p>
    <w:p>
      <w:pPr>
        <w:pStyle w:val="BodyText"/>
      </w:pPr>
      <w:hyperlink r:id="rId26">
        <w:r>
          <w:rPr>
            <w:rStyle w:val="Hyperlink"/>
          </w:rPr>
          <w:t xml:space="preserve">https://ec.europa.eu/digital-building-blocks/sites/pages/viewpage.action?pageId=861175868</w:t>
        </w:r>
      </w:hyperlink>
    </w:p>
    <w:p>
      <w:pPr>
        <w:pStyle w:val="BodyText"/>
      </w:pPr>
      <w:hyperlink r:id="rId27">
        <w:r>
          <w:rPr>
            <w:rStyle w:val="Hyperlink"/>
          </w:rPr>
          <w:t xml:space="preserve">[7]</w:t>
        </w:r>
      </w:hyperlink>
      <w:r>
        <w:t xml:space="preserve"> </w:t>
      </w:r>
      <w:hyperlink r:id="rId27">
        <w:r>
          <w:rPr>
            <w:rStyle w:val="Hyperlink"/>
          </w:rPr>
          <w:t xml:space="preserve">[21]</w:t>
        </w:r>
      </w:hyperlink>
      <w:r>
        <w:t xml:space="preserve"> </w:t>
      </w:r>
      <w:hyperlink r:id="rId27">
        <w:r>
          <w:rPr>
            <w:rStyle w:val="Hyperlink"/>
          </w:rPr>
          <w:t xml:space="preserve">[39]</w:t>
        </w:r>
      </w:hyperlink>
      <w:r>
        <w:t xml:space="preserve"> </w:t>
      </w:r>
      <w:hyperlink r:id="rId27">
        <w:r>
          <w:rPr>
            <w:rStyle w:val="Hyperlink"/>
          </w:rPr>
          <w:t xml:space="preserve">[81]</w:t>
        </w:r>
      </w:hyperlink>
      <w:r>
        <w:t xml:space="preserve"> </w:t>
      </w:r>
      <w:r>
        <w:t xml:space="preserve">https://ec.europa.eu/digital-building-blocks/sites/download/attachments/467108637/Directive%20CELEX_32014L0055_EN_TXT.pdf?api=v2</w:t>
      </w:r>
    </w:p>
    <w:p>
      <w:pPr>
        <w:pStyle w:val="BodyText"/>
      </w:pPr>
      <w:hyperlink r:id="rId27">
        <w:r>
          <w:rPr>
            <w:rStyle w:val="Hyperlink"/>
          </w:rPr>
          <w:t xml:space="preserve">https://ec.europa.eu/digital-building-blocks/sites/download/attachments/467108637/Directive%20CELEX_32014L0055_EN_TXT.pdf?api=v2</w:t>
        </w:r>
      </w:hyperlink>
    </w:p>
    <w:p>
      <w:pPr>
        <w:pStyle w:val="BodyText"/>
      </w:pPr>
      <w:hyperlink r:id="rId28">
        <w:r>
          <w:rPr>
            <w:rStyle w:val="Hyperlink"/>
          </w:rPr>
          <w:t xml:space="preserve">[8]</w:t>
        </w:r>
      </w:hyperlink>
      <w:r>
        <w:t xml:space="preserve"> </w:t>
      </w:r>
      <w:hyperlink r:id="rId28">
        <w:r>
          <w:rPr>
            <w:rStyle w:val="Hyperlink"/>
          </w:rPr>
          <w:t xml:space="preserve">[10]</w:t>
        </w:r>
      </w:hyperlink>
      <w:r>
        <w:t xml:space="preserve"> </w:t>
      </w:r>
      <w:hyperlink r:id="rId28">
        <w:r>
          <w:rPr>
            <w:rStyle w:val="Hyperlink"/>
          </w:rPr>
          <w:t xml:space="preserve">[16]</w:t>
        </w:r>
      </w:hyperlink>
      <w:r>
        <w:t xml:space="preserve"> </w:t>
      </w:r>
      <w:hyperlink r:id="rId28">
        <w:r>
          <w:rPr>
            <w:rStyle w:val="Hyperlink"/>
          </w:rPr>
          <w:t xml:space="preserve">[20]</w:t>
        </w:r>
      </w:hyperlink>
      <w:r>
        <w:t xml:space="preserve"> </w:t>
      </w:r>
      <w:hyperlink r:id="rId28">
        <w:r>
          <w:rPr>
            <w:rStyle w:val="Hyperlink"/>
          </w:rPr>
          <w:t xml:space="preserve">[54]</w:t>
        </w:r>
      </w:hyperlink>
      <w:r>
        <w:t xml:space="preserve"> </w:t>
      </w:r>
      <w:hyperlink r:id="rId28">
        <w:r>
          <w:rPr>
            <w:rStyle w:val="Hyperlink"/>
          </w:rPr>
          <w:t xml:space="preserve">[85]</w:t>
        </w:r>
      </w:hyperlink>
      <w:r>
        <w:t xml:space="preserve"> </w:t>
      </w:r>
      <w:r>
        <w:t xml:space="preserve">https://ec.europa.eu/digital-building-blocks/sites/spaces/DIGITAL/pages/467108934/Required%2Bsyntaxes</w:t>
      </w:r>
    </w:p>
    <w:p>
      <w:pPr>
        <w:pStyle w:val="BodyText"/>
      </w:pPr>
      <w:hyperlink r:id="rId28">
        <w:r>
          <w:rPr>
            <w:rStyle w:val="Hyperlink"/>
          </w:rPr>
          <w:t xml:space="preserve">https://ec.europa.eu/digital-building-blocks/sites/spaces/DIGITAL/pages/467108934/Required%2Bsyntaxes</w:t>
        </w:r>
      </w:hyperlink>
    </w:p>
    <w:p>
      <w:pPr>
        <w:pStyle w:val="BodyText"/>
      </w:pPr>
      <w:hyperlink r:id="rId29">
        <w:r>
          <w:rPr>
            <w:rStyle w:val="Hyperlink"/>
          </w:rPr>
          <w:t xml:space="preserve">[9]</w:t>
        </w:r>
      </w:hyperlink>
      <w:r>
        <w:t xml:space="preserve"> </w:t>
      </w:r>
      <w:hyperlink r:id="rId29">
        <w:r>
          <w:rPr>
            <w:rStyle w:val="Hyperlink"/>
          </w:rPr>
          <w:t xml:space="preserve">[19]</w:t>
        </w:r>
      </w:hyperlink>
      <w:r>
        <w:t xml:space="preserve"> </w:t>
      </w:r>
      <w:hyperlink r:id="rId29">
        <w:r>
          <w:rPr>
            <w:rStyle w:val="Hyperlink"/>
          </w:rPr>
          <w:t xml:space="preserve">[74]</w:t>
        </w:r>
      </w:hyperlink>
      <w:r>
        <w:t xml:space="preserve"> </w:t>
      </w:r>
      <w:r>
        <w:t xml:space="preserve">https://taxation-customs.ec.europa.eu/news/adoption-vat-digital-age-package-2025-03-11_en</w:t>
      </w:r>
    </w:p>
    <w:p>
      <w:pPr>
        <w:pStyle w:val="BodyText"/>
      </w:pPr>
      <w:hyperlink r:id="rId29">
        <w:r>
          <w:rPr>
            <w:rStyle w:val="Hyperlink"/>
          </w:rPr>
          <w:t xml:space="preserve">https://taxation-customs.ec.europa.eu/news/adoption-vat-digital-age-package-2025-03-11_en</w:t>
        </w:r>
      </w:hyperlink>
    </w:p>
    <w:p>
      <w:pPr>
        <w:pStyle w:val="BodyText"/>
      </w:pPr>
      <w:hyperlink r:id="rId30">
        <w:r>
          <w:rPr>
            <w:rStyle w:val="Hyperlink"/>
          </w:rPr>
          <w:t xml:space="preserve">[11]</w:t>
        </w:r>
      </w:hyperlink>
      <w:r>
        <w:t xml:space="preserve"> </w:t>
      </w:r>
      <w:hyperlink r:id="rId30">
        <w:r>
          <w:rPr>
            <w:rStyle w:val="Hyperlink"/>
          </w:rPr>
          <w:t xml:space="preserve">[41]</w:t>
        </w:r>
      </w:hyperlink>
      <w:r>
        <w:t xml:space="preserve"> </w:t>
      </w:r>
      <w:hyperlink r:id="rId30">
        <w:r>
          <w:rPr>
            <w:rStyle w:val="Hyperlink"/>
          </w:rPr>
          <w:t xml:space="preserve">[46]</w:t>
        </w:r>
      </w:hyperlink>
      <w:r>
        <w:t xml:space="preserve"> </w:t>
      </w:r>
      <w:r>
        <w:t xml:space="preserve">https://ecosio.com/en/products/einvoicing/</w:t>
      </w:r>
    </w:p>
    <w:p>
      <w:pPr>
        <w:pStyle w:val="BodyText"/>
      </w:pPr>
      <w:hyperlink r:id="rId30">
        <w:r>
          <w:rPr>
            <w:rStyle w:val="Hyperlink"/>
          </w:rPr>
          <w:t xml:space="preserve">https://ecosio.com/en/products/einvoicing/</w:t>
        </w:r>
      </w:hyperlink>
    </w:p>
    <w:p>
      <w:pPr>
        <w:pStyle w:val="BodyText"/>
      </w:pPr>
      <w:hyperlink r:id="rId32">
        <w:r>
          <w:rPr>
            <w:rStyle w:val="Hyperlink"/>
          </w:rPr>
          <w:t xml:space="preserve">[13]</w:t>
        </w:r>
      </w:hyperlink>
      <w:r>
        <w:t xml:space="preserve"> </w:t>
      </w:r>
      <w:r>
        <w:t xml:space="preserve">https://ec.europa.eu/digital-building-blocks/sites/spaces/DIGITAL/pages/894304326/eInvoicing%2BHUB</w:t>
      </w:r>
    </w:p>
    <w:p>
      <w:pPr>
        <w:pStyle w:val="BodyText"/>
      </w:pPr>
      <w:hyperlink r:id="rId32">
        <w:r>
          <w:rPr>
            <w:rStyle w:val="Hyperlink"/>
          </w:rPr>
          <w:t xml:space="preserve">https://ec.europa.eu/digital-building-blocks/sites/spaces/DIGITAL/pages/894304326/eInvoicing%2BHUB</w:t>
        </w:r>
      </w:hyperlink>
    </w:p>
    <w:p>
      <w:pPr>
        <w:pStyle w:val="BodyText"/>
      </w:pPr>
      <w:hyperlink r:id="rId33">
        <w:r>
          <w:rPr>
            <w:rStyle w:val="Hyperlink"/>
          </w:rPr>
          <w:t xml:space="preserve">[14]</w:t>
        </w:r>
      </w:hyperlink>
      <w:r>
        <w:t xml:space="preserve"> </w:t>
      </w:r>
      <w:r>
        <w:t xml:space="preserve">https://ec.europa.eu/digital-building-blocks/sites/spaces/DIGITAL/pages/467108853/What%2Bare%2Bthe%2Bbenefits%2Bof%2BeInvoicing</w:t>
      </w:r>
    </w:p>
    <w:p>
      <w:pPr>
        <w:pStyle w:val="BodyText"/>
      </w:pPr>
      <w:hyperlink r:id="rId33">
        <w:r>
          <w:rPr>
            <w:rStyle w:val="Hyperlink"/>
          </w:rPr>
          <w:t xml:space="preserve">https://ec.europa.eu/digital-building-blocks/sites/spaces/DIGITAL/pages/467108853/What%2Bare%2Bthe%2Bbenefits%2Bof%2BeInvoicing</w:t>
        </w:r>
      </w:hyperlink>
    </w:p>
    <w:p>
      <w:pPr>
        <w:pStyle w:val="BodyText"/>
      </w:pPr>
      <w:hyperlink r:id="rId34">
        <w:r>
          <w:rPr>
            <w:rStyle w:val="Hyperlink"/>
          </w:rPr>
          <w:t xml:space="preserve">[17]</w:t>
        </w:r>
      </w:hyperlink>
      <w:r>
        <w:t xml:space="preserve"> </w:t>
      </w:r>
      <w:hyperlink r:id="rId34">
        <w:r>
          <w:rPr>
            <w:rStyle w:val="Hyperlink"/>
          </w:rPr>
          <w:t xml:space="preserve">[22]</w:t>
        </w:r>
      </w:hyperlink>
      <w:r>
        <w:t xml:space="preserve"> </w:t>
      </w:r>
      <w:hyperlink r:id="rId34">
        <w:r>
          <w:rPr>
            <w:rStyle w:val="Hyperlink"/>
          </w:rPr>
          <w:t xml:space="preserve">[86]</w:t>
        </w:r>
      </w:hyperlink>
      <w:r>
        <w:t xml:space="preserve"> </w:t>
      </w:r>
      <w:r>
        <w:t xml:space="preserve">https://docs.peppol.eu/poacc/billing/3.0/bis/</w:t>
      </w:r>
    </w:p>
    <w:p>
      <w:pPr>
        <w:pStyle w:val="BodyText"/>
      </w:pPr>
      <w:hyperlink r:id="rId34">
        <w:r>
          <w:rPr>
            <w:rStyle w:val="Hyperlink"/>
          </w:rPr>
          <w:t xml:space="preserve">https://docs.peppol.eu/poacc/billing/3.0/bis/</w:t>
        </w:r>
      </w:hyperlink>
    </w:p>
    <w:p>
      <w:pPr>
        <w:pStyle w:val="BodyText"/>
      </w:pPr>
      <w:hyperlink r:id="rId35">
        <w:r>
          <w:rPr>
            <w:rStyle w:val="Hyperlink"/>
          </w:rPr>
          <w:t xml:space="preserve">[18]</w:t>
        </w:r>
      </w:hyperlink>
      <w:r>
        <w:t xml:space="preserve"> </w:t>
      </w:r>
      <w:r>
        <w:t xml:space="preserve">https://peppol.org/wp-content/uploads/2024/06/eInvoicing-Discovering-Peppol-May-2024.pdf</w:t>
      </w:r>
    </w:p>
    <w:p>
      <w:pPr>
        <w:pStyle w:val="BodyText"/>
      </w:pPr>
      <w:hyperlink r:id="rId35">
        <w:r>
          <w:rPr>
            <w:rStyle w:val="Hyperlink"/>
          </w:rPr>
          <w:t xml:space="preserve">https://peppol.org/wp-content/uploads/2024/06/eInvoicing-Discovering-Peppol-May-2024.pdf</w:t>
        </w:r>
      </w:hyperlink>
    </w:p>
    <w:p>
      <w:pPr>
        <w:pStyle w:val="BodyText"/>
      </w:pPr>
      <w:hyperlink r:id="rId37">
        <w:r>
          <w:rPr>
            <w:rStyle w:val="Hyperlink"/>
          </w:rPr>
          <w:t xml:space="preserve">[23]</w:t>
        </w:r>
      </w:hyperlink>
      <w:r>
        <w:t xml:space="preserve"> </w:t>
      </w:r>
      <w:hyperlink r:id="rId37">
        <w:r>
          <w:rPr>
            <w:rStyle w:val="Hyperlink"/>
          </w:rPr>
          <w:t xml:space="preserve">[75]</w:t>
        </w:r>
      </w:hyperlink>
      <w:r>
        <w:t xml:space="preserve"> </w:t>
      </w:r>
      <w:r>
        <w:t xml:space="preserve">https://peppol.org/members/peppol-certified-service-providers/</w:t>
      </w:r>
    </w:p>
    <w:p>
      <w:pPr>
        <w:pStyle w:val="BodyText"/>
      </w:pPr>
      <w:hyperlink r:id="rId37">
        <w:r>
          <w:rPr>
            <w:rStyle w:val="Hyperlink"/>
          </w:rPr>
          <w:t xml:space="preserve">https://peppol.org/members/peppol-certified-service-providers/</w:t>
        </w:r>
      </w:hyperlink>
    </w:p>
    <w:p>
      <w:pPr>
        <w:pStyle w:val="BodyText"/>
      </w:pPr>
      <w:hyperlink r:id="rId38">
        <w:r>
          <w:rPr>
            <w:rStyle w:val="Hyperlink"/>
          </w:rPr>
          <w:t xml:space="preserve">[24]</w:t>
        </w:r>
      </w:hyperlink>
      <w:r>
        <w:t xml:space="preserve"> </w:t>
      </w:r>
      <w:hyperlink r:id="rId38">
        <w:r>
          <w:rPr>
            <w:rStyle w:val="Hyperlink"/>
          </w:rPr>
          <w:t xml:space="preserve">[40]</w:t>
        </w:r>
      </w:hyperlink>
      <w:r>
        <w:t xml:space="preserve"> </w:t>
      </w:r>
      <w:r>
        <w:t xml:space="preserve">FAQ E-Rechnung in der Bundesverwaltung</w:t>
      </w:r>
    </w:p>
    <w:p>
      <w:pPr>
        <w:pStyle w:val="BodyText"/>
      </w:pPr>
      <w:hyperlink r:id="rId38">
        <w:r>
          <w:rPr>
            <w:rStyle w:val="Hyperlink"/>
          </w:rPr>
          <w:t xml:space="preserve">https://e-rechnung-bund.de/faq/?utm_source=chatgpt.com</w:t>
        </w:r>
      </w:hyperlink>
    </w:p>
    <w:p>
      <w:pPr>
        <w:pStyle w:val="BodyText"/>
      </w:pPr>
      <w:hyperlink r:id="rId39">
        <w:r>
          <w:rPr>
            <w:rStyle w:val="Hyperlink"/>
          </w:rPr>
          <w:t xml:space="preserve">[25]</w:t>
        </w:r>
      </w:hyperlink>
      <w:r>
        <w:t xml:space="preserve"> </w:t>
      </w:r>
      <w:hyperlink r:id="rId39">
        <w:r>
          <w:rPr>
            <w:rStyle w:val="Hyperlink"/>
          </w:rPr>
          <w:t xml:space="preserve">[26]</w:t>
        </w:r>
      </w:hyperlink>
      <w:r>
        <w:t xml:space="preserve"> </w:t>
      </w:r>
      <w:hyperlink r:id="rId39">
        <w:r>
          <w:rPr>
            <w:rStyle w:val="Hyperlink"/>
          </w:rPr>
          <w:t xml:space="preserve">[48]</w:t>
        </w:r>
      </w:hyperlink>
      <w:r>
        <w:t xml:space="preserve"> </w:t>
      </w:r>
      <w:r>
        <w:t xml:space="preserve">https://xeinkauf.de/app/uploads/2024/07/302-XRechnung-2024-06-20.pdf</w:t>
      </w:r>
    </w:p>
    <w:p>
      <w:pPr>
        <w:pStyle w:val="BodyText"/>
      </w:pPr>
      <w:hyperlink r:id="rId39">
        <w:r>
          <w:rPr>
            <w:rStyle w:val="Hyperlink"/>
          </w:rPr>
          <w:t xml:space="preserve">https://xeinkauf.de/app/uploads/2024/07/302-XRechnung-2024-06-20.pdf</w:t>
        </w:r>
      </w:hyperlink>
    </w:p>
    <w:p>
      <w:pPr>
        <w:pStyle w:val="BodyText"/>
      </w:pPr>
      <w:hyperlink r:id="rId40">
        <w:r>
          <w:rPr>
            <w:rStyle w:val="Hyperlink"/>
          </w:rPr>
          <w:t xml:space="preserve">[27]</w:t>
        </w:r>
      </w:hyperlink>
      <w:r>
        <w:t xml:space="preserve"> </w:t>
      </w:r>
      <w:hyperlink r:id="rId40">
        <w:r>
          <w:rPr>
            <w:rStyle w:val="Hyperlink"/>
          </w:rPr>
          <w:t xml:space="preserve">[72]</w:t>
        </w:r>
      </w:hyperlink>
      <w:r>
        <w:t xml:space="preserve"> </w:t>
      </w:r>
      <w:r>
        <w:t xml:space="preserve">https://fnfe-mpe.org/factur-x/factur-x_en/</w:t>
      </w:r>
    </w:p>
    <w:p>
      <w:pPr>
        <w:pStyle w:val="BodyText"/>
      </w:pPr>
      <w:hyperlink r:id="rId40">
        <w:r>
          <w:rPr>
            <w:rStyle w:val="Hyperlink"/>
          </w:rPr>
          <w:t xml:space="preserve">https://fnfe-mpe.org/factur-x/factur-x_en/</w:t>
        </w:r>
      </w:hyperlink>
    </w:p>
    <w:p>
      <w:pPr>
        <w:pStyle w:val="BodyText"/>
      </w:pPr>
      <w:hyperlink r:id="rId41">
        <w:r>
          <w:rPr>
            <w:rStyle w:val="Hyperlink"/>
          </w:rPr>
          <w:t xml:space="preserve">[28]</w:t>
        </w:r>
      </w:hyperlink>
      <w:r>
        <w:t xml:space="preserve"> </w:t>
      </w:r>
      <w:hyperlink r:id="rId41">
        <w:r>
          <w:rPr>
            <w:rStyle w:val="Hyperlink"/>
          </w:rPr>
          <w:t xml:space="preserve">[35]</w:t>
        </w:r>
      </w:hyperlink>
      <w:r>
        <w:t xml:space="preserve"> </w:t>
      </w:r>
      <w:hyperlink r:id="rId41">
        <w:r>
          <w:rPr>
            <w:rStyle w:val="Hyperlink"/>
          </w:rPr>
          <w:t xml:space="preserve">[62]</w:t>
        </w:r>
      </w:hyperlink>
      <w:r>
        <w:t xml:space="preserve"> </w:t>
      </w:r>
      <w:r>
        <w:t xml:space="preserve">https://www.facturae.gob.es/formato/Paginas/formato.aspx</w:t>
      </w:r>
    </w:p>
    <w:p>
      <w:pPr>
        <w:pStyle w:val="BodyText"/>
      </w:pPr>
      <w:hyperlink r:id="rId41">
        <w:r>
          <w:rPr>
            <w:rStyle w:val="Hyperlink"/>
          </w:rPr>
          <w:t xml:space="preserve">https://www.facturae.gob.es/formato/Paginas/formato.aspx</w:t>
        </w:r>
      </w:hyperlink>
    </w:p>
    <w:p>
      <w:pPr>
        <w:pStyle w:val="BodyText"/>
      </w:pPr>
      <w:hyperlink r:id="rId42">
        <w:r>
          <w:rPr>
            <w:rStyle w:val="Hyperlink"/>
          </w:rPr>
          <w:t xml:space="preserve">[29]</w:t>
        </w:r>
      </w:hyperlink>
      <w:r>
        <w:t xml:space="preserve"> </w:t>
      </w:r>
      <w:r>
        <w:t xml:space="preserve">https://sede.agenciatributaria.gob.es/Sede/normativa-criterios-interpretativos/analisis/El__Reglamento_Veri_factu_.html</w:t>
      </w:r>
    </w:p>
    <w:p>
      <w:pPr>
        <w:pStyle w:val="BodyText"/>
      </w:pPr>
      <w:hyperlink r:id="rId42">
        <w:r>
          <w:rPr>
            <w:rStyle w:val="Hyperlink"/>
          </w:rPr>
          <w:t xml:space="preserve">https://sede.agenciatributaria.gob.es/Sede/normativa-criterios-interpretativos/analisis/El__Reglamento_Veri_factu_.html</w:t>
        </w:r>
      </w:hyperlink>
    </w:p>
    <w:p>
      <w:pPr>
        <w:pStyle w:val="BodyText"/>
      </w:pPr>
      <w:hyperlink r:id="rId43">
        <w:r>
          <w:rPr>
            <w:rStyle w:val="Hyperlink"/>
          </w:rPr>
          <w:t xml:space="preserve">[30]</w:t>
        </w:r>
      </w:hyperlink>
      <w:r>
        <w:t xml:space="preserve"> </w:t>
      </w:r>
      <w:hyperlink r:id="rId43">
        <w:r>
          <w:rPr>
            <w:rStyle w:val="Hyperlink"/>
          </w:rPr>
          <w:t xml:space="preserve">[56]</w:t>
        </w:r>
      </w:hyperlink>
      <w:r>
        <w:t xml:space="preserve"> </w:t>
      </w:r>
      <w:r>
        <w:t xml:space="preserve">https://sede.agenciatributaria.gob.es/Sede/todas-noticias/2025/diciembre/3/ampliacion-plazo-adaptacion-sistemas-informaticos-facturacion.html</w:t>
      </w:r>
    </w:p>
    <w:p>
      <w:pPr>
        <w:pStyle w:val="BodyText"/>
      </w:pPr>
      <w:hyperlink r:id="rId43">
        <w:r>
          <w:rPr>
            <w:rStyle w:val="Hyperlink"/>
          </w:rPr>
          <w:t xml:space="preserve">https://sede.agenciatributaria.gob.es/Sede/todas-noticias/2025/diciembre/3/ampliacion-plazo-adaptacion-sistemas-informaticos-facturacion.html</w:t>
        </w:r>
      </w:hyperlink>
    </w:p>
    <w:p>
      <w:pPr>
        <w:pStyle w:val="BodyText"/>
      </w:pPr>
      <w:hyperlink r:id="rId44">
        <w:r>
          <w:rPr>
            <w:rStyle w:val="Hyperlink"/>
          </w:rPr>
          <w:t xml:space="preserve">[31]</w:t>
        </w:r>
      </w:hyperlink>
      <w:r>
        <w:t xml:space="preserve"> </w:t>
      </w:r>
      <w:r>
        <w:t xml:space="preserve">https://www.boe.es/buscar/act.php?id=BOE-A-2022-15818</w:t>
      </w:r>
    </w:p>
    <w:p>
      <w:pPr>
        <w:pStyle w:val="BodyText"/>
      </w:pPr>
      <w:hyperlink r:id="rId44">
        <w:r>
          <w:rPr>
            <w:rStyle w:val="Hyperlink"/>
          </w:rPr>
          <w:t xml:space="preserve">https://www.boe.es/buscar/act.php?id=BOE-A-2022-15818</w:t>
        </w:r>
      </w:hyperlink>
    </w:p>
    <w:p>
      <w:pPr>
        <w:pStyle w:val="BodyText"/>
      </w:pPr>
      <w:hyperlink r:id="rId45">
        <w:r>
          <w:rPr>
            <w:rStyle w:val="Hyperlink"/>
          </w:rPr>
          <w:t xml:space="preserve">[32]</w:t>
        </w:r>
      </w:hyperlink>
      <w:r>
        <w:t xml:space="preserve"> </w:t>
      </w:r>
      <w:r>
        <w:t xml:space="preserve">https://ec.europa.eu/digital-building-blocks/sites/spaces/DIGITAL/pages/467108890/eInvoicing%2Bin%2BItaly</w:t>
      </w:r>
    </w:p>
    <w:p>
      <w:pPr>
        <w:pStyle w:val="BodyText"/>
      </w:pPr>
      <w:hyperlink r:id="rId45">
        <w:r>
          <w:rPr>
            <w:rStyle w:val="Hyperlink"/>
          </w:rPr>
          <w:t xml:space="preserve">https://ec.europa.eu/digital-building-blocks/sites/spaces/DIGITAL/pages/467108890/eInvoicing%2Bin%2BItaly</w:t>
        </w:r>
      </w:hyperlink>
    </w:p>
    <w:p>
      <w:pPr>
        <w:pStyle w:val="BodyText"/>
      </w:pPr>
      <w:hyperlink r:id="rId49">
        <w:r>
          <w:rPr>
            <w:rStyle w:val="Hyperlink"/>
          </w:rPr>
          <w:t xml:space="preserve">[38]</w:t>
        </w:r>
      </w:hyperlink>
      <w:r>
        <w:t xml:space="preserve"> </w:t>
      </w:r>
      <w:hyperlink r:id="rId49">
        <w:r>
          <w:rPr>
            <w:rStyle w:val="Hyperlink"/>
          </w:rPr>
          <w:t xml:space="preserve">[45]</w:t>
        </w:r>
      </w:hyperlink>
      <w:r>
        <w:t xml:space="preserve"> </w:t>
      </w:r>
      <w:hyperlink r:id="rId49">
        <w:r>
          <w:rPr>
            <w:rStyle w:val="Hyperlink"/>
          </w:rPr>
          <w:t xml:space="preserve">[70]</w:t>
        </w:r>
      </w:hyperlink>
      <w:r>
        <w:t xml:space="preserve"> </w:t>
      </w:r>
      <w:r>
        <w:t xml:space="preserve">https://www.banqup.com/pricing</w:t>
      </w:r>
    </w:p>
    <w:p>
      <w:pPr>
        <w:pStyle w:val="BodyText"/>
      </w:pPr>
      <w:hyperlink r:id="rId49">
        <w:r>
          <w:rPr>
            <w:rStyle w:val="Hyperlink"/>
          </w:rPr>
          <w:t xml:space="preserve">https://www.banqup.com/pricing</w:t>
        </w:r>
      </w:hyperlink>
    </w:p>
    <w:p>
      <w:pPr>
        <w:pStyle w:val="BodyText"/>
      </w:pPr>
      <w:hyperlink r:id="rId54">
        <w:r>
          <w:rPr>
            <w:rStyle w:val="Hyperlink"/>
          </w:rPr>
          <w:t xml:space="preserve">[42]</w:t>
        </w:r>
      </w:hyperlink>
      <w:r>
        <w:t xml:space="preserve"> </w:t>
      </w:r>
      <w:hyperlink r:id="rId54">
        <w:r>
          <w:rPr>
            <w:rStyle w:val="Hyperlink"/>
          </w:rPr>
          <w:t xml:space="preserve">[66]</w:t>
        </w:r>
      </w:hyperlink>
      <w:r>
        <w:t xml:space="preserve"> </w:t>
      </w:r>
      <w:hyperlink r:id="rId54">
        <w:r>
          <w:rPr>
            <w:rStyle w:val="Hyperlink"/>
          </w:rPr>
          <w:t xml:space="preserve">[67]</w:t>
        </w:r>
      </w:hyperlink>
      <w:r>
        <w:t xml:space="preserve"> </w:t>
      </w:r>
      <w:r>
        <w:t xml:space="preserve">https://rossum.ai/pricing/</w:t>
      </w:r>
    </w:p>
    <w:p>
      <w:pPr>
        <w:pStyle w:val="BodyText"/>
      </w:pPr>
      <w:hyperlink r:id="rId54">
        <w:r>
          <w:rPr>
            <w:rStyle w:val="Hyperlink"/>
          </w:rPr>
          <w:t xml:space="preserve">https://rossum.ai/pricing/</w:t>
        </w:r>
      </w:hyperlink>
    </w:p>
    <w:p>
      <w:pPr>
        <w:pStyle w:val="BodyText"/>
      </w:pPr>
      <w:hyperlink r:id="rId55">
        <w:r>
          <w:rPr>
            <w:rStyle w:val="Hyperlink"/>
          </w:rPr>
          <w:t xml:space="preserve">[43]</w:t>
        </w:r>
      </w:hyperlink>
      <w:r>
        <w:t xml:space="preserve"> </w:t>
      </w:r>
      <w:hyperlink r:id="rId55">
        <w:r>
          <w:rPr>
            <w:rStyle w:val="Hyperlink"/>
          </w:rPr>
          <w:t xml:space="preserve">[65]</w:t>
        </w:r>
      </w:hyperlink>
      <w:r>
        <w:t xml:space="preserve"> </w:t>
      </w:r>
      <w:hyperlink r:id="rId55">
        <w:r>
          <w:rPr>
            <w:rStyle w:val="Hyperlink"/>
          </w:rPr>
          <w:t xml:space="preserve">[71]</w:t>
        </w:r>
      </w:hyperlink>
      <w:r>
        <w:t xml:space="preserve"> </w:t>
      </w:r>
      <w:r>
        <w:t xml:space="preserve">https://www.odoo.com/documentation/19.0/applications/finance/accounting/customer_invoices/electronic_invoicing.html</w:t>
      </w:r>
    </w:p>
    <w:p>
      <w:pPr>
        <w:pStyle w:val="BodyText"/>
      </w:pPr>
      <w:hyperlink r:id="rId55">
        <w:r>
          <w:rPr>
            <w:rStyle w:val="Hyperlink"/>
          </w:rPr>
          <w:t xml:space="preserve">https://www.odoo.com/documentation/19.0/applications/finance/accounting/customer_invoices/electronic_invoicing.html</w:t>
        </w:r>
      </w:hyperlink>
    </w:p>
    <w:p>
      <w:pPr>
        <w:pStyle w:val="BodyText"/>
      </w:pPr>
      <w:hyperlink r:id="rId56">
        <w:r>
          <w:rPr>
            <w:rStyle w:val="Hyperlink"/>
          </w:rPr>
          <w:t xml:space="preserve">[44]</w:t>
        </w:r>
      </w:hyperlink>
      <w:r>
        <w:t xml:space="preserve"> </w:t>
      </w:r>
      <w:hyperlink r:id="rId56">
        <w:r>
          <w:rPr>
            <w:rStyle w:val="Hyperlink"/>
          </w:rPr>
          <w:t xml:space="preserve">[52]</w:t>
        </w:r>
      </w:hyperlink>
      <w:r>
        <w:t xml:space="preserve"> </w:t>
      </w:r>
      <w:r>
        <w:t xml:space="preserve">https://www.basware.com/en/pricing</w:t>
      </w:r>
    </w:p>
    <w:p>
      <w:pPr>
        <w:pStyle w:val="BodyText"/>
      </w:pPr>
      <w:hyperlink r:id="rId56">
        <w:r>
          <w:rPr>
            <w:rStyle w:val="Hyperlink"/>
          </w:rPr>
          <w:t xml:space="preserve">https://www.basware.com/en/pricing</w:t>
        </w:r>
      </w:hyperlink>
    </w:p>
    <w:p>
      <w:pPr>
        <w:pStyle w:val="BodyText"/>
      </w:pPr>
      <w:hyperlink r:id="rId57">
        <w:r>
          <w:rPr>
            <w:rStyle w:val="Hyperlink"/>
          </w:rPr>
          <w:t xml:space="preserve">[47]</w:t>
        </w:r>
      </w:hyperlink>
      <w:r>
        <w:t xml:space="preserve"> </w:t>
      </w:r>
      <w:r>
        <w:t xml:space="preserve">https://ecosio.com/en/global-e-invoicing-compliance/</w:t>
      </w:r>
    </w:p>
    <w:p>
      <w:pPr>
        <w:pStyle w:val="BodyText"/>
      </w:pPr>
      <w:hyperlink r:id="rId57">
        <w:r>
          <w:rPr>
            <w:rStyle w:val="Hyperlink"/>
          </w:rPr>
          <w:t xml:space="preserve">https://ecosio.com/en/global-e-invoicing-compliance/</w:t>
        </w:r>
      </w:hyperlink>
    </w:p>
    <w:p>
      <w:pPr>
        <w:pStyle w:val="BodyText"/>
      </w:pPr>
      <w:hyperlink r:id="rId58">
        <w:r>
          <w:rPr>
            <w:rStyle w:val="Hyperlink"/>
          </w:rPr>
          <w:t xml:space="preserve">[49]</w:t>
        </w:r>
      </w:hyperlink>
      <w:r>
        <w:t xml:space="preserve"> </w:t>
      </w:r>
      <w:r>
        <w:t xml:space="preserve">https://edicomgroup.com/peppol</w:t>
      </w:r>
    </w:p>
    <w:p>
      <w:pPr>
        <w:pStyle w:val="BodyText"/>
      </w:pPr>
      <w:hyperlink r:id="rId58">
        <w:r>
          <w:rPr>
            <w:rStyle w:val="Hyperlink"/>
          </w:rPr>
          <w:t xml:space="preserve">https://edicomgroup.com/peppol</w:t>
        </w:r>
      </w:hyperlink>
    </w:p>
    <w:p>
      <w:pPr>
        <w:pStyle w:val="BodyText"/>
      </w:pPr>
      <w:hyperlink r:id="rId59">
        <w:r>
          <w:rPr>
            <w:rStyle w:val="Hyperlink"/>
          </w:rPr>
          <w:t xml:space="preserve">[50]</w:t>
        </w:r>
      </w:hyperlink>
      <w:r>
        <w:t xml:space="preserve"> </w:t>
      </w:r>
      <w:hyperlink r:id="rId59">
        <w:r>
          <w:rPr>
            <w:rStyle w:val="Hyperlink"/>
          </w:rPr>
          <w:t xml:space="preserve">[69]</w:t>
        </w:r>
      </w:hyperlink>
      <w:r>
        <w:t xml:space="preserve"> </w:t>
      </w:r>
      <w:r>
        <w:t xml:space="preserve">https://www.hypatos.ai/solutions/process/accounts-payable</w:t>
      </w:r>
    </w:p>
    <w:p>
      <w:pPr>
        <w:pStyle w:val="BodyText"/>
      </w:pPr>
      <w:hyperlink r:id="rId59">
        <w:r>
          <w:rPr>
            <w:rStyle w:val="Hyperlink"/>
          </w:rPr>
          <w:t xml:space="preserve">https://www.hypatos.ai/solutions/process/accounts-payable</w:t>
        </w:r>
      </w:hyperlink>
    </w:p>
    <w:p>
      <w:pPr>
        <w:pStyle w:val="BodyText"/>
      </w:pPr>
      <w:hyperlink r:id="rId60">
        <w:r>
          <w:rPr>
            <w:rStyle w:val="Hyperlink"/>
          </w:rPr>
          <w:t xml:space="preserve">[51]</w:t>
        </w:r>
      </w:hyperlink>
      <w:r>
        <w:t xml:space="preserve"> </w:t>
      </w:r>
      <w:hyperlink r:id="rId60">
        <w:r>
          <w:rPr>
            <w:rStyle w:val="Hyperlink"/>
          </w:rPr>
          <w:t xml:space="preserve">[53]</w:t>
        </w:r>
      </w:hyperlink>
      <w:r>
        <w:t xml:space="preserve"> </w:t>
      </w:r>
      <w:r>
        <w:t xml:space="preserve">https://www.basware.com/en/solutions/e-invoicing-network/</w:t>
      </w:r>
    </w:p>
    <w:p>
      <w:pPr>
        <w:pStyle w:val="BodyText"/>
      </w:pPr>
      <w:hyperlink r:id="rId60">
        <w:r>
          <w:rPr>
            <w:rStyle w:val="Hyperlink"/>
          </w:rPr>
          <w:t xml:space="preserve">https://www.basware.com/en/solutions/e-invoicing-network/</w:t>
        </w:r>
      </w:hyperlink>
    </w:p>
    <w:p>
      <w:pPr>
        <w:pStyle w:val="BodyText"/>
      </w:pPr>
      <w:hyperlink r:id="rId61">
        <w:r>
          <w:rPr>
            <w:rStyle w:val="Hyperlink"/>
          </w:rPr>
          <w:t xml:space="preserve">[55]</w:t>
        </w:r>
      </w:hyperlink>
      <w:r>
        <w:t xml:space="preserve"> </w:t>
      </w:r>
      <w:r>
        <w:t xml:space="preserve">https://www.pagero.com/solutions/e-invoicing</w:t>
      </w:r>
    </w:p>
    <w:p>
      <w:pPr>
        <w:pStyle w:val="BodyText"/>
      </w:pPr>
      <w:hyperlink r:id="rId61">
        <w:r>
          <w:rPr>
            <w:rStyle w:val="Hyperlink"/>
          </w:rPr>
          <w:t xml:space="preserve">https://www.pagero.com/solutions/e-invoicing</w:t>
        </w:r>
      </w:hyperlink>
    </w:p>
    <w:p>
      <w:pPr>
        <w:pStyle w:val="BodyText"/>
      </w:pPr>
      <w:hyperlink r:id="rId62">
        <w:r>
          <w:rPr>
            <w:rStyle w:val="Hyperlink"/>
          </w:rPr>
          <w:t xml:space="preserve">[57]</w:t>
        </w:r>
      </w:hyperlink>
      <w:r>
        <w:t xml:space="preserve"> </w:t>
      </w:r>
      <w:hyperlink r:id="rId62">
        <w:r>
          <w:rPr>
            <w:rStyle w:val="Hyperlink"/>
          </w:rPr>
          <w:t xml:space="preserve">[58]</w:t>
        </w:r>
      </w:hyperlink>
      <w:r>
        <w:t xml:space="preserve"> </w:t>
      </w:r>
      <w:hyperlink r:id="rId62">
        <w:r>
          <w:rPr>
            <w:rStyle w:val="Hyperlink"/>
          </w:rPr>
          <w:t xml:space="preserve">[77]</w:t>
        </w:r>
      </w:hyperlink>
      <w:r>
        <w:t xml:space="preserve"> </w:t>
      </w:r>
      <w:r>
        <w:t xml:space="preserve">https://www.b2brouter.net/global/prices/</w:t>
      </w:r>
    </w:p>
    <w:p>
      <w:pPr>
        <w:pStyle w:val="BodyText"/>
      </w:pPr>
      <w:hyperlink r:id="rId62">
        <w:r>
          <w:rPr>
            <w:rStyle w:val="Hyperlink"/>
          </w:rPr>
          <w:t xml:space="preserve">https://www.b2brouter.net/global/prices/</w:t>
        </w:r>
      </w:hyperlink>
    </w:p>
    <w:p>
      <w:pPr>
        <w:pStyle w:val="BodyText"/>
      </w:pPr>
      <w:hyperlink r:id="rId63">
        <w:r>
          <w:rPr>
            <w:rStyle w:val="Hyperlink"/>
          </w:rPr>
          <w:t xml:space="preserve">[59]</w:t>
        </w:r>
      </w:hyperlink>
      <w:r>
        <w:t xml:space="preserve"> </w:t>
      </w:r>
      <w:hyperlink r:id="rId63">
        <w:r>
          <w:rPr>
            <w:rStyle w:val="Hyperlink"/>
          </w:rPr>
          <w:t xml:space="preserve">[60]</w:t>
        </w:r>
      </w:hyperlink>
      <w:r>
        <w:t xml:space="preserve"> </w:t>
      </w:r>
      <w:r>
        <w:t xml:space="preserve">https://www.peppol.nu/supplier/b2brouter-en/</w:t>
      </w:r>
    </w:p>
    <w:p>
      <w:pPr>
        <w:pStyle w:val="BodyText"/>
      </w:pPr>
      <w:hyperlink r:id="rId63">
        <w:r>
          <w:rPr>
            <w:rStyle w:val="Hyperlink"/>
          </w:rPr>
          <w:t xml:space="preserve">https://www.peppol.nu/supplier/b2brouter-en/</w:t>
        </w:r>
      </w:hyperlink>
    </w:p>
    <w:p>
      <w:pPr>
        <w:pStyle w:val="BodyText"/>
      </w:pPr>
      <w:hyperlink r:id="rId64">
        <w:r>
          <w:rPr>
            <w:rStyle w:val="Hyperlink"/>
          </w:rPr>
          <w:t xml:space="preserve">[61]</w:t>
        </w:r>
      </w:hyperlink>
      <w:r>
        <w:t xml:space="preserve"> </w:t>
      </w:r>
      <w:hyperlink r:id="rId64">
        <w:r>
          <w:rPr>
            <w:rStyle w:val="Hyperlink"/>
          </w:rPr>
          <w:t xml:space="preserve">[68]</w:t>
        </w:r>
      </w:hyperlink>
      <w:r>
        <w:t xml:space="preserve"> </w:t>
      </w:r>
      <w:r>
        <w:t xml:space="preserve">https://www.banqup.com/</w:t>
      </w:r>
    </w:p>
    <w:p>
      <w:pPr>
        <w:pStyle w:val="BodyText"/>
      </w:pPr>
      <w:hyperlink r:id="rId64">
        <w:r>
          <w:rPr>
            <w:rStyle w:val="Hyperlink"/>
          </w:rPr>
          <w:t xml:space="preserve">https://www.banqup.com/</w:t>
        </w:r>
      </w:hyperlink>
    </w:p>
    <w:p>
      <w:pPr>
        <w:pStyle w:val="BodyText"/>
      </w:pPr>
      <w:hyperlink r:id="rId65">
        <w:r>
          <w:rPr>
            <w:rStyle w:val="Hyperlink"/>
          </w:rPr>
          <w:t xml:space="preserve">[63]</w:t>
        </w:r>
      </w:hyperlink>
      <w:r>
        <w:t xml:space="preserve"> </w:t>
      </w:r>
      <w:hyperlink r:id="rId65">
        <w:r>
          <w:rPr>
            <w:rStyle w:val="Hyperlink"/>
          </w:rPr>
          <w:t xml:space="preserve">[64]</w:t>
        </w:r>
      </w:hyperlink>
      <w:r>
        <w:t xml:space="preserve"> </w:t>
      </w:r>
      <w:r>
        <w:t xml:space="preserve">https://www.klippa.com/en/invoice-processing/prices/</w:t>
      </w:r>
    </w:p>
    <w:p>
      <w:pPr>
        <w:pStyle w:val="BodyText"/>
      </w:pPr>
      <w:hyperlink r:id="rId65">
        <w:r>
          <w:rPr>
            <w:rStyle w:val="Hyperlink"/>
          </w:rPr>
          <w:t xml:space="preserve">https://www.klippa.com/en/invoice-processing/prices/</w:t>
        </w:r>
      </w:hyperlink>
    </w:p>
    <w:p>
      <w:pPr>
        <w:pStyle w:val="BodyText"/>
      </w:pPr>
      <w:hyperlink r:id="rId74">
        <w:r>
          <w:rPr>
            <w:rStyle w:val="Hyperlink"/>
          </w:rPr>
          <w:t xml:space="preserve">[78]</w:t>
        </w:r>
      </w:hyperlink>
      <w:r>
        <w:t xml:space="preserve"> </w:t>
      </w:r>
      <w:r>
        <w:t xml:space="preserve">https://www.datev.de/web/de/berufsgruppenuebergreifend/themen-im-fokus/e-rechnung-mit-datev</w:t>
      </w:r>
    </w:p>
    <w:p>
      <w:pPr>
        <w:pStyle w:val="BodyText"/>
      </w:pPr>
      <w:hyperlink r:id="rId74">
        <w:r>
          <w:rPr>
            <w:rStyle w:val="Hyperlink"/>
          </w:rPr>
          <w:t xml:space="preserve">https://www.datev.de/web/de/berufsgruppenuebergreifend/themen-im-fokus/e-rechnung-mit-datev</w:t>
        </w:r>
      </w:hyperlink>
    </w:p>
    <w:p>
      <w:pPr>
        <w:pStyle w:val="BodyText"/>
      </w:pPr>
      <w:hyperlink r:id="rId77">
        <w:r>
          <w:rPr>
            <w:rStyle w:val="Hyperlink"/>
          </w:rPr>
          <w:t xml:space="preserve">[79]</w:t>
        </w:r>
      </w:hyperlink>
      <w:r>
        <w:t xml:space="preserve"> </w:t>
      </w:r>
      <w:hyperlink r:id="rId77">
        <w:r>
          <w:rPr>
            <w:rStyle w:val="Hyperlink"/>
          </w:rPr>
          <w:t xml:space="preserve">[88]</w:t>
        </w:r>
      </w:hyperlink>
      <w:r>
        <w:t xml:space="preserve"> </w:t>
      </w:r>
      <w:r>
        <w:t xml:space="preserve">REGULATION (EU) 2016/ 679 OF THE EUROPEAN ...</w:t>
      </w:r>
    </w:p>
    <w:p>
      <w:pPr>
        <w:pStyle w:val="BodyText"/>
      </w:pPr>
      <w:hyperlink r:id="rId77">
        <w:r>
          <w:rPr>
            <w:rStyle w:val="Hyperlink"/>
          </w:rPr>
          <w:t xml:space="preserve">https://www.uoc.gr/wp-content/uploads/2025/02/celex_32016r0679_en_txt-1.pdf?utm_source=chatgpt.com</w:t>
        </w:r>
      </w:hyperlink>
    </w:p>
    <w:p>
      <w:pPr>
        <w:pStyle w:val="BodyText"/>
      </w:pPr>
      <w:hyperlink r:id="rId81">
        <w:r>
          <w:rPr>
            <w:rStyle w:val="Hyperlink"/>
          </w:rPr>
          <w:t xml:space="preserve">[82]</w:t>
        </w:r>
      </w:hyperlink>
      <w:r>
        <w:t xml:space="preserve"> </w:t>
      </w:r>
      <w:r>
        <w:t xml:space="preserve">https://entreprendre.service-public.gouv.fr/actualites/A15683</w:t>
      </w:r>
    </w:p>
    <w:p>
      <w:pPr>
        <w:pStyle w:val="BodyText"/>
      </w:pPr>
      <w:hyperlink r:id="rId81">
        <w:r>
          <w:rPr>
            <w:rStyle w:val="Hyperlink"/>
          </w:rPr>
          <w:t xml:space="preserve">https://entreprendre.service-public.gouv.fr/actualites/A15683</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docs.peppol.eu/poacc/billing/3.0/bis/" TargetMode="External" /><Relationship Type="http://schemas.openxmlformats.org/officeDocument/2006/relationships/hyperlink" Id="rId38" Target="https://e-rechnung-bund.de/faq/?utm_source=chatgpt.com" TargetMode="External" /><Relationship Type="http://schemas.openxmlformats.org/officeDocument/2006/relationships/hyperlink" Id="rId27" Target="https://ec.europa.eu/digital-building-blocks/sites/download/attachments/467108637/Directive%20CELEX_32014L0055_EN_TXT.pdf?api=v2" TargetMode="External" /><Relationship Type="http://schemas.openxmlformats.org/officeDocument/2006/relationships/hyperlink" Id="rId26" Target="https://ec.europa.eu/digital-building-blocks/sites/pages/viewpage.action?pageId=861175868" TargetMode="External" /><Relationship Type="http://schemas.openxmlformats.org/officeDocument/2006/relationships/hyperlink" Id="rId33" Target="https://ec.europa.eu/digital-building-blocks/sites/spaces/DIGITAL/pages/467108853/What%2Bare%2Bthe%2Bbenefits%2Bof%2BeInvoicing" TargetMode="External" /><Relationship Type="http://schemas.openxmlformats.org/officeDocument/2006/relationships/hyperlink" Id="rId45" Target="https://ec.europa.eu/digital-building-blocks/sites/spaces/DIGITAL/pages/467108890/eInvoicing%2Bin%2BItaly" TargetMode="External" /><Relationship Type="http://schemas.openxmlformats.org/officeDocument/2006/relationships/hyperlink" Id="rId25" Target="https://ec.europa.eu/digital-building-blocks/sites/spaces/DIGITAL/pages/467108896/eInvoicing%2Bin%2BPoland" TargetMode="External" /><Relationship Type="http://schemas.openxmlformats.org/officeDocument/2006/relationships/hyperlink" Id="rId28" Target="https://ec.europa.eu/digital-building-blocks/sites/spaces/DIGITAL/pages/467108934/Required%2Bsyntaxes" TargetMode="External" /><Relationship Type="http://schemas.openxmlformats.org/officeDocument/2006/relationships/hyperlink" Id="rId32" Target="https://ec.europa.eu/digital-building-blocks/sites/spaces/DIGITAL/pages/894304326/eInvoicing%2BHUB" TargetMode="External" /><Relationship Type="http://schemas.openxmlformats.org/officeDocument/2006/relationships/hyperlink" Id="rId57" Target="https://ecosio.com/en/global-e-invoicing-compliance/" TargetMode="External" /><Relationship Type="http://schemas.openxmlformats.org/officeDocument/2006/relationships/hyperlink" Id="rId30" Target="https://ecosio.com/en/products/einvoicing/" TargetMode="External" /><Relationship Type="http://schemas.openxmlformats.org/officeDocument/2006/relationships/hyperlink" Id="rId58" Target="https://edicomgroup.com/peppol" TargetMode="External" /><Relationship Type="http://schemas.openxmlformats.org/officeDocument/2006/relationships/hyperlink" Id="rId23" Target="https://einvoice.belgium.be/en/partner/fod-financien" TargetMode="External" /><Relationship Type="http://schemas.openxmlformats.org/officeDocument/2006/relationships/hyperlink" Id="rId81" Target="https://entreprendre.service-public.gouv.fr/actualites/A15683" TargetMode="External" /><Relationship Type="http://schemas.openxmlformats.org/officeDocument/2006/relationships/hyperlink" Id="rId40" Target="https://fnfe-mpe.org/factur-x/factur-x_en/" TargetMode="External" /><Relationship Type="http://schemas.openxmlformats.org/officeDocument/2006/relationships/hyperlink" Id="rId37" Target="https://peppol.org/members/peppol-certified-service-providers/" TargetMode="External" /><Relationship Type="http://schemas.openxmlformats.org/officeDocument/2006/relationships/hyperlink" Id="rId35" Target="https://peppol.org/wp-content/uploads/2024/06/eInvoicing-Discovering-Peppol-May-2024.pdf" TargetMode="External" /><Relationship Type="http://schemas.openxmlformats.org/officeDocument/2006/relationships/hyperlink" Id="rId54" Target="https://rossum.ai/pricing/" TargetMode="External" /><Relationship Type="http://schemas.openxmlformats.org/officeDocument/2006/relationships/hyperlink" Id="rId42" Target="https://sede.agenciatributaria.gob.es/Sede/normativa-criterios-interpretativos/analisis/El__Reglamento_Veri_factu_.html" TargetMode="External" /><Relationship Type="http://schemas.openxmlformats.org/officeDocument/2006/relationships/hyperlink" Id="rId43" Target="https://sede.agenciatributaria.gob.es/Sede/todas-noticias/2025/diciembre/3/ampliacion-plazo-adaptacion-sistemas-informaticos-facturacion.html" TargetMode="External" /><Relationship Type="http://schemas.openxmlformats.org/officeDocument/2006/relationships/hyperlink" Id="rId29" Target="https://taxation-customs.ec.europa.eu/news/adoption-vat-digital-age-package-2025-03-11_en" TargetMode="External" /><Relationship Type="http://schemas.openxmlformats.org/officeDocument/2006/relationships/hyperlink" Id="rId62" Target="https://www.b2brouter.net/global/prices/" TargetMode="External" /><Relationship Type="http://schemas.openxmlformats.org/officeDocument/2006/relationships/hyperlink" Id="rId64" Target="https://www.banqup.com/" TargetMode="External" /><Relationship Type="http://schemas.openxmlformats.org/officeDocument/2006/relationships/hyperlink" Id="rId49" Target="https://www.banqup.com/pricing" TargetMode="External" /><Relationship Type="http://schemas.openxmlformats.org/officeDocument/2006/relationships/hyperlink" Id="rId56" Target="https://www.basware.com/en/pricing" TargetMode="External" /><Relationship Type="http://schemas.openxmlformats.org/officeDocument/2006/relationships/hyperlink" Id="rId60" Target="https://www.basware.com/en/solutions/e-invoicing-network/" TargetMode="External" /><Relationship Type="http://schemas.openxmlformats.org/officeDocument/2006/relationships/hyperlink" Id="rId44" Target="https://www.boe.es/buscar/act.php?id=BOE-A-2022-15818" TargetMode="External" /><Relationship Type="http://schemas.openxmlformats.org/officeDocument/2006/relationships/hyperlink" Id="rId22" Target="https://www.bundesfinanzministerium.de/Content/DE/FAQ/e-rechnung.html" TargetMode="External" /><Relationship Type="http://schemas.openxmlformats.org/officeDocument/2006/relationships/hyperlink" Id="rId74" Target="https://www.datev.de/web/de/berufsgruppenuebergreifend/themen-im-fokus/e-rechnung-mit-datev" TargetMode="External" /><Relationship Type="http://schemas.openxmlformats.org/officeDocument/2006/relationships/hyperlink" Id="rId24" Target="https://www.economie.gouv.fr/tout-savoir-sur-la-facturation-electronique-pour-les-entreprises" TargetMode="External" /><Relationship Type="http://schemas.openxmlformats.org/officeDocument/2006/relationships/hyperlink" Id="rId41" Target="https://www.facturae.gob.es/formato/Paginas/formato.aspx" TargetMode="External" /><Relationship Type="http://schemas.openxmlformats.org/officeDocument/2006/relationships/hyperlink" Id="rId59" Target="https://www.hypatos.ai/solutions/process/accounts-payable" TargetMode="External" /><Relationship Type="http://schemas.openxmlformats.org/officeDocument/2006/relationships/hyperlink" Id="rId21" Target="https://www.invoice2e.de/" TargetMode="External" /><Relationship Type="http://schemas.openxmlformats.org/officeDocument/2006/relationships/hyperlink" Id="rId65" Target="https://www.klippa.com/en/invoice-processing/prices/" TargetMode="External" /><Relationship Type="http://schemas.openxmlformats.org/officeDocument/2006/relationships/hyperlink" Id="rId55" Target="https://www.odoo.com/documentation/19.0/applications/finance/accounting/customer_invoices/electronic_invoicing.html" TargetMode="External" /><Relationship Type="http://schemas.openxmlformats.org/officeDocument/2006/relationships/hyperlink" Id="rId61" Target="https://www.pagero.com/solutions/e-invoicing" TargetMode="External" /><Relationship Type="http://schemas.openxmlformats.org/officeDocument/2006/relationships/hyperlink" Id="rId63" Target="https://www.peppol.nu/supplier/b2brouter-en/" TargetMode="External" /><Relationship Type="http://schemas.openxmlformats.org/officeDocument/2006/relationships/hyperlink" Id="rId77" Target="https://www.uoc.gr/wp-content/uploads/2025/02/celex_32016r0679_en_txt-1.pdf?utm_source=chatgpt.com" TargetMode="External" /><Relationship Type="http://schemas.openxmlformats.org/officeDocument/2006/relationships/hyperlink" Id="rId39" Target="https://xeinkauf.de/app/uploads/2024/07/302-XRechnung-2024-06-20.pdf" TargetMode="External" /></Relationships>
</file>

<file path=word/_rels/footnotes.xml.rels><?xml version="1.0" encoding="UTF-8"?><Relationships xmlns="http://schemas.openxmlformats.org/package/2006/relationships"><Relationship Type="http://schemas.openxmlformats.org/officeDocument/2006/relationships/hyperlink" Id="rId34" Target="https://docs.peppol.eu/poacc/billing/3.0/bis/" TargetMode="External" /><Relationship Type="http://schemas.openxmlformats.org/officeDocument/2006/relationships/hyperlink" Id="rId38" Target="https://e-rechnung-bund.de/faq/?utm_source=chatgpt.com" TargetMode="External" /><Relationship Type="http://schemas.openxmlformats.org/officeDocument/2006/relationships/hyperlink" Id="rId27" Target="https://ec.europa.eu/digital-building-blocks/sites/download/attachments/467108637/Directive%20CELEX_32014L0055_EN_TXT.pdf?api=v2" TargetMode="External" /><Relationship Type="http://schemas.openxmlformats.org/officeDocument/2006/relationships/hyperlink" Id="rId26" Target="https://ec.europa.eu/digital-building-blocks/sites/pages/viewpage.action?pageId=861175868" TargetMode="External" /><Relationship Type="http://schemas.openxmlformats.org/officeDocument/2006/relationships/hyperlink" Id="rId33" Target="https://ec.europa.eu/digital-building-blocks/sites/spaces/DIGITAL/pages/467108853/What%2Bare%2Bthe%2Bbenefits%2Bof%2BeInvoicing" TargetMode="External" /><Relationship Type="http://schemas.openxmlformats.org/officeDocument/2006/relationships/hyperlink" Id="rId45" Target="https://ec.europa.eu/digital-building-blocks/sites/spaces/DIGITAL/pages/467108890/eInvoicing%2Bin%2BItaly" TargetMode="External" /><Relationship Type="http://schemas.openxmlformats.org/officeDocument/2006/relationships/hyperlink" Id="rId25" Target="https://ec.europa.eu/digital-building-blocks/sites/spaces/DIGITAL/pages/467108896/eInvoicing%2Bin%2BPoland" TargetMode="External" /><Relationship Type="http://schemas.openxmlformats.org/officeDocument/2006/relationships/hyperlink" Id="rId28" Target="https://ec.europa.eu/digital-building-blocks/sites/spaces/DIGITAL/pages/467108934/Required%2Bsyntaxes" TargetMode="External" /><Relationship Type="http://schemas.openxmlformats.org/officeDocument/2006/relationships/hyperlink" Id="rId32" Target="https://ec.europa.eu/digital-building-blocks/sites/spaces/DIGITAL/pages/894304326/eInvoicing%2BHUB" TargetMode="External" /><Relationship Type="http://schemas.openxmlformats.org/officeDocument/2006/relationships/hyperlink" Id="rId57" Target="https://ecosio.com/en/global-e-invoicing-compliance/" TargetMode="External" /><Relationship Type="http://schemas.openxmlformats.org/officeDocument/2006/relationships/hyperlink" Id="rId30" Target="https://ecosio.com/en/products/einvoicing/" TargetMode="External" /><Relationship Type="http://schemas.openxmlformats.org/officeDocument/2006/relationships/hyperlink" Id="rId58" Target="https://edicomgroup.com/peppol" TargetMode="External" /><Relationship Type="http://schemas.openxmlformats.org/officeDocument/2006/relationships/hyperlink" Id="rId23" Target="https://einvoice.belgium.be/en/partner/fod-financien" TargetMode="External" /><Relationship Type="http://schemas.openxmlformats.org/officeDocument/2006/relationships/hyperlink" Id="rId81" Target="https://entreprendre.service-public.gouv.fr/actualites/A15683" TargetMode="External" /><Relationship Type="http://schemas.openxmlformats.org/officeDocument/2006/relationships/hyperlink" Id="rId40" Target="https://fnfe-mpe.org/factur-x/factur-x_en/" TargetMode="External" /><Relationship Type="http://schemas.openxmlformats.org/officeDocument/2006/relationships/hyperlink" Id="rId37" Target="https://peppol.org/members/peppol-certified-service-providers/" TargetMode="External" /><Relationship Type="http://schemas.openxmlformats.org/officeDocument/2006/relationships/hyperlink" Id="rId35" Target="https://peppol.org/wp-content/uploads/2024/06/eInvoicing-Discovering-Peppol-May-2024.pdf" TargetMode="External" /><Relationship Type="http://schemas.openxmlformats.org/officeDocument/2006/relationships/hyperlink" Id="rId54" Target="https://rossum.ai/pricing/" TargetMode="External" /><Relationship Type="http://schemas.openxmlformats.org/officeDocument/2006/relationships/hyperlink" Id="rId42" Target="https://sede.agenciatributaria.gob.es/Sede/normativa-criterios-interpretativos/analisis/El__Reglamento_Veri_factu_.html" TargetMode="External" /><Relationship Type="http://schemas.openxmlformats.org/officeDocument/2006/relationships/hyperlink" Id="rId43" Target="https://sede.agenciatributaria.gob.es/Sede/todas-noticias/2025/diciembre/3/ampliacion-plazo-adaptacion-sistemas-informaticos-facturacion.html" TargetMode="External" /><Relationship Type="http://schemas.openxmlformats.org/officeDocument/2006/relationships/hyperlink" Id="rId29" Target="https://taxation-customs.ec.europa.eu/news/adoption-vat-digital-age-package-2025-03-11_en" TargetMode="External" /><Relationship Type="http://schemas.openxmlformats.org/officeDocument/2006/relationships/hyperlink" Id="rId62" Target="https://www.b2brouter.net/global/prices/" TargetMode="External" /><Relationship Type="http://schemas.openxmlformats.org/officeDocument/2006/relationships/hyperlink" Id="rId64" Target="https://www.banqup.com/" TargetMode="External" /><Relationship Type="http://schemas.openxmlformats.org/officeDocument/2006/relationships/hyperlink" Id="rId49" Target="https://www.banqup.com/pricing" TargetMode="External" /><Relationship Type="http://schemas.openxmlformats.org/officeDocument/2006/relationships/hyperlink" Id="rId56" Target="https://www.basware.com/en/pricing" TargetMode="External" /><Relationship Type="http://schemas.openxmlformats.org/officeDocument/2006/relationships/hyperlink" Id="rId60" Target="https://www.basware.com/en/solutions/e-invoicing-network/" TargetMode="External" /><Relationship Type="http://schemas.openxmlformats.org/officeDocument/2006/relationships/hyperlink" Id="rId44" Target="https://www.boe.es/buscar/act.php?id=BOE-A-2022-15818" TargetMode="External" /><Relationship Type="http://schemas.openxmlformats.org/officeDocument/2006/relationships/hyperlink" Id="rId22" Target="https://www.bundesfinanzministerium.de/Content/DE/FAQ/e-rechnung.html" TargetMode="External" /><Relationship Type="http://schemas.openxmlformats.org/officeDocument/2006/relationships/hyperlink" Id="rId74" Target="https://www.datev.de/web/de/berufsgruppenuebergreifend/themen-im-fokus/e-rechnung-mit-datev" TargetMode="External" /><Relationship Type="http://schemas.openxmlformats.org/officeDocument/2006/relationships/hyperlink" Id="rId24" Target="https://www.economie.gouv.fr/tout-savoir-sur-la-facturation-electronique-pour-les-entreprises" TargetMode="External" /><Relationship Type="http://schemas.openxmlformats.org/officeDocument/2006/relationships/hyperlink" Id="rId41" Target="https://www.facturae.gob.es/formato/Paginas/formato.aspx" TargetMode="External" /><Relationship Type="http://schemas.openxmlformats.org/officeDocument/2006/relationships/hyperlink" Id="rId59" Target="https://www.hypatos.ai/solutions/process/accounts-payable" TargetMode="External" /><Relationship Type="http://schemas.openxmlformats.org/officeDocument/2006/relationships/hyperlink" Id="rId21" Target="https://www.invoice2e.de/" TargetMode="External" /><Relationship Type="http://schemas.openxmlformats.org/officeDocument/2006/relationships/hyperlink" Id="rId65" Target="https://www.klippa.com/en/invoice-processing/prices/" TargetMode="External" /><Relationship Type="http://schemas.openxmlformats.org/officeDocument/2006/relationships/hyperlink" Id="rId55" Target="https://www.odoo.com/documentation/19.0/applications/finance/accounting/customer_invoices/electronic_invoicing.html" TargetMode="External" /><Relationship Type="http://schemas.openxmlformats.org/officeDocument/2006/relationships/hyperlink" Id="rId61" Target="https://www.pagero.com/solutions/e-invoicing" TargetMode="External" /><Relationship Type="http://schemas.openxmlformats.org/officeDocument/2006/relationships/hyperlink" Id="rId63" Target="https://www.peppol.nu/supplier/b2brouter-en/" TargetMode="External" /><Relationship Type="http://schemas.openxmlformats.org/officeDocument/2006/relationships/hyperlink" Id="rId77" Target="https://www.uoc.gr/wp-content/uploads/2025/02/celex_32016r0679_en_txt-1.pdf?utm_source=chatgpt.com" TargetMode="External" /><Relationship Type="http://schemas.openxmlformats.org/officeDocument/2006/relationships/hyperlink" Id="rId39" Target="https://xeinkauf.de/app/uploads/2024/07/302-XRechnung-2024-06-2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2026-02-11T13:17:53Z</dcterms:created>
  <dcterms:modified xsi:type="dcterms:W3CDTF">2026-02-11T13:17:53Z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