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DF46D" w14:textId="77777777" w:rsidR="00E357DE" w:rsidRPr="00ED5EC0" w:rsidRDefault="00E357DE" w:rsidP="00E357DE">
      <w:pPr>
        <w:rPr>
          <w:rFonts w:asciiTheme="majorHAnsi" w:hAnsiTheme="majorHAnsi" w:cstheme="majorHAnsi"/>
          <w:b/>
          <w:sz w:val="28"/>
          <w:lang w:val="de-DE"/>
        </w:rPr>
      </w:pPr>
      <w:r w:rsidRPr="00ED5EC0">
        <w:rPr>
          <w:rFonts w:asciiTheme="majorHAnsi" w:hAnsiTheme="majorHAnsi" w:cstheme="majorHAnsi"/>
          <w:b/>
          <w:sz w:val="28"/>
          <w:lang w:val="de-DE"/>
        </w:rPr>
        <w:t>Kurzfassung</w:t>
      </w:r>
    </w:p>
    <w:p w14:paraId="7C96DB73" w14:textId="77777777" w:rsidR="00E357DE" w:rsidRDefault="00E357DE" w:rsidP="00E357DE">
      <w:pPr>
        <w:rPr>
          <w:rFonts w:asciiTheme="majorHAnsi" w:hAnsiTheme="majorHAnsi" w:cstheme="majorHAnsi"/>
        </w:rPr>
      </w:pPr>
    </w:p>
    <w:p w14:paraId="426DD3AC" w14:textId="77777777" w:rsidR="00E357DE" w:rsidRPr="00E357DE" w:rsidRDefault="00E357DE" w:rsidP="00E357DE">
      <w:pPr>
        <w:pStyle w:val="StandardWeb"/>
        <w:spacing w:line="276" w:lineRule="auto"/>
        <w:jc w:val="both"/>
        <w:rPr>
          <w:rFonts w:asciiTheme="majorHAnsi" w:eastAsiaTheme="minorHAnsi" w:hAnsiTheme="majorHAnsi" w:cstheme="majorHAnsi"/>
          <w:color w:val="FF0000"/>
          <w:sz w:val="22"/>
          <w:szCs w:val="22"/>
          <w:lang w:val="de-DE" w:eastAsia="en-US"/>
        </w:rPr>
      </w:pPr>
      <w:r w:rsidRPr="00E357DE">
        <w:rPr>
          <w:rFonts w:asciiTheme="majorHAnsi" w:eastAsiaTheme="minorHAnsi" w:hAnsiTheme="majorHAnsi" w:cstheme="majorHAnsi"/>
          <w:color w:val="FF0000"/>
          <w:sz w:val="22"/>
          <w:szCs w:val="22"/>
          <w:lang w:val="de-DE" w:eastAsia="en-US"/>
        </w:rPr>
        <w:t>Die Erderwärmung wird maßgeblich durch menschliche Aktivitäten vorangetrieben, wobei der Bausektor einen erheblichen Beitrag leistet. Bau- und Immobilienprojekte sind sowohl direkt als auch indirekt für einen signifikanten Anteil an globalen Treibhausgasemissionen verantwortlich. Auf globaler Ebene entfällt der Bausektor auf etwa 40 % des Energieverbrauchs, 50 % des Ressourcenverbrauchs, 60 % des Abfallaufkommens und rund 70 % der Flächenversiegelung. Angesichts dieser immensen ökologischen Auswirkungen ist es unerlässlich, bei allen Entscheidungen die Umweltaspekte besonders zu berücksichtigen.</w:t>
      </w:r>
    </w:p>
    <w:p w14:paraId="0A5E41EF" w14:textId="77777777" w:rsidR="00E357DE" w:rsidRPr="00E357DE" w:rsidRDefault="00E357DE" w:rsidP="00E357DE">
      <w:pPr>
        <w:pStyle w:val="StandardWeb"/>
        <w:spacing w:line="276" w:lineRule="auto"/>
        <w:jc w:val="both"/>
        <w:rPr>
          <w:rFonts w:asciiTheme="majorHAnsi" w:eastAsiaTheme="minorHAnsi" w:hAnsiTheme="majorHAnsi" w:cstheme="majorHAnsi"/>
          <w:color w:val="FF0000"/>
          <w:sz w:val="22"/>
          <w:szCs w:val="22"/>
          <w:lang w:val="de-DE" w:eastAsia="en-US"/>
        </w:rPr>
      </w:pPr>
      <w:r w:rsidRPr="00E357DE">
        <w:rPr>
          <w:rFonts w:asciiTheme="majorHAnsi" w:eastAsiaTheme="minorHAnsi" w:hAnsiTheme="majorHAnsi" w:cstheme="majorHAnsi"/>
          <w:color w:val="FF0000"/>
          <w:sz w:val="22"/>
          <w:szCs w:val="22"/>
          <w:lang w:val="de-DE" w:eastAsia="en-US"/>
        </w:rPr>
        <w:t>In diesem Kontext spielt die Bauwirtschaft eine zentrale Rolle im Kampf gegen die Erderwärmung. Sie trägt nicht nur durch die Emissionen bei der Herstellung von Baustoffen und dem Betrieb von Gebäuden bei, sondern auch durch indirekte Faktoren wie Abfallproduktion und Landnutzungsänderungen. Der Bedarf, nachhaltigere Praktiken im Bauwesen zu etablieren, wächst stetig. Hierzu gehören unter anderem energieeffizientes Bauen, der verstärkte Einsatz von recycelten Materialien sowie die Verringerung des CO</w:t>
      </w:r>
      <w:r w:rsidRPr="00E357DE">
        <w:rPr>
          <w:rFonts w:asciiTheme="majorHAnsi" w:eastAsiaTheme="minorHAnsi" w:hAnsiTheme="majorHAnsi" w:cstheme="majorHAnsi"/>
          <w:color w:val="FF0000"/>
          <w:sz w:val="22"/>
          <w:szCs w:val="22"/>
          <w:vertAlign w:val="subscript"/>
          <w:lang w:val="de-DE" w:eastAsia="en-US"/>
        </w:rPr>
        <w:t>2</w:t>
      </w:r>
      <w:r w:rsidRPr="00E357DE">
        <w:rPr>
          <w:rFonts w:asciiTheme="majorHAnsi" w:eastAsiaTheme="minorHAnsi" w:hAnsiTheme="majorHAnsi" w:cstheme="majorHAnsi"/>
          <w:color w:val="FF0000"/>
          <w:sz w:val="22"/>
          <w:szCs w:val="22"/>
          <w:lang w:val="de-DE" w:eastAsia="en-US"/>
        </w:rPr>
        <w:t>-Ausstoßes bei der Herstellung von Baustoffen. Diese Maßnahmen sind nicht nur für den Klimaschutz von entscheidender Bedeutung, sondern auch für die Erreichung globaler CO2-Reduktionsziele.</w:t>
      </w:r>
    </w:p>
    <w:p w14:paraId="5D141622" w14:textId="77777777" w:rsidR="00E357DE" w:rsidRPr="00E357DE" w:rsidRDefault="00E357DE" w:rsidP="00E357DE">
      <w:pPr>
        <w:pStyle w:val="StandardWeb"/>
        <w:spacing w:line="276" w:lineRule="auto"/>
        <w:jc w:val="both"/>
        <w:rPr>
          <w:rFonts w:asciiTheme="majorHAnsi" w:eastAsiaTheme="minorHAnsi" w:hAnsiTheme="majorHAnsi" w:cstheme="majorHAnsi"/>
          <w:color w:val="FF0000"/>
          <w:sz w:val="22"/>
          <w:szCs w:val="22"/>
          <w:lang w:val="de-DE" w:eastAsia="en-US"/>
        </w:rPr>
      </w:pPr>
      <w:r w:rsidRPr="00E357DE">
        <w:rPr>
          <w:rFonts w:asciiTheme="majorHAnsi" w:eastAsiaTheme="minorHAnsi" w:hAnsiTheme="majorHAnsi" w:cstheme="majorHAnsi"/>
          <w:color w:val="FF0000"/>
          <w:sz w:val="22"/>
          <w:szCs w:val="22"/>
          <w:lang w:val="de-DE" w:eastAsia="en-US"/>
        </w:rPr>
        <w:t>Als Antwort auf diese Herausforderungen hat die Europäische Kommission mit der Einführung der EU-Taxonomie einen bedeutenden Mechanismus geschaffen, um grüne Investitionen in umweltfreundliche Projekte zu fördern. Sie führt Investoren, Bauherren und Entwickler zu langfristigen, klimafreundlichen Wirtschaftsaktivitäten, indem sie klare Definitionen für nachhaltige Investitionen bereitstellt und umweltbewusste Maßnahmen unterstützt.</w:t>
      </w:r>
    </w:p>
    <w:p w14:paraId="66A20BE9" w14:textId="77777777" w:rsidR="00E357DE" w:rsidRPr="00E357DE" w:rsidRDefault="00E357DE" w:rsidP="00E357DE">
      <w:pPr>
        <w:spacing w:line="276" w:lineRule="auto"/>
        <w:jc w:val="both"/>
        <w:rPr>
          <w:rFonts w:asciiTheme="majorHAnsi" w:hAnsiTheme="majorHAnsi" w:cstheme="majorHAnsi"/>
          <w:color w:val="FF0000"/>
          <w:lang w:val="de-DE"/>
        </w:rPr>
      </w:pPr>
      <w:r w:rsidRPr="00E357DE">
        <w:rPr>
          <w:rFonts w:asciiTheme="majorHAnsi" w:hAnsiTheme="majorHAnsi" w:cstheme="majorHAnsi"/>
          <w:color w:val="FF0000"/>
          <w:lang w:val="de-DE"/>
        </w:rPr>
        <w:t>Im Rahmen dieser wissenschaftlichen Arbeit erfolgt eine detaillierte Analyse eines spezifischen mehrgeschossigen Wohngebäudes eines Bauträgerprojektes. Im Fokus steht ein Vergleich der ursprünglich vorgesehenen mineralischen Bauweise mit der potenziellen Holzbauweise, wobei besonders die neuen EU-Vorgaben für wirtschaftliche Aktivitäten und die daraus resultierenden finanziellen Vorteile als auch Nachteile betrachtet werden. Zudem werden für Investoren, unter Berücksichtigung der EU-Taxonomie, die wesentlichen Unterschiede und Herausforderungen der beiden Bauweisen dargestellt. Zu Beginn der Arbeit werden die relevanten EU-Regularien sowie die Anforderungen der EU-Taxonomie eingehend erläutert. In enger Zusammenarbeit mit einem Bau- und Immobilienentwickler werden daraufhin konkrete Strategien entwickelt, um die Potenziale im Hinblick auf die beiden zu vergleichenden Bauweisen zu prüfen und darzustellen.</w:t>
      </w:r>
    </w:p>
    <w:p w14:paraId="71AFE99F" w14:textId="77777777" w:rsidR="00E357DE" w:rsidRPr="00E357DE" w:rsidRDefault="00E357DE" w:rsidP="00E357DE">
      <w:pPr>
        <w:spacing w:line="276" w:lineRule="auto"/>
        <w:rPr>
          <w:rFonts w:asciiTheme="majorHAnsi" w:hAnsiTheme="majorHAnsi" w:cstheme="majorHAnsi"/>
          <w:color w:val="FF0000"/>
          <w:lang w:val="de-DE"/>
        </w:rPr>
      </w:pPr>
    </w:p>
    <w:p w14:paraId="04A25BE5" w14:textId="77777777" w:rsidR="00E357DE" w:rsidRPr="00E357DE" w:rsidRDefault="00E357DE" w:rsidP="00E357DE">
      <w:pPr>
        <w:rPr>
          <w:rFonts w:asciiTheme="majorHAnsi" w:hAnsiTheme="majorHAnsi" w:cstheme="majorHAnsi"/>
          <w:color w:val="FF0000"/>
          <w:lang w:val="de-DE"/>
        </w:rPr>
      </w:pPr>
      <w:r w:rsidRPr="00E357DE">
        <w:rPr>
          <w:rFonts w:asciiTheme="majorHAnsi" w:hAnsiTheme="majorHAnsi" w:cstheme="majorHAnsi"/>
          <w:color w:val="FF0000"/>
          <w:lang w:val="de-DE"/>
        </w:rPr>
        <w:br w:type="page"/>
      </w:r>
    </w:p>
    <w:p w14:paraId="63AC1FA7" w14:textId="77777777" w:rsidR="00E357DE" w:rsidRPr="00E357DE" w:rsidRDefault="00E357DE" w:rsidP="00E357DE">
      <w:pPr>
        <w:rPr>
          <w:rFonts w:asciiTheme="majorHAnsi" w:hAnsiTheme="majorHAnsi" w:cstheme="majorHAnsi"/>
          <w:b/>
          <w:color w:val="FF0000"/>
          <w:sz w:val="28"/>
          <w:lang w:val="de-DE"/>
        </w:rPr>
      </w:pPr>
    </w:p>
    <w:p w14:paraId="5D474419" w14:textId="77777777" w:rsidR="00E357DE" w:rsidRPr="00E357DE" w:rsidRDefault="00E357DE" w:rsidP="00E357DE">
      <w:pPr>
        <w:rPr>
          <w:rFonts w:asciiTheme="majorHAnsi" w:hAnsiTheme="majorHAnsi" w:cstheme="majorHAnsi"/>
          <w:b/>
          <w:color w:val="FF0000"/>
          <w:sz w:val="28"/>
          <w:lang w:val="de-DE"/>
        </w:rPr>
      </w:pPr>
      <w:r w:rsidRPr="00E357DE">
        <w:rPr>
          <w:rFonts w:asciiTheme="majorHAnsi" w:hAnsiTheme="majorHAnsi" w:cstheme="majorHAnsi"/>
          <w:b/>
          <w:color w:val="FF0000"/>
          <w:sz w:val="28"/>
          <w:lang w:val="de-DE"/>
        </w:rPr>
        <w:t>Abstract</w:t>
      </w:r>
    </w:p>
    <w:p w14:paraId="120C6BA5" w14:textId="77777777" w:rsidR="00E357DE" w:rsidRPr="00E357DE" w:rsidRDefault="00E357DE" w:rsidP="00E357DE">
      <w:pPr>
        <w:rPr>
          <w:rFonts w:asciiTheme="majorHAnsi" w:hAnsiTheme="majorHAnsi" w:cstheme="majorHAnsi"/>
          <w:color w:val="FF0000"/>
          <w:lang w:val="de-DE"/>
        </w:rPr>
      </w:pPr>
    </w:p>
    <w:p w14:paraId="018A5663" w14:textId="77777777" w:rsidR="00E357DE" w:rsidRPr="00E357DE" w:rsidRDefault="00E357DE" w:rsidP="00E357DE">
      <w:pPr>
        <w:pStyle w:val="StandardWeb"/>
        <w:spacing w:line="276" w:lineRule="auto"/>
        <w:jc w:val="both"/>
        <w:rPr>
          <w:rFonts w:asciiTheme="majorHAnsi" w:eastAsiaTheme="minorHAnsi" w:hAnsiTheme="majorHAnsi" w:cstheme="majorHAnsi"/>
          <w:color w:val="FF0000"/>
          <w:sz w:val="22"/>
          <w:szCs w:val="22"/>
          <w:lang w:val="de-DE" w:eastAsia="en-US"/>
        </w:rPr>
      </w:pPr>
      <w:r w:rsidRPr="00E357DE">
        <w:rPr>
          <w:rFonts w:asciiTheme="majorHAnsi" w:eastAsiaTheme="minorHAnsi" w:hAnsiTheme="majorHAnsi" w:cstheme="majorHAnsi"/>
          <w:color w:val="FF0000"/>
          <w:sz w:val="22"/>
          <w:szCs w:val="22"/>
          <w:lang w:val="de-DE" w:eastAsia="en-US"/>
        </w:rPr>
        <w:t xml:space="preserve">Human </w:t>
      </w:r>
      <w:proofErr w:type="spellStart"/>
      <w:r w:rsidRPr="00E357DE">
        <w:rPr>
          <w:rFonts w:asciiTheme="majorHAnsi" w:eastAsiaTheme="minorHAnsi" w:hAnsiTheme="majorHAnsi" w:cstheme="majorHAnsi"/>
          <w:color w:val="FF0000"/>
          <w:sz w:val="22"/>
          <w:szCs w:val="22"/>
          <w:lang w:val="de-DE" w:eastAsia="en-US"/>
        </w:rPr>
        <w:t>activities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are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primary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drivers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global </w:t>
      </w:r>
      <w:proofErr w:type="spellStart"/>
      <w:r w:rsidRPr="00E357DE">
        <w:rPr>
          <w:rFonts w:asciiTheme="majorHAnsi" w:eastAsiaTheme="minorHAnsi" w:hAnsiTheme="majorHAnsi" w:cstheme="majorHAnsi"/>
          <w:color w:val="FF0000"/>
          <w:sz w:val="22"/>
          <w:szCs w:val="22"/>
          <w:lang w:val="de-DE" w:eastAsia="en-US"/>
        </w:rPr>
        <w:t>warming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with</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construction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sector</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playing</w:t>
      </w:r>
      <w:proofErr w:type="spellEnd"/>
      <w:r w:rsidRPr="00E357DE">
        <w:rPr>
          <w:rFonts w:asciiTheme="majorHAnsi" w:eastAsiaTheme="minorHAnsi" w:hAnsiTheme="majorHAnsi" w:cstheme="majorHAnsi"/>
          <w:color w:val="FF0000"/>
          <w:sz w:val="22"/>
          <w:szCs w:val="22"/>
          <w:lang w:val="de-DE" w:eastAsia="en-US"/>
        </w:rPr>
        <w:t xml:space="preserve"> a </w:t>
      </w:r>
      <w:proofErr w:type="spellStart"/>
      <w:r w:rsidRPr="00E357DE">
        <w:rPr>
          <w:rFonts w:asciiTheme="majorHAnsi" w:eastAsiaTheme="minorHAnsi" w:hAnsiTheme="majorHAnsi" w:cstheme="majorHAnsi"/>
          <w:color w:val="FF0000"/>
          <w:sz w:val="22"/>
          <w:szCs w:val="22"/>
          <w:lang w:val="de-DE" w:eastAsia="en-US"/>
        </w:rPr>
        <w:t>pivotal</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role</w:t>
      </w:r>
      <w:proofErr w:type="spellEnd"/>
      <w:r w:rsidRPr="00E357DE">
        <w:rPr>
          <w:rFonts w:asciiTheme="majorHAnsi" w:eastAsiaTheme="minorHAnsi" w:hAnsiTheme="majorHAnsi" w:cstheme="majorHAnsi"/>
          <w:color w:val="FF0000"/>
          <w:sz w:val="22"/>
          <w:szCs w:val="22"/>
          <w:lang w:val="de-DE" w:eastAsia="en-US"/>
        </w:rPr>
        <w:t xml:space="preserve">. Both </w:t>
      </w:r>
      <w:proofErr w:type="spellStart"/>
      <w:r w:rsidRPr="00E357DE">
        <w:rPr>
          <w:rFonts w:asciiTheme="majorHAnsi" w:eastAsiaTheme="minorHAnsi" w:hAnsiTheme="majorHAnsi" w:cstheme="majorHAnsi"/>
          <w:color w:val="FF0000"/>
          <w:sz w:val="22"/>
          <w:szCs w:val="22"/>
          <w:lang w:val="de-DE" w:eastAsia="en-US"/>
        </w:rPr>
        <w:t>construction</w:t>
      </w:r>
      <w:proofErr w:type="spellEnd"/>
      <w:r w:rsidRPr="00E357DE">
        <w:rPr>
          <w:rFonts w:asciiTheme="majorHAnsi" w:eastAsiaTheme="minorHAnsi" w:hAnsiTheme="majorHAnsi" w:cstheme="majorHAnsi"/>
          <w:color w:val="FF0000"/>
          <w:sz w:val="22"/>
          <w:szCs w:val="22"/>
          <w:lang w:val="de-DE" w:eastAsia="en-US"/>
        </w:rPr>
        <w:t xml:space="preserve"> and real </w:t>
      </w:r>
      <w:proofErr w:type="spellStart"/>
      <w:r w:rsidRPr="00E357DE">
        <w:rPr>
          <w:rFonts w:asciiTheme="majorHAnsi" w:eastAsiaTheme="minorHAnsi" w:hAnsiTheme="majorHAnsi" w:cstheme="majorHAnsi"/>
          <w:color w:val="FF0000"/>
          <w:sz w:val="22"/>
          <w:szCs w:val="22"/>
          <w:lang w:val="de-DE" w:eastAsia="en-US"/>
        </w:rPr>
        <w:t>estate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development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are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responsible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for</w:t>
      </w:r>
      <w:proofErr w:type="spellEnd"/>
      <w:r w:rsidRPr="00E357DE">
        <w:rPr>
          <w:rFonts w:asciiTheme="majorHAnsi" w:eastAsiaTheme="minorHAnsi" w:hAnsiTheme="majorHAnsi" w:cstheme="majorHAnsi"/>
          <w:color w:val="FF0000"/>
          <w:sz w:val="22"/>
          <w:szCs w:val="22"/>
          <w:lang w:val="de-DE" w:eastAsia="en-US"/>
        </w:rPr>
        <w:t xml:space="preserve"> a </w:t>
      </w:r>
      <w:proofErr w:type="spellStart"/>
      <w:r w:rsidRPr="00E357DE">
        <w:rPr>
          <w:rFonts w:asciiTheme="majorHAnsi" w:eastAsiaTheme="minorHAnsi" w:hAnsiTheme="majorHAnsi" w:cstheme="majorHAnsi"/>
          <w:color w:val="FF0000"/>
          <w:sz w:val="22"/>
          <w:szCs w:val="22"/>
          <w:lang w:val="de-DE" w:eastAsia="en-US"/>
        </w:rPr>
        <w:t>significant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portion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global </w:t>
      </w:r>
      <w:proofErr w:type="spellStart"/>
      <w:r w:rsidRPr="00E357DE">
        <w:rPr>
          <w:rFonts w:asciiTheme="majorHAnsi" w:eastAsiaTheme="minorHAnsi" w:hAnsiTheme="majorHAnsi" w:cstheme="majorHAnsi"/>
          <w:color w:val="FF0000"/>
          <w:sz w:val="22"/>
          <w:szCs w:val="22"/>
          <w:lang w:val="de-DE" w:eastAsia="en-US"/>
        </w:rPr>
        <w:t>greenhouse</w:t>
      </w:r>
      <w:proofErr w:type="spellEnd"/>
      <w:r w:rsidRPr="00E357DE">
        <w:rPr>
          <w:rFonts w:asciiTheme="majorHAnsi" w:eastAsiaTheme="minorHAnsi" w:hAnsiTheme="majorHAnsi" w:cstheme="majorHAnsi"/>
          <w:color w:val="FF0000"/>
          <w:sz w:val="22"/>
          <w:szCs w:val="22"/>
          <w:lang w:val="de-DE" w:eastAsia="en-US"/>
        </w:rPr>
        <w:t xml:space="preserve"> gas </w:t>
      </w:r>
      <w:proofErr w:type="spellStart"/>
      <w:r w:rsidRPr="00E357DE">
        <w:rPr>
          <w:rFonts w:asciiTheme="majorHAnsi" w:eastAsiaTheme="minorHAnsi" w:hAnsiTheme="majorHAnsi" w:cstheme="majorHAnsi"/>
          <w:color w:val="FF0000"/>
          <w:sz w:val="22"/>
          <w:szCs w:val="22"/>
          <w:lang w:val="de-DE" w:eastAsia="en-US"/>
        </w:rPr>
        <w:t>emissions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both</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directly</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indirectly</w:t>
      </w:r>
      <w:proofErr w:type="spellEnd"/>
      <w:r w:rsidRPr="00E357DE">
        <w:rPr>
          <w:rFonts w:asciiTheme="majorHAnsi" w:eastAsiaTheme="minorHAnsi" w:hAnsiTheme="majorHAnsi" w:cstheme="majorHAnsi"/>
          <w:color w:val="FF0000"/>
          <w:sz w:val="22"/>
          <w:szCs w:val="22"/>
          <w:lang w:val="de-DE" w:eastAsia="en-US"/>
        </w:rPr>
        <w:t xml:space="preserve">. On a global </w:t>
      </w:r>
      <w:proofErr w:type="spellStart"/>
      <w:r w:rsidRPr="00E357DE">
        <w:rPr>
          <w:rFonts w:asciiTheme="majorHAnsi" w:eastAsiaTheme="minorHAnsi" w:hAnsiTheme="majorHAnsi" w:cstheme="majorHAnsi"/>
          <w:color w:val="FF0000"/>
          <w:sz w:val="22"/>
          <w:szCs w:val="22"/>
          <w:lang w:val="de-DE" w:eastAsia="en-US"/>
        </w:rPr>
        <w:t>scale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construction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industry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accounts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for</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approximately</w:t>
      </w:r>
      <w:proofErr w:type="spellEnd"/>
      <w:r w:rsidRPr="00E357DE">
        <w:rPr>
          <w:rFonts w:asciiTheme="majorHAnsi" w:eastAsiaTheme="minorHAnsi" w:hAnsiTheme="majorHAnsi" w:cstheme="majorHAnsi"/>
          <w:color w:val="FF0000"/>
          <w:sz w:val="22"/>
          <w:szCs w:val="22"/>
          <w:lang w:val="de-DE" w:eastAsia="en-US"/>
        </w:rPr>
        <w:t xml:space="preserve"> 40%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energy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consumption</w:t>
      </w:r>
      <w:proofErr w:type="spellEnd"/>
      <w:r w:rsidRPr="00E357DE">
        <w:rPr>
          <w:rFonts w:asciiTheme="majorHAnsi" w:eastAsiaTheme="minorHAnsi" w:hAnsiTheme="majorHAnsi" w:cstheme="majorHAnsi"/>
          <w:color w:val="FF0000"/>
          <w:sz w:val="22"/>
          <w:szCs w:val="22"/>
          <w:lang w:val="de-DE" w:eastAsia="en-US"/>
        </w:rPr>
        <w:t xml:space="preserve">, 50%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resource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use</w:t>
      </w:r>
      <w:proofErr w:type="spellEnd"/>
      <w:r w:rsidRPr="00E357DE">
        <w:rPr>
          <w:rFonts w:asciiTheme="majorHAnsi" w:eastAsiaTheme="minorHAnsi" w:hAnsiTheme="majorHAnsi" w:cstheme="majorHAnsi"/>
          <w:color w:val="FF0000"/>
          <w:sz w:val="22"/>
          <w:szCs w:val="22"/>
          <w:lang w:val="de-DE" w:eastAsia="en-US"/>
        </w:rPr>
        <w:t xml:space="preserve">, 60%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waste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generation</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around</w:t>
      </w:r>
      <w:proofErr w:type="spellEnd"/>
      <w:r w:rsidRPr="00E357DE">
        <w:rPr>
          <w:rFonts w:asciiTheme="majorHAnsi" w:eastAsiaTheme="minorHAnsi" w:hAnsiTheme="majorHAnsi" w:cstheme="majorHAnsi"/>
          <w:color w:val="FF0000"/>
          <w:sz w:val="22"/>
          <w:szCs w:val="22"/>
          <w:lang w:val="de-DE" w:eastAsia="en-US"/>
        </w:rPr>
        <w:t xml:space="preserve"> 70%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land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sealing</w:t>
      </w:r>
      <w:proofErr w:type="spellEnd"/>
      <w:r w:rsidRPr="00E357DE">
        <w:rPr>
          <w:rFonts w:asciiTheme="majorHAnsi" w:eastAsiaTheme="minorHAnsi" w:hAnsiTheme="majorHAnsi" w:cstheme="majorHAnsi"/>
          <w:color w:val="FF0000"/>
          <w:sz w:val="22"/>
          <w:szCs w:val="22"/>
          <w:lang w:val="de-DE" w:eastAsia="en-US"/>
        </w:rPr>
        <w:t xml:space="preserve">. Given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immense </w:t>
      </w:r>
      <w:proofErr w:type="spellStart"/>
      <w:r w:rsidRPr="00E357DE">
        <w:rPr>
          <w:rFonts w:asciiTheme="majorHAnsi" w:eastAsiaTheme="minorHAnsi" w:hAnsiTheme="majorHAnsi" w:cstheme="majorHAnsi"/>
          <w:color w:val="FF0000"/>
          <w:sz w:val="22"/>
          <w:szCs w:val="22"/>
          <w:lang w:val="de-DE" w:eastAsia="en-US"/>
        </w:rPr>
        <w:t>ecological</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impact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is</w:t>
      </w:r>
      <w:proofErr w:type="spellEnd"/>
      <w:r w:rsidRPr="00E357DE">
        <w:rPr>
          <w:rFonts w:asciiTheme="majorHAnsi" w:eastAsiaTheme="minorHAnsi" w:hAnsiTheme="majorHAnsi" w:cstheme="majorHAnsi"/>
          <w:color w:val="FF0000"/>
          <w:sz w:val="22"/>
          <w:szCs w:val="22"/>
          <w:lang w:val="de-DE" w:eastAsia="en-US"/>
        </w:rPr>
        <w:t xml:space="preserve"> essential </w:t>
      </w:r>
      <w:proofErr w:type="spellStart"/>
      <w:r w:rsidRPr="00E357DE">
        <w:rPr>
          <w:rFonts w:asciiTheme="majorHAnsi" w:eastAsiaTheme="minorHAnsi" w:hAnsiTheme="majorHAnsi" w:cstheme="majorHAnsi"/>
          <w:color w:val="FF0000"/>
          <w:sz w:val="22"/>
          <w:szCs w:val="22"/>
          <w:lang w:val="de-DE" w:eastAsia="en-US"/>
        </w:rPr>
        <w:t>to</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incorporate</w:t>
      </w:r>
      <w:proofErr w:type="spellEnd"/>
      <w:r w:rsidRPr="00E357DE">
        <w:rPr>
          <w:rFonts w:asciiTheme="majorHAnsi" w:eastAsiaTheme="minorHAnsi" w:hAnsiTheme="majorHAnsi" w:cstheme="majorHAnsi"/>
          <w:color w:val="FF0000"/>
          <w:sz w:val="22"/>
          <w:szCs w:val="22"/>
          <w:lang w:val="de-DE" w:eastAsia="en-US"/>
        </w:rPr>
        <w:t xml:space="preserve"> environmental </w:t>
      </w:r>
      <w:proofErr w:type="spellStart"/>
      <w:r w:rsidRPr="00E357DE">
        <w:rPr>
          <w:rFonts w:asciiTheme="majorHAnsi" w:eastAsiaTheme="minorHAnsi" w:hAnsiTheme="majorHAnsi" w:cstheme="majorHAnsi"/>
          <w:color w:val="FF0000"/>
          <w:sz w:val="22"/>
          <w:szCs w:val="22"/>
          <w:lang w:val="de-DE" w:eastAsia="en-US"/>
        </w:rPr>
        <w:t>considerations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into</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every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decision-making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process</w:t>
      </w:r>
      <w:proofErr w:type="spellEnd"/>
      <w:r w:rsidRPr="00E357DE">
        <w:rPr>
          <w:rFonts w:asciiTheme="majorHAnsi" w:eastAsiaTheme="minorHAnsi" w:hAnsiTheme="majorHAnsi" w:cstheme="majorHAnsi"/>
          <w:color w:val="FF0000"/>
          <w:sz w:val="22"/>
          <w:szCs w:val="22"/>
          <w:lang w:val="de-DE" w:eastAsia="en-US"/>
        </w:rPr>
        <w:t>.</w:t>
      </w:r>
    </w:p>
    <w:p w14:paraId="3320C558" w14:textId="77777777" w:rsidR="00E357DE" w:rsidRPr="00E357DE" w:rsidRDefault="00E357DE" w:rsidP="00E357DE">
      <w:pPr>
        <w:pStyle w:val="StandardWeb"/>
        <w:spacing w:line="276" w:lineRule="auto"/>
        <w:jc w:val="both"/>
        <w:rPr>
          <w:rFonts w:asciiTheme="majorHAnsi" w:eastAsiaTheme="minorHAnsi" w:hAnsiTheme="majorHAnsi" w:cstheme="majorHAnsi"/>
          <w:color w:val="FF0000"/>
          <w:sz w:val="22"/>
          <w:szCs w:val="22"/>
          <w:lang w:val="de-DE" w:eastAsia="en-US"/>
        </w:rPr>
      </w:pPr>
      <w:r w:rsidRPr="00E357DE">
        <w:rPr>
          <w:rFonts w:asciiTheme="majorHAnsi" w:eastAsiaTheme="minorHAnsi" w:hAnsiTheme="majorHAnsi" w:cstheme="majorHAnsi"/>
          <w:color w:val="FF0000"/>
          <w:sz w:val="22"/>
          <w:szCs w:val="22"/>
          <w:lang w:val="de-DE" w:eastAsia="en-US"/>
        </w:rPr>
        <w:t xml:space="preserve">In </w:t>
      </w:r>
      <w:proofErr w:type="spellStart"/>
      <w:r w:rsidRPr="00E357DE">
        <w:rPr>
          <w:rFonts w:asciiTheme="majorHAnsi" w:eastAsiaTheme="minorHAnsi" w:hAnsiTheme="majorHAnsi" w:cstheme="majorHAnsi"/>
          <w:color w:val="FF0000"/>
          <w:sz w:val="22"/>
          <w:szCs w:val="22"/>
          <w:lang w:val="de-DE" w:eastAsia="en-US"/>
        </w:rPr>
        <w:t>this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context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construction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industry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holds</w:t>
      </w:r>
      <w:proofErr w:type="spellEnd"/>
      <w:r w:rsidRPr="00E357DE">
        <w:rPr>
          <w:rFonts w:asciiTheme="majorHAnsi" w:eastAsiaTheme="minorHAnsi" w:hAnsiTheme="majorHAnsi" w:cstheme="majorHAnsi"/>
          <w:color w:val="FF0000"/>
          <w:sz w:val="22"/>
          <w:szCs w:val="22"/>
          <w:lang w:val="de-DE" w:eastAsia="en-US"/>
        </w:rPr>
        <w:t xml:space="preserve"> a </w:t>
      </w:r>
      <w:proofErr w:type="spellStart"/>
      <w:r w:rsidRPr="00E357DE">
        <w:rPr>
          <w:rFonts w:asciiTheme="majorHAnsi" w:eastAsiaTheme="minorHAnsi" w:hAnsiTheme="majorHAnsi" w:cstheme="majorHAnsi"/>
          <w:color w:val="FF0000"/>
          <w:sz w:val="22"/>
          <w:szCs w:val="22"/>
          <w:lang w:val="de-DE" w:eastAsia="en-US"/>
        </w:rPr>
        <w:t>central</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position</w:t>
      </w:r>
      <w:proofErr w:type="spellEnd"/>
      <w:r w:rsidRPr="00E357DE">
        <w:rPr>
          <w:rFonts w:asciiTheme="majorHAnsi" w:eastAsiaTheme="minorHAnsi" w:hAnsiTheme="majorHAnsi" w:cstheme="majorHAnsi"/>
          <w:color w:val="FF0000"/>
          <w:sz w:val="22"/>
          <w:szCs w:val="22"/>
          <w:lang w:val="de-DE" w:eastAsia="en-US"/>
        </w:rPr>
        <w:t xml:space="preserve"> in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fight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against</w:t>
      </w:r>
      <w:proofErr w:type="spellEnd"/>
      <w:r w:rsidRPr="00E357DE">
        <w:rPr>
          <w:rFonts w:asciiTheme="majorHAnsi" w:eastAsiaTheme="minorHAnsi" w:hAnsiTheme="majorHAnsi" w:cstheme="majorHAnsi"/>
          <w:color w:val="FF0000"/>
          <w:sz w:val="22"/>
          <w:szCs w:val="22"/>
          <w:lang w:val="de-DE" w:eastAsia="en-US"/>
        </w:rPr>
        <w:t xml:space="preserve"> global </w:t>
      </w:r>
      <w:proofErr w:type="spellStart"/>
      <w:r w:rsidRPr="00E357DE">
        <w:rPr>
          <w:rFonts w:asciiTheme="majorHAnsi" w:eastAsiaTheme="minorHAnsi" w:hAnsiTheme="majorHAnsi" w:cstheme="majorHAnsi"/>
          <w:color w:val="FF0000"/>
          <w:sz w:val="22"/>
          <w:szCs w:val="22"/>
          <w:lang w:val="de-DE" w:eastAsia="en-US"/>
        </w:rPr>
        <w:t>warming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Its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contributions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extend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beyond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emissions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generated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during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production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building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materials</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operation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buildings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to</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indirect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factors</w:t>
      </w:r>
      <w:proofErr w:type="spellEnd"/>
      <w:r w:rsidRPr="00E357DE">
        <w:rPr>
          <w:rFonts w:asciiTheme="majorHAnsi" w:eastAsiaTheme="minorHAnsi" w:hAnsiTheme="majorHAnsi" w:cstheme="majorHAnsi"/>
          <w:color w:val="FF0000"/>
          <w:sz w:val="22"/>
          <w:szCs w:val="22"/>
          <w:lang w:val="de-DE" w:eastAsia="en-US"/>
        </w:rPr>
        <w:t xml:space="preserve"> such </w:t>
      </w:r>
      <w:proofErr w:type="spellStart"/>
      <w:r w:rsidRPr="00E357DE">
        <w:rPr>
          <w:rFonts w:asciiTheme="majorHAnsi" w:eastAsiaTheme="minorHAnsi" w:hAnsiTheme="majorHAnsi" w:cstheme="majorHAnsi"/>
          <w:color w:val="FF0000"/>
          <w:sz w:val="22"/>
          <w:szCs w:val="22"/>
          <w:lang w:val="de-DE" w:eastAsia="en-US"/>
        </w:rPr>
        <w:t>as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waste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production</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changes</w:t>
      </w:r>
      <w:proofErr w:type="spellEnd"/>
      <w:r w:rsidRPr="00E357DE">
        <w:rPr>
          <w:rFonts w:asciiTheme="majorHAnsi" w:eastAsiaTheme="minorHAnsi" w:hAnsiTheme="majorHAnsi" w:cstheme="majorHAnsi"/>
          <w:color w:val="FF0000"/>
          <w:sz w:val="22"/>
          <w:szCs w:val="22"/>
          <w:lang w:val="de-DE" w:eastAsia="en-US"/>
        </w:rPr>
        <w:t xml:space="preserve"> in </w:t>
      </w:r>
      <w:proofErr w:type="spellStart"/>
      <w:r w:rsidRPr="00E357DE">
        <w:rPr>
          <w:rFonts w:asciiTheme="majorHAnsi" w:eastAsiaTheme="minorHAnsi" w:hAnsiTheme="majorHAnsi" w:cstheme="majorHAnsi"/>
          <w:color w:val="FF0000"/>
          <w:sz w:val="22"/>
          <w:szCs w:val="22"/>
          <w:lang w:val="de-DE" w:eastAsia="en-US"/>
        </w:rPr>
        <w:t>land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use</w:t>
      </w:r>
      <w:proofErr w:type="spellEnd"/>
      <w:r w:rsidRPr="00E357DE">
        <w:rPr>
          <w:rFonts w:asciiTheme="majorHAnsi" w:eastAsiaTheme="minorHAnsi" w:hAnsiTheme="majorHAnsi" w:cstheme="majorHAnsi"/>
          <w:color w:val="FF0000"/>
          <w:sz w:val="22"/>
          <w:szCs w:val="22"/>
          <w:lang w:val="de-DE" w:eastAsia="en-US"/>
        </w:rPr>
        <w:t xml:space="preserve">. The </w:t>
      </w:r>
      <w:proofErr w:type="spellStart"/>
      <w:r w:rsidRPr="00E357DE">
        <w:rPr>
          <w:rFonts w:asciiTheme="majorHAnsi" w:eastAsiaTheme="minorHAnsi" w:hAnsiTheme="majorHAnsi" w:cstheme="majorHAnsi"/>
          <w:color w:val="FF0000"/>
          <w:sz w:val="22"/>
          <w:szCs w:val="22"/>
          <w:lang w:val="de-DE" w:eastAsia="en-US"/>
        </w:rPr>
        <w:t>growing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demand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for</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sustainable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practices</w:t>
      </w:r>
      <w:proofErr w:type="spellEnd"/>
      <w:r w:rsidRPr="00E357DE">
        <w:rPr>
          <w:rFonts w:asciiTheme="majorHAnsi" w:eastAsiaTheme="minorHAnsi" w:hAnsiTheme="majorHAnsi" w:cstheme="majorHAnsi"/>
          <w:color w:val="FF0000"/>
          <w:sz w:val="22"/>
          <w:szCs w:val="22"/>
          <w:lang w:val="de-DE" w:eastAsia="en-US"/>
        </w:rPr>
        <w:t xml:space="preserve"> in </w:t>
      </w:r>
      <w:proofErr w:type="spellStart"/>
      <w:r w:rsidRPr="00E357DE">
        <w:rPr>
          <w:rFonts w:asciiTheme="majorHAnsi" w:eastAsiaTheme="minorHAnsi" w:hAnsiTheme="majorHAnsi" w:cstheme="majorHAnsi"/>
          <w:color w:val="FF0000"/>
          <w:sz w:val="22"/>
          <w:szCs w:val="22"/>
          <w:lang w:val="de-DE" w:eastAsia="en-US"/>
        </w:rPr>
        <w:t>construction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includes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energy-efficient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building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methods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increased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use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recycled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materials</w:t>
      </w:r>
      <w:proofErr w:type="spellEnd"/>
      <w:r w:rsidRPr="00E357DE">
        <w:rPr>
          <w:rFonts w:asciiTheme="majorHAnsi" w:eastAsiaTheme="minorHAnsi" w:hAnsiTheme="majorHAnsi" w:cstheme="majorHAnsi"/>
          <w:color w:val="FF0000"/>
          <w:sz w:val="22"/>
          <w:szCs w:val="22"/>
          <w:lang w:val="de-DE" w:eastAsia="en-US"/>
        </w:rPr>
        <w:t xml:space="preserve">, and a </w:t>
      </w:r>
      <w:proofErr w:type="spellStart"/>
      <w:r w:rsidRPr="00E357DE">
        <w:rPr>
          <w:rFonts w:asciiTheme="majorHAnsi" w:eastAsiaTheme="minorHAnsi" w:hAnsiTheme="majorHAnsi" w:cstheme="majorHAnsi"/>
          <w:color w:val="FF0000"/>
          <w:sz w:val="22"/>
          <w:szCs w:val="22"/>
          <w:lang w:val="de-DE" w:eastAsia="en-US"/>
        </w:rPr>
        <w:t>reduction</w:t>
      </w:r>
      <w:proofErr w:type="spellEnd"/>
      <w:r w:rsidRPr="00E357DE">
        <w:rPr>
          <w:rFonts w:asciiTheme="majorHAnsi" w:eastAsiaTheme="minorHAnsi" w:hAnsiTheme="majorHAnsi" w:cstheme="majorHAnsi"/>
          <w:color w:val="FF0000"/>
          <w:sz w:val="22"/>
          <w:szCs w:val="22"/>
          <w:lang w:val="de-DE" w:eastAsia="en-US"/>
        </w:rPr>
        <w:t xml:space="preserve"> in CO2 </w:t>
      </w:r>
      <w:proofErr w:type="spellStart"/>
      <w:r w:rsidRPr="00E357DE">
        <w:rPr>
          <w:rFonts w:asciiTheme="majorHAnsi" w:eastAsiaTheme="minorHAnsi" w:hAnsiTheme="majorHAnsi" w:cstheme="majorHAnsi"/>
          <w:color w:val="FF0000"/>
          <w:sz w:val="22"/>
          <w:szCs w:val="22"/>
          <w:lang w:val="de-DE" w:eastAsia="en-US"/>
        </w:rPr>
        <w:t>emissions</w:t>
      </w:r>
      <w:proofErr w:type="spellEnd"/>
      <w:r w:rsidRPr="00E357DE">
        <w:rPr>
          <w:rFonts w:asciiTheme="majorHAnsi" w:eastAsiaTheme="minorHAnsi" w:hAnsiTheme="majorHAnsi" w:cstheme="majorHAnsi"/>
          <w:color w:val="FF0000"/>
          <w:sz w:val="22"/>
          <w:szCs w:val="22"/>
          <w:lang w:val="de-DE" w:eastAsia="en-US"/>
        </w:rPr>
        <w:t xml:space="preserve"> in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manufacturing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building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materials</w:t>
      </w:r>
      <w:proofErr w:type="spellEnd"/>
      <w:r w:rsidRPr="00E357DE">
        <w:rPr>
          <w:rFonts w:asciiTheme="majorHAnsi" w:eastAsiaTheme="minorHAnsi" w:hAnsiTheme="majorHAnsi" w:cstheme="majorHAnsi"/>
          <w:color w:val="FF0000"/>
          <w:sz w:val="22"/>
          <w:szCs w:val="22"/>
          <w:lang w:val="de-DE" w:eastAsia="en-US"/>
        </w:rPr>
        <w:t xml:space="preserve">. These </w:t>
      </w:r>
      <w:proofErr w:type="spellStart"/>
      <w:r w:rsidRPr="00E357DE">
        <w:rPr>
          <w:rFonts w:asciiTheme="majorHAnsi" w:eastAsiaTheme="minorHAnsi" w:hAnsiTheme="majorHAnsi" w:cstheme="majorHAnsi"/>
          <w:color w:val="FF0000"/>
          <w:sz w:val="22"/>
          <w:szCs w:val="22"/>
          <w:lang w:val="de-DE" w:eastAsia="en-US"/>
        </w:rPr>
        <w:t>actions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are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crucial</w:t>
      </w:r>
      <w:proofErr w:type="spellEnd"/>
      <w:r w:rsidRPr="00E357DE">
        <w:rPr>
          <w:rFonts w:asciiTheme="majorHAnsi" w:eastAsiaTheme="minorHAnsi" w:hAnsiTheme="majorHAnsi" w:cstheme="majorHAnsi"/>
          <w:color w:val="FF0000"/>
          <w:sz w:val="22"/>
          <w:szCs w:val="22"/>
          <w:lang w:val="de-DE" w:eastAsia="en-US"/>
        </w:rPr>
        <w:t xml:space="preserve"> not </w:t>
      </w:r>
      <w:proofErr w:type="spellStart"/>
      <w:r w:rsidRPr="00E357DE">
        <w:rPr>
          <w:rFonts w:asciiTheme="majorHAnsi" w:eastAsiaTheme="minorHAnsi" w:hAnsiTheme="majorHAnsi" w:cstheme="majorHAnsi"/>
          <w:color w:val="FF0000"/>
          <w:sz w:val="22"/>
          <w:szCs w:val="22"/>
          <w:lang w:val="de-DE" w:eastAsia="en-US"/>
        </w:rPr>
        <w:t>only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for</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climate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protection</w:t>
      </w:r>
      <w:proofErr w:type="spellEnd"/>
      <w:r w:rsidRPr="00E357DE">
        <w:rPr>
          <w:rFonts w:asciiTheme="majorHAnsi" w:eastAsiaTheme="minorHAnsi" w:hAnsiTheme="majorHAnsi" w:cstheme="majorHAnsi"/>
          <w:color w:val="FF0000"/>
          <w:sz w:val="22"/>
          <w:szCs w:val="22"/>
          <w:lang w:val="de-DE" w:eastAsia="en-US"/>
        </w:rPr>
        <w:t xml:space="preserve"> but also </w:t>
      </w:r>
      <w:proofErr w:type="spellStart"/>
      <w:r w:rsidRPr="00E357DE">
        <w:rPr>
          <w:rFonts w:asciiTheme="majorHAnsi" w:eastAsiaTheme="minorHAnsi" w:hAnsiTheme="majorHAnsi" w:cstheme="majorHAnsi"/>
          <w:color w:val="FF0000"/>
          <w:sz w:val="22"/>
          <w:szCs w:val="22"/>
          <w:lang w:val="de-DE" w:eastAsia="en-US"/>
        </w:rPr>
        <w:t>for</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meeting</w:t>
      </w:r>
      <w:proofErr w:type="spellEnd"/>
      <w:r w:rsidRPr="00E357DE">
        <w:rPr>
          <w:rFonts w:asciiTheme="majorHAnsi" w:eastAsiaTheme="minorHAnsi" w:hAnsiTheme="majorHAnsi" w:cstheme="majorHAnsi"/>
          <w:color w:val="FF0000"/>
          <w:sz w:val="22"/>
          <w:szCs w:val="22"/>
          <w:lang w:val="de-DE" w:eastAsia="en-US"/>
        </w:rPr>
        <w:t xml:space="preserve"> global CO2 </w:t>
      </w:r>
      <w:proofErr w:type="spellStart"/>
      <w:r w:rsidRPr="00E357DE">
        <w:rPr>
          <w:rFonts w:asciiTheme="majorHAnsi" w:eastAsiaTheme="minorHAnsi" w:hAnsiTheme="majorHAnsi" w:cstheme="majorHAnsi"/>
          <w:color w:val="FF0000"/>
          <w:sz w:val="22"/>
          <w:szCs w:val="22"/>
          <w:lang w:val="de-DE" w:eastAsia="en-US"/>
        </w:rPr>
        <w:t>reduction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targets</w:t>
      </w:r>
      <w:proofErr w:type="spellEnd"/>
      <w:r w:rsidRPr="00E357DE">
        <w:rPr>
          <w:rFonts w:asciiTheme="majorHAnsi" w:eastAsiaTheme="minorHAnsi" w:hAnsiTheme="majorHAnsi" w:cstheme="majorHAnsi"/>
          <w:color w:val="FF0000"/>
          <w:sz w:val="22"/>
          <w:szCs w:val="22"/>
          <w:lang w:val="de-DE" w:eastAsia="en-US"/>
        </w:rPr>
        <w:t>.</w:t>
      </w:r>
    </w:p>
    <w:p w14:paraId="0B3F8F59" w14:textId="77777777" w:rsidR="00E357DE" w:rsidRPr="00E357DE" w:rsidRDefault="00E357DE" w:rsidP="00E357DE">
      <w:pPr>
        <w:pStyle w:val="StandardWeb"/>
        <w:spacing w:line="276" w:lineRule="auto"/>
        <w:jc w:val="both"/>
        <w:rPr>
          <w:rFonts w:asciiTheme="majorHAnsi" w:eastAsiaTheme="minorHAnsi" w:hAnsiTheme="majorHAnsi" w:cstheme="majorHAnsi"/>
          <w:color w:val="FF0000"/>
          <w:sz w:val="22"/>
          <w:szCs w:val="22"/>
          <w:lang w:val="de-DE" w:eastAsia="en-US"/>
        </w:rPr>
      </w:pPr>
      <w:r w:rsidRPr="00E357DE">
        <w:rPr>
          <w:rFonts w:asciiTheme="majorHAnsi" w:eastAsiaTheme="minorHAnsi" w:hAnsiTheme="majorHAnsi" w:cstheme="majorHAnsi"/>
          <w:color w:val="FF0000"/>
          <w:sz w:val="22"/>
          <w:szCs w:val="22"/>
          <w:lang w:val="de-DE" w:eastAsia="en-US"/>
        </w:rPr>
        <w:t xml:space="preserve">In </w:t>
      </w:r>
      <w:proofErr w:type="spellStart"/>
      <w:r w:rsidRPr="00E357DE">
        <w:rPr>
          <w:rFonts w:asciiTheme="majorHAnsi" w:eastAsiaTheme="minorHAnsi" w:hAnsiTheme="majorHAnsi" w:cstheme="majorHAnsi"/>
          <w:color w:val="FF0000"/>
          <w:sz w:val="22"/>
          <w:szCs w:val="22"/>
          <w:lang w:val="de-DE" w:eastAsia="en-US"/>
        </w:rPr>
        <w:t>response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to</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these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challenges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European </w:t>
      </w:r>
      <w:proofErr w:type="spellStart"/>
      <w:r w:rsidRPr="00E357DE">
        <w:rPr>
          <w:rFonts w:asciiTheme="majorHAnsi" w:eastAsiaTheme="minorHAnsi" w:hAnsiTheme="majorHAnsi" w:cstheme="majorHAnsi"/>
          <w:color w:val="FF0000"/>
          <w:sz w:val="22"/>
          <w:szCs w:val="22"/>
          <w:lang w:val="de-DE" w:eastAsia="en-US"/>
        </w:rPr>
        <w:t>Commission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has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introduced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EU </w:t>
      </w:r>
      <w:proofErr w:type="spellStart"/>
      <w:r w:rsidRPr="00E357DE">
        <w:rPr>
          <w:rFonts w:asciiTheme="majorHAnsi" w:eastAsiaTheme="minorHAnsi" w:hAnsiTheme="majorHAnsi" w:cstheme="majorHAnsi"/>
          <w:color w:val="FF0000"/>
          <w:sz w:val="22"/>
          <w:szCs w:val="22"/>
          <w:lang w:val="de-DE" w:eastAsia="en-US"/>
        </w:rPr>
        <w:t>Taxonomy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as</w:t>
      </w:r>
      <w:proofErr w:type="spellEnd"/>
      <w:r w:rsidRPr="00E357DE">
        <w:rPr>
          <w:rFonts w:asciiTheme="majorHAnsi" w:eastAsiaTheme="minorHAnsi" w:hAnsiTheme="majorHAnsi" w:cstheme="majorHAnsi"/>
          <w:color w:val="FF0000"/>
          <w:sz w:val="22"/>
          <w:szCs w:val="22"/>
          <w:lang w:val="de-DE" w:eastAsia="en-US"/>
        </w:rPr>
        <w:t xml:space="preserve"> a </w:t>
      </w:r>
      <w:proofErr w:type="spellStart"/>
      <w:r w:rsidRPr="00E357DE">
        <w:rPr>
          <w:rFonts w:asciiTheme="majorHAnsi" w:eastAsiaTheme="minorHAnsi" w:hAnsiTheme="majorHAnsi" w:cstheme="majorHAnsi"/>
          <w:color w:val="FF0000"/>
          <w:sz w:val="22"/>
          <w:szCs w:val="22"/>
          <w:lang w:val="de-DE" w:eastAsia="en-US"/>
        </w:rPr>
        <w:t>critical</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mechanism</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to</w:t>
      </w:r>
      <w:proofErr w:type="spellEnd"/>
      <w:r w:rsidRPr="00E357DE">
        <w:rPr>
          <w:rFonts w:asciiTheme="majorHAnsi" w:eastAsiaTheme="minorHAnsi" w:hAnsiTheme="majorHAnsi" w:cstheme="majorHAnsi"/>
          <w:color w:val="FF0000"/>
          <w:sz w:val="22"/>
          <w:szCs w:val="22"/>
          <w:lang w:val="de-DE" w:eastAsia="en-US"/>
        </w:rPr>
        <w:t xml:space="preserve"> promote </w:t>
      </w:r>
      <w:proofErr w:type="spellStart"/>
      <w:r w:rsidRPr="00E357DE">
        <w:rPr>
          <w:rFonts w:asciiTheme="majorHAnsi" w:eastAsiaTheme="minorHAnsi" w:hAnsiTheme="majorHAnsi" w:cstheme="majorHAnsi"/>
          <w:color w:val="FF0000"/>
          <w:sz w:val="22"/>
          <w:szCs w:val="22"/>
          <w:lang w:val="de-DE" w:eastAsia="en-US"/>
        </w:rPr>
        <w:t>green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investments</w:t>
      </w:r>
      <w:proofErr w:type="spellEnd"/>
      <w:r w:rsidRPr="00E357DE">
        <w:rPr>
          <w:rFonts w:asciiTheme="majorHAnsi" w:eastAsiaTheme="minorHAnsi" w:hAnsiTheme="majorHAnsi" w:cstheme="majorHAnsi"/>
          <w:color w:val="FF0000"/>
          <w:sz w:val="22"/>
          <w:szCs w:val="22"/>
          <w:lang w:val="de-DE" w:eastAsia="en-US"/>
        </w:rPr>
        <w:t xml:space="preserve"> in </w:t>
      </w:r>
      <w:proofErr w:type="spellStart"/>
      <w:r w:rsidRPr="00E357DE">
        <w:rPr>
          <w:rFonts w:asciiTheme="majorHAnsi" w:eastAsiaTheme="minorHAnsi" w:hAnsiTheme="majorHAnsi" w:cstheme="majorHAnsi"/>
          <w:color w:val="FF0000"/>
          <w:sz w:val="22"/>
          <w:szCs w:val="22"/>
          <w:lang w:val="de-DE" w:eastAsia="en-US"/>
        </w:rPr>
        <w:t>environmentally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responsible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projects</w:t>
      </w:r>
      <w:proofErr w:type="spellEnd"/>
      <w:r w:rsidRPr="00E357DE">
        <w:rPr>
          <w:rFonts w:asciiTheme="majorHAnsi" w:eastAsiaTheme="minorHAnsi" w:hAnsiTheme="majorHAnsi" w:cstheme="majorHAnsi"/>
          <w:color w:val="FF0000"/>
          <w:sz w:val="22"/>
          <w:szCs w:val="22"/>
          <w:lang w:val="de-DE" w:eastAsia="en-US"/>
        </w:rPr>
        <w:t xml:space="preserve">. This </w:t>
      </w:r>
      <w:proofErr w:type="spellStart"/>
      <w:r w:rsidRPr="00E357DE">
        <w:rPr>
          <w:rFonts w:asciiTheme="majorHAnsi" w:eastAsiaTheme="minorHAnsi" w:hAnsiTheme="majorHAnsi" w:cstheme="majorHAnsi"/>
          <w:color w:val="FF0000"/>
          <w:sz w:val="22"/>
          <w:szCs w:val="22"/>
          <w:lang w:val="de-DE" w:eastAsia="en-US"/>
        </w:rPr>
        <w:t>framework</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provides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clear</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guidelines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that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direct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investors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developers</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builders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towards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long</w:t>
      </w:r>
      <w:proofErr w:type="spellEnd"/>
      <w:r w:rsidRPr="00E357DE">
        <w:rPr>
          <w:rFonts w:asciiTheme="majorHAnsi" w:eastAsiaTheme="minorHAnsi" w:hAnsiTheme="majorHAnsi" w:cstheme="majorHAnsi"/>
          <w:color w:val="FF0000"/>
          <w:sz w:val="22"/>
          <w:szCs w:val="22"/>
          <w:lang w:val="de-DE" w:eastAsia="en-US"/>
        </w:rPr>
        <w:t xml:space="preserve">-term, </w:t>
      </w:r>
      <w:proofErr w:type="spellStart"/>
      <w:r w:rsidRPr="00E357DE">
        <w:rPr>
          <w:rFonts w:asciiTheme="majorHAnsi" w:eastAsiaTheme="minorHAnsi" w:hAnsiTheme="majorHAnsi" w:cstheme="majorHAnsi"/>
          <w:color w:val="FF0000"/>
          <w:sz w:val="22"/>
          <w:szCs w:val="22"/>
          <w:lang w:val="de-DE" w:eastAsia="en-US"/>
        </w:rPr>
        <w:t>climate-friendly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business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activities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offering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definitions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for</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sustainable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investments</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fostering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environmentally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mindful</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practices</w:t>
      </w:r>
      <w:proofErr w:type="spellEnd"/>
      <w:r w:rsidRPr="00E357DE">
        <w:rPr>
          <w:rFonts w:asciiTheme="majorHAnsi" w:eastAsiaTheme="minorHAnsi" w:hAnsiTheme="majorHAnsi" w:cstheme="majorHAnsi"/>
          <w:color w:val="FF0000"/>
          <w:sz w:val="22"/>
          <w:szCs w:val="22"/>
          <w:lang w:val="de-DE" w:eastAsia="en-US"/>
        </w:rPr>
        <w:t>.</w:t>
      </w:r>
    </w:p>
    <w:p w14:paraId="206B0829" w14:textId="77777777" w:rsidR="00E357DE" w:rsidRPr="00E357DE" w:rsidRDefault="00E357DE" w:rsidP="00E357DE">
      <w:pPr>
        <w:pStyle w:val="StandardWeb"/>
        <w:spacing w:line="276" w:lineRule="auto"/>
        <w:jc w:val="both"/>
        <w:rPr>
          <w:rFonts w:asciiTheme="majorHAnsi" w:eastAsiaTheme="minorHAnsi" w:hAnsiTheme="majorHAnsi" w:cstheme="majorHAnsi"/>
          <w:color w:val="FF0000"/>
          <w:sz w:val="22"/>
          <w:szCs w:val="22"/>
          <w:lang w:val="de-DE" w:eastAsia="en-US"/>
        </w:rPr>
      </w:pPr>
      <w:r w:rsidRPr="00E357DE">
        <w:rPr>
          <w:rFonts w:asciiTheme="majorHAnsi" w:eastAsiaTheme="minorHAnsi" w:hAnsiTheme="majorHAnsi" w:cstheme="majorHAnsi"/>
          <w:color w:val="FF0000"/>
          <w:sz w:val="22"/>
          <w:szCs w:val="22"/>
          <w:lang w:val="de-DE" w:eastAsia="en-US"/>
        </w:rPr>
        <w:t xml:space="preserve">This </w:t>
      </w:r>
      <w:proofErr w:type="spellStart"/>
      <w:r w:rsidRPr="00E357DE">
        <w:rPr>
          <w:rFonts w:asciiTheme="majorHAnsi" w:eastAsiaTheme="minorHAnsi" w:hAnsiTheme="majorHAnsi" w:cstheme="majorHAnsi"/>
          <w:color w:val="FF0000"/>
          <w:sz w:val="22"/>
          <w:szCs w:val="22"/>
          <w:lang w:val="de-DE" w:eastAsia="en-US"/>
        </w:rPr>
        <w:t>study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conducts</w:t>
      </w:r>
      <w:proofErr w:type="spellEnd"/>
      <w:r w:rsidRPr="00E357DE">
        <w:rPr>
          <w:rFonts w:asciiTheme="majorHAnsi" w:eastAsiaTheme="minorHAnsi" w:hAnsiTheme="majorHAnsi" w:cstheme="majorHAnsi"/>
          <w:color w:val="FF0000"/>
          <w:sz w:val="22"/>
          <w:szCs w:val="22"/>
          <w:lang w:val="de-DE" w:eastAsia="en-US"/>
        </w:rPr>
        <w:t xml:space="preserve"> a </w:t>
      </w:r>
      <w:proofErr w:type="spellStart"/>
      <w:r w:rsidRPr="00E357DE">
        <w:rPr>
          <w:rFonts w:asciiTheme="majorHAnsi" w:eastAsiaTheme="minorHAnsi" w:hAnsiTheme="majorHAnsi" w:cstheme="majorHAnsi"/>
          <w:color w:val="FF0000"/>
          <w:sz w:val="22"/>
          <w:szCs w:val="22"/>
          <w:lang w:val="de-DE" w:eastAsia="en-US"/>
        </w:rPr>
        <w:t>comprehensive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analysis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a multi-story </w:t>
      </w:r>
      <w:proofErr w:type="spellStart"/>
      <w:r w:rsidRPr="00E357DE">
        <w:rPr>
          <w:rFonts w:asciiTheme="majorHAnsi" w:eastAsiaTheme="minorHAnsi" w:hAnsiTheme="majorHAnsi" w:cstheme="majorHAnsi"/>
          <w:color w:val="FF0000"/>
          <w:sz w:val="22"/>
          <w:szCs w:val="22"/>
          <w:lang w:val="de-DE" w:eastAsia="en-US"/>
        </w:rPr>
        <w:t>residential</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building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project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from</w:t>
      </w:r>
      <w:proofErr w:type="spellEnd"/>
      <w:r w:rsidRPr="00E357DE">
        <w:rPr>
          <w:rFonts w:asciiTheme="majorHAnsi" w:eastAsiaTheme="minorHAnsi" w:hAnsiTheme="majorHAnsi" w:cstheme="majorHAnsi"/>
          <w:color w:val="FF0000"/>
          <w:sz w:val="22"/>
          <w:szCs w:val="22"/>
          <w:lang w:val="de-DE" w:eastAsia="en-US"/>
        </w:rPr>
        <w:t xml:space="preserve"> a </w:t>
      </w:r>
      <w:proofErr w:type="spellStart"/>
      <w:r w:rsidRPr="00E357DE">
        <w:rPr>
          <w:rFonts w:asciiTheme="majorHAnsi" w:eastAsiaTheme="minorHAnsi" w:hAnsiTheme="majorHAnsi" w:cstheme="majorHAnsi"/>
          <w:color w:val="FF0000"/>
          <w:sz w:val="22"/>
          <w:szCs w:val="22"/>
          <w:lang w:val="de-DE" w:eastAsia="en-US"/>
        </w:rPr>
        <w:t>developer’s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perspective</w:t>
      </w:r>
      <w:proofErr w:type="spellEnd"/>
      <w:r w:rsidRPr="00E357DE">
        <w:rPr>
          <w:rFonts w:asciiTheme="majorHAnsi" w:eastAsiaTheme="minorHAnsi" w:hAnsiTheme="majorHAnsi" w:cstheme="majorHAnsi"/>
          <w:color w:val="FF0000"/>
          <w:sz w:val="22"/>
          <w:szCs w:val="22"/>
          <w:lang w:val="de-DE" w:eastAsia="en-US"/>
        </w:rPr>
        <w:t xml:space="preserve">. The </w:t>
      </w:r>
      <w:proofErr w:type="spellStart"/>
      <w:r w:rsidRPr="00E357DE">
        <w:rPr>
          <w:rFonts w:asciiTheme="majorHAnsi" w:eastAsiaTheme="minorHAnsi" w:hAnsiTheme="majorHAnsi" w:cstheme="majorHAnsi"/>
          <w:color w:val="FF0000"/>
          <w:sz w:val="22"/>
          <w:szCs w:val="22"/>
          <w:lang w:val="de-DE" w:eastAsia="en-US"/>
        </w:rPr>
        <w:t>core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research</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is</w:t>
      </w:r>
      <w:proofErr w:type="spellEnd"/>
      <w:r w:rsidRPr="00E357DE">
        <w:rPr>
          <w:rFonts w:asciiTheme="majorHAnsi" w:eastAsiaTheme="minorHAnsi" w:hAnsiTheme="majorHAnsi" w:cstheme="majorHAnsi"/>
          <w:color w:val="FF0000"/>
          <w:sz w:val="22"/>
          <w:szCs w:val="22"/>
          <w:lang w:val="de-DE" w:eastAsia="en-US"/>
        </w:rPr>
        <w:t xml:space="preserve"> a </w:t>
      </w:r>
      <w:proofErr w:type="spellStart"/>
      <w:r w:rsidRPr="00E357DE">
        <w:rPr>
          <w:rFonts w:asciiTheme="majorHAnsi" w:eastAsiaTheme="minorHAnsi" w:hAnsiTheme="majorHAnsi" w:cstheme="majorHAnsi"/>
          <w:color w:val="FF0000"/>
          <w:sz w:val="22"/>
          <w:szCs w:val="22"/>
          <w:lang w:val="de-DE" w:eastAsia="en-US"/>
        </w:rPr>
        <w:t>comparison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between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initially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planned</w:t>
      </w:r>
      <w:proofErr w:type="spellEnd"/>
      <w:r w:rsidRPr="00E357DE">
        <w:rPr>
          <w:rFonts w:asciiTheme="majorHAnsi" w:eastAsiaTheme="minorHAnsi" w:hAnsiTheme="majorHAnsi" w:cstheme="majorHAnsi"/>
          <w:color w:val="FF0000"/>
          <w:sz w:val="22"/>
          <w:szCs w:val="22"/>
          <w:lang w:val="de-DE" w:eastAsia="en-US"/>
        </w:rPr>
        <w:t xml:space="preserve"> mineral-</w:t>
      </w:r>
      <w:proofErr w:type="spellStart"/>
      <w:r w:rsidRPr="00E357DE">
        <w:rPr>
          <w:rFonts w:asciiTheme="majorHAnsi" w:eastAsiaTheme="minorHAnsi" w:hAnsiTheme="majorHAnsi" w:cstheme="majorHAnsi"/>
          <w:color w:val="FF0000"/>
          <w:sz w:val="22"/>
          <w:szCs w:val="22"/>
          <w:lang w:val="de-DE" w:eastAsia="en-US"/>
        </w:rPr>
        <w:t>based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construction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method</w:t>
      </w:r>
      <w:proofErr w:type="spellEnd"/>
      <w:r w:rsidRPr="00E357DE">
        <w:rPr>
          <w:rFonts w:asciiTheme="majorHAnsi" w:eastAsiaTheme="minorHAnsi" w:hAnsiTheme="majorHAnsi" w:cstheme="majorHAnsi"/>
          <w:color w:val="FF0000"/>
          <w:sz w:val="22"/>
          <w:szCs w:val="22"/>
          <w:lang w:val="de-DE" w:eastAsia="en-US"/>
        </w:rPr>
        <w:t xml:space="preserve"> and a potential </w:t>
      </w:r>
      <w:proofErr w:type="spellStart"/>
      <w:r w:rsidRPr="00E357DE">
        <w:rPr>
          <w:rFonts w:asciiTheme="majorHAnsi" w:eastAsiaTheme="minorHAnsi" w:hAnsiTheme="majorHAnsi" w:cstheme="majorHAnsi"/>
          <w:color w:val="FF0000"/>
          <w:sz w:val="22"/>
          <w:szCs w:val="22"/>
          <w:lang w:val="de-DE" w:eastAsia="en-US"/>
        </w:rPr>
        <w:t>timber-based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approach</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focusing</w:t>
      </w:r>
      <w:proofErr w:type="spellEnd"/>
      <w:r w:rsidRPr="00E357DE">
        <w:rPr>
          <w:rFonts w:asciiTheme="majorHAnsi" w:eastAsiaTheme="minorHAnsi" w:hAnsiTheme="majorHAnsi" w:cstheme="majorHAnsi"/>
          <w:color w:val="FF0000"/>
          <w:sz w:val="22"/>
          <w:szCs w:val="22"/>
          <w:lang w:val="de-DE" w:eastAsia="en-US"/>
        </w:rPr>
        <w:t xml:space="preserve"> on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latest</w:t>
      </w:r>
      <w:proofErr w:type="spellEnd"/>
      <w:r w:rsidRPr="00E357DE">
        <w:rPr>
          <w:rFonts w:asciiTheme="majorHAnsi" w:eastAsiaTheme="minorHAnsi" w:hAnsiTheme="majorHAnsi" w:cstheme="majorHAnsi"/>
          <w:color w:val="FF0000"/>
          <w:sz w:val="22"/>
          <w:szCs w:val="22"/>
          <w:lang w:val="de-DE" w:eastAsia="en-US"/>
        </w:rPr>
        <w:t xml:space="preserve"> EU </w:t>
      </w:r>
      <w:proofErr w:type="spellStart"/>
      <w:r w:rsidRPr="00E357DE">
        <w:rPr>
          <w:rFonts w:asciiTheme="majorHAnsi" w:eastAsiaTheme="minorHAnsi" w:hAnsiTheme="majorHAnsi" w:cstheme="majorHAnsi"/>
          <w:color w:val="FF0000"/>
          <w:sz w:val="22"/>
          <w:szCs w:val="22"/>
          <w:lang w:val="de-DE" w:eastAsia="en-US"/>
        </w:rPr>
        <w:t>regulations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for</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economic</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activities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alongside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associated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financial</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benefits</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drawbacks</w:t>
      </w:r>
      <w:proofErr w:type="spellEnd"/>
      <w:r w:rsidRPr="00E357DE">
        <w:rPr>
          <w:rFonts w:asciiTheme="majorHAnsi" w:eastAsiaTheme="minorHAnsi" w:hAnsiTheme="majorHAnsi" w:cstheme="majorHAnsi"/>
          <w:color w:val="FF0000"/>
          <w:sz w:val="22"/>
          <w:szCs w:val="22"/>
          <w:lang w:val="de-DE" w:eastAsia="en-US"/>
        </w:rPr>
        <w:t xml:space="preserve">. The </w:t>
      </w:r>
      <w:proofErr w:type="spellStart"/>
      <w:r w:rsidRPr="00E357DE">
        <w:rPr>
          <w:rFonts w:asciiTheme="majorHAnsi" w:eastAsiaTheme="minorHAnsi" w:hAnsiTheme="majorHAnsi" w:cstheme="majorHAnsi"/>
          <w:color w:val="FF0000"/>
          <w:sz w:val="22"/>
          <w:szCs w:val="22"/>
          <w:lang w:val="de-DE" w:eastAsia="en-US"/>
        </w:rPr>
        <w:t>work</w:t>
      </w:r>
      <w:proofErr w:type="spellEnd"/>
      <w:r w:rsidRPr="00E357DE">
        <w:rPr>
          <w:rFonts w:asciiTheme="majorHAnsi" w:eastAsiaTheme="minorHAnsi" w:hAnsiTheme="majorHAnsi" w:cstheme="majorHAnsi"/>
          <w:color w:val="FF0000"/>
          <w:sz w:val="22"/>
          <w:szCs w:val="22"/>
          <w:lang w:val="de-DE" w:eastAsia="en-US"/>
        </w:rPr>
        <w:t xml:space="preserve"> also </w:t>
      </w:r>
      <w:proofErr w:type="spellStart"/>
      <w:r w:rsidRPr="00E357DE">
        <w:rPr>
          <w:rFonts w:asciiTheme="majorHAnsi" w:eastAsiaTheme="minorHAnsi" w:hAnsiTheme="majorHAnsi" w:cstheme="majorHAnsi"/>
          <w:color w:val="FF0000"/>
          <w:sz w:val="22"/>
          <w:szCs w:val="22"/>
          <w:lang w:val="de-DE" w:eastAsia="en-US"/>
        </w:rPr>
        <w:t>addresses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key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differences</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challenges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faced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investors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considering</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EU </w:t>
      </w:r>
      <w:proofErr w:type="spellStart"/>
      <w:r w:rsidRPr="00E357DE">
        <w:rPr>
          <w:rFonts w:asciiTheme="majorHAnsi" w:eastAsiaTheme="minorHAnsi" w:hAnsiTheme="majorHAnsi" w:cstheme="majorHAnsi"/>
          <w:color w:val="FF0000"/>
          <w:sz w:val="22"/>
          <w:szCs w:val="22"/>
          <w:lang w:val="de-DE" w:eastAsia="en-US"/>
        </w:rPr>
        <w:t>Taxonomy</w:t>
      </w:r>
      <w:proofErr w:type="spellEnd"/>
      <w:r w:rsidRPr="00E357DE">
        <w:rPr>
          <w:rFonts w:asciiTheme="majorHAnsi" w:eastAsiaTheme="minorHAnsi" w:hAnsiTheme="majorHAnsi" w:cstheme="majorHAnsi"/>
          <w:color w:val="FF0000"/>
          <w:sz w:val="22"/>
          <w:szCs w:val="22"/>
          <w:lang w:val="de-DE" w:eastAsia="en-US"/>
        </w:rPr>
        <w:t xml:space="preserve">. The </w:t>
      </w:r>
      <w:proofErr w:type="spellStart"/>
      <w:r w:rsidRPr="00E357DE">
        <w:rPr>
          <w:rFonts w:asciiTheme="majorHAnsi" w:eastAsiaTheme="minorHAnsi" w:hAnsiTheme="majorHAnsi" w:cstheme="majorHAnsi"/>
          <w:color w:val="FF0000"/>
          <w:sz w:val="22"/>
          <w:szCs w:val="22"/>
          <w:lang w:val="de-DE" w:eastAsia="en-US"/>
        </w:rPr>
        <w:t>study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begins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offering</w:t>
      </w:r>
      <w:proofErr w:type="spellEnd"/>
      <w:r w:rsidRPr="00E357DE">
        <w:rPr>
          <w:rFonts w:asciiTheme="majorHAnsi" w:eastAsiaTheme="minorHAnsi" w:hAnsiTheme="majorHAnsi" w:cstheme="majorHAnsi"/>
          <w:color w:val="FF0000"/>
          <w:sz w:val="22"/>
          <w:szCs w:val="22"/>
          <w:lang w:val="de-DE" w:eastAsia="en-US"/>
        </w:rPr>
        <w:t xml:space="preserve"> an in-</w:t>
      </w:r>
      <w:proofErr w:type="spellStart"/>
      <w:r w:rsidRPr="00E357DE">
        <w:rPr>
          <w:rFonts w:asciiTheme="majorHAnsi" w:eastAsiaTheme="minorHAnsi" w:hAnsiTheme="majorHAnsi" w:cstheme="majorHAnsi"/>
          <w:color w:val="FF0000"/>
          <w:sz w:val="22"/>
          <w:szCs w:val="22"/>
          <w:lang w:val="de-DE" w:eastAsia="en-US"/>
        </w:rPr>
        <w:t>depth</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examination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relevant EU </w:t>
      </w:r>
      <w:proofErr w:type="spellStart"/>
      <w:r w:rsidRPr="00E357DE">
        <w:rPr>
          <w:rFonts w:asciiTheme="majorHAnsi" w:eastAsiaTheme="minorHAnsi" w:hAnsiTheme="majorHAnsi" w:cstheme="majorHAnsi"/>
          <w:color w:val="FF0000"/>
          <w:sz w:val="22"/>
          <w:szCs w:val="22"/>
          <w:lang w:val="de-DE" w:eastAsia="en-US"/>
        </w:rPr>
        <w:t>regulations</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requirements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EU </w:t>
      </w:r>
      <w:proofErr w:type="spellStart"/>
      <w:r w:rsidRPr="00E357DE">
        <w:rPr>
          <w:rFonts w:asciiTheme="majorHAnsi" w:eastAsiaTheme="minorHAnsi" w:hAnsiTheme="majorHAnsi" w:cstheme="majorHAnsi"/>
          <w:color w:val="FF0000"/>
          <w:sz w:val="22"/>
          <w:szCs w:val="22"/>
          <w:lang w:val="de-DE" w:eastAsia="en-US"/>
        </w:rPr>
        <w:t>Taxonomy</w:t>
      </w:r>
      <w:proofErr w:type="spellEnd"/>
      <w:r w:rsidRPr="00E357DE">
        <w:rPr>
          <w:rFonts w:asciiTheme="majorHAnsi" w:eastAsiaTheme="minorHAnsi" w:hAnsiTheme="majorHAnsi" w:cstheme="majorHAnsi"/>
          <w:color w:val="FF0000"/>
          <w:sz w:val="22"/>
          <w:szCs w:val="22"/>
          <w:lang w:val="de-DE" w:eastAsia="en-US"/>
        </w:rPr>
        <w:t xml:space="preserve">. Working </w:t>
      </w:r>
      <w:proofErr w:type="spellStart"/>
      <w:r w:rsidRPr="00E357DE">
        <w:rPr>
          <w:rFonts w:asciiTheme="majorHAnsi" w:eastAsiaTheme="minorHAnsi" w:hAnsiTheme="majorHAnsi" w:cstheme="majorHAnsi"/>
          <w:color w:val="FF0000"/>
          <w:sz w:val="22"/>
          <w:szCs w:val="22"/>
          <w:lang w:val="de-DE" w:eastAsia="en-US"/>
        </w:rPr>
        <w:t>closely</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with</w:t>
      </w:r>
      <w:proofErr w:type="spellEnd"/>
      <w:r w:rsidRPr="00E357DE">
        <w:rPr>
          <w:rFonts w:asciiTheme="majorHAnsi" w:eastAsiaTheme="minorHAnsi" w:hAnsiTheme="majorHAnsi" w:cstheme="majorHAnsi"/>
          <w:color w:val="FF0000"/>
          <w:sz w:val="22"/>
          <w:szCs w:val="22"/>
          <w:lang w:val="de-DE" w:eastAsia="en-US"/>
        </w:rPr>
        <w:t xml:space="preserve"> a </w:t>
      </w:r>
      <w:proofErr w:type="spellStart"/>
      <w:r w:rsidRPr="00E357DE">
        <w:rPr>
          <w:rFonts w:asciiTheme="majorHAnsi" w:eastAsiaTheme="minorHAnsi" w:hAnsiTheme="majorHAnsi" w:cstheme="majorHAnsi"/>
          <w:color w:val="FF0000"/>
          <w:sz w:val="22"/>
          <w:szCs w:val="22"/>
          <w:lang w:val="de-DE" w:eastAsia="en-US"/>
        </w:rPr>
        <w:t>construction</w:t>
      </w:r>
      <w:proofErr w:type="spellEnd"/>
      <w:r w:rsidRPr="00E357DE">
        <w:rPr>
          <w:rFonts w:asciiTheme="majorHAnsi" w:eastAsiaTheme="minorHAnsi" w:hAnsiTheme="majorHAnsi" w:cstheme="majorHAnsi"/>
          <w:color w:val="FF0000"/>
          <w:sz w:val="22"/>
          <w:szCs w:val="22"/>
          <w:lang w:val="de-DE" w:eastAsia="en-US"/>
        </w:rPr>
        <w:t xml:space="preserve"> and real </w:t>
      </w:r>
      <w:proofErr w:type="spellStart"/>
      <w:r w:rsidRPr="00E357DE">
        <w:rPr>
          <w:rFonts w:asciiTheme="majorHAnsi" w:eastAsiaTheme="minorHAnsi" w:hAnsiTheme="majorHAnsi" w:cstheme="majorHAnsi"/>
          <w:color w:val="FF0000"/>
          <w:sz w:val="22"/>
          <w:szCs w:val="22"/>
          <w:lang w:val="de-DE" w:eastAsia="en-US"/>
        </w:rPr>
        <w:t>estate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developer</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specific</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strategies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are</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developed</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to</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evaluate</w:t>
      </w:r>
      <w:proofErr w:type="spellEnd"/>
      <w:r w:rsidRPr="00E357DE">
        <w:rPr>
          <w:rFonts w:asciiTheme="majorHAnsi" w:eastAsiaTheme="minorHAnsi" w:hAnsiTheme="majorHAnsi" w:cstheme="majorHAnsi"/>
          <w:color w:val="FF0000"/>
          <w:sz w:val="22"/>
          <w:szCs w:val="22"/>
          <w:lang w:val="de-DE" w:eastAsia="en-US"/>
        </w:rPr>
        <w:t xml:space="preserve"> and </w:t>
      </w:r>
      <w:proofErr w:type="spellStart"/>
      <w:r w:rsidRPr="00E357DE">
        <w:rPr>
          <w:rFonts w:asciiTheme="majorHAnsi" w:eastAsiaTheme="minorHAnsi" w:hAnsiTheme="majorHAnsi" w:cstheme="majorHAnsi"/>
          <w:color w:val="FF0000"/>
          <w:sz w:val="22"/>
          <w:szCs w:val="22"/>
          <w:lang w:val="de-DE" w:eastAsia="en-US"/>
        </w:rPr>
        <w:t>present</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the</w:t>
      </w:r>
      <w:proofErr w:type="spellEnd"/>
      <w:r w:rsidRPr="00E357DE">
        <w:rPr>
          <w:rFonts w:asciiTheme="majorHAnsi" w:eastAsiaTheme="minorHAnsi" w:hAnsiTheme="majorHAnsi" w:cstheme="majorHAnsi"/>
          <w:color w:val="FF0000"/>
          <w:sz w:val="22"/>
          <w:szCs w:val="22"/>
          <w:lang w:val="de-DE" w:eastAsia="en-US"/>
        </w:rPr>
        <w:t xml:space="preserve"> potential </w:t>
      </w:r>
      <w:proofErr w:type="spellStart"/>
      <w:r w:rsidRPr="00E357DE">
        <w:rPr>
          <w:rFonts w:asciiTheme="majorHAnsi" w:eastAsiaTheme="minorHAnsi" w:hAnsiTheme="majorHAnsi" w:cstheme="majorHAnsi"/>
          <w:color w:val="FF0000"/>
          <w:sz w:val="22"/>
          <w:szCs w:val="22"/>
          <w:lang w:val="de-DE" w:eastAsia="en-US"/>
        </w:rPr>
        <w:t>of</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both</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construction</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methods</w:t>
      </w:r>
      <w:proofErr w:type="spellEnd"/>
      <w:r w:rsidRPr="00E357DE">
        <w:rPr>
          <w:rFonts w:asciiTheme="majorHAnsi" w:eastAsiaTheme="minorHAnsi" w:hAnsiTheme="majorHAnsi" w:cstheme="majorHAnsi"/>
          <w:color w:val="FF0000"/>
          <w:sz w:val="22"/>
          <w:szCs w:val="22"/>
          <w:lang w:val="de-DE" w:eastAsia="en-US"/>
        </w:rPr>
        <w:t xml:space="preserve"> </w:t>
      </w:r>
      <w:proofErr w:type="spellStart"/>
      <w:r w:rsidRPr="00E357DE">
        <w:rPr>
          <w:rFonts w:asciiTheme="majorHAnsi" w:eastAsiaTheme="minorHAnsi" w:hAnsiTheme="majorHAnsi" w:cstheme="majorHAnsi"/>
          <w:color w:val="FF0000"/>
          <w:sz w:val="22"/>
          <w:szCs w:val="22"/>
          <w:lang w:val="de-DE" w:eastAsia="en-US"/>
        </w:rPr>
        <w:t>under</w:t>
      </w:r>
      <w:proofErr w:type="spellEnd"/>
      <w:r w:rsidRPr="00E357DE">
        <w:rPr>
          <w:rFonts w:asciiTheme="majorHAnsi" w:eastAsiaTheme="minorHAnsi" w:hAnsiTheme="majorHAnsi" w:cstheme="majorHAnsi"/>
          <w:color w:val="FF0000"/>
          <w:sz w:val="22"/>
          <w:szCs w:val="22"/>
          <w:lang w:val="de-DE" w:eastAsia="en-US"/>
        </w:rPr>
        <w:t xml:space="preserve"> review.</w:t>
      </w:r>
    </w:p>
    <w:p w14:paraId="4524DF47" w14:textId="77777777" w:rsidR="00E357DE" w:rsidRPr="00E357DE" w:rsidRDefault="00E357DE" w:rsidP="00E357DE">
      <w:pPr>
        <w:rPr>
          <w:rFonts w:asciiTheme="majorHAnsi" w:hAnsiTheme="majorHAnsi" w:cstheme="majorHAnsi"/>
          <w:color w:val="FF0000"/>
          <w:lang w:val="de-DE"/>
        </w:rPr>
      </w:pPr>
      <w:r w:rsidRPr="00E357DE">
        <w:rPr>
          <w:rFonts w:asciiTheme="majorHAnsi" w:hAnsiTheme="majorHAnsi" w:cstheme="majorHAnsi"/>
          <w:color w:val="FF0000"/>
          <w:lang w:val="de-DE"/>
        </w:rPr>
        <w:br w:type="page"/>
      </w:r>
      <w:bookmarkStart w:id="0" w:name="_GoBack"/>
      <w:bookmarkEnd w:id="0"/>
      <w:r w:rsidRPr="00E357DE">
        <w:rPr>
          <w:rFonts w:asciiTheme="majorHAnsi" w:eastAsia="Times New Roman" w:hAnsiTheme="majorHAnsi" w:cstheme="majorHAnsi"/>
          <w:color w:val="FF0000"/>
          <w:szCs w:val="24"/>
          <w:lang w:val="de-DE" w:eastAsia="de-AT"/>
        </w:rPr>
        <w:fldChar w:fldCharType="begin"/>
      </w:r>
      <w:r w:rsidRPr="00E357DE">
        <w:rPr>
          <w:rFonts w:asciiTheme="majorHAnsi" w:hAnsiTheme="majorHAnsi" w:cstheme="majorHAnsi"/>
          <w:color w:val="FF0000"/>
          <w:lang w:val="de-DE"/>
        </w:rPr>
        <w:instrText xml:space="preserve"> LINK Excel.Sheet.12 "D:\\DA\\ESG_Diplom_Valente\\0_DIPLOM\\5_Endbericht_fertig\\0_Deckblatt+Einführung\\Abbilungsverzeichnis + Begriffe.xlsx" Tabelle1!Z1S1:Z37S2 \a \f 5 \h  \* MERGEFORMAT </w:instrText>
      </w:r>
      <w:r w:rsidRPr="00E357DE">
        <w:rPr>
          <w:rFonts w:asciiTheme="majorHAnsi" w:eastAsia="Times New Roman" w:hAnsiTheme="majorHAnsi" w:cstheme="majorHAnsi"/>
          <w:color w:val="FF0000"/>
          <w:szCs w:val="24"/>
          <w:lang w:val="de-DE" w:eastAsia="de-AT"/>
        </w:rPr>
        <w:fldChar w:fldCharType="separate"/>
      </w:r>
    </w:p>
    <w:p w14:paraId="329688D6" w14:textId="77777777" w:rsidR="00E357DE" w:rsidRPr="00E24471" w:rsidRDefault="00E357DE" w:rsidP="00E357DE">
      <w:pPr>
        <w:rPr>
          <w:rFonts w:cs="Arial"/>
          <w:sz w:val="32"/>
          <w:lang w:val="de-DE"/>
        </w:rPr>
      </w:pPr>
      <w:r w:rsidRPr="00E357DE">
        <w:rPr>
          <w:rFonts w:asciiTheme="majorHAnsi" w:hAnsiTheme="majorHAnsi" w:cstheme="majorHAnsi"/>
          <w:color w:val="FF0000"/>
          <w:lang w:val="de-DE"/>
        </w:rPr>
        <w:lastRenderedPageBreak/>
        <w:fldChar w:fldCharType="end"/>
      </w:r>
      <w:r w:rsidRPr="00E24471">
        <w:rPr>
          <w:rFonts w:cs="Arial"/>
          <w:sz w:val="32"/>
          <w:lang w:val="de-DE"/>
        </w:rPr>
        <w:t>Inhaltverzeichnis</w:t>
      </w:r>
    </w:p>
    <w:p w14:paraId="540C5A66" w14:textId="77777777" w:rsidR="00E357DE" w:rsidRPr="00E24471" w:rsidRDefault="00E357DE" w:rsidP="00E357DE">
      <w:pPr>
        <w:rPr>
          <w:rFonts w:cs="Arial"/>
          <w:sz w:val="32"/>
          <w:lang w:val="de-DE"/>
        </w:rPr>
      </w:pPr>
    </w:p>
    <w:p w14:paraId="78F4E107"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1 Einleitung | Problemstellung</w:t>
      </w:r>
    </w:p>
    <w:p w14:paraId="6569D1E9" w14:textId="77777777" w:rsidR="00E357DE" w:rsidRPr="00D95764" w:rsidRDefault="00E357DE" w:rsidP="00E357DE">
      <w:pPr>
        <w:pStyle w:val="Listenabsatz"/>
        <w:numPr>
          <w:ilvl w:val="1"/>
          <w:numId w:val="8"/>
        </w:numPr>
        <w:spacing w:after="0" w:line="240" w:lineRule="auto"/>
        <w:rPr>
          <w:rFonts w:asciiTheme="majorHAnsi" w:hAnsiTheme="majorHAnsi" w:cstheme="majorHAnsi"/>
          <w:sz w:val="20"/>
          <w:lang w:val="de-DE"/>
        </w:rPr>
      </w:pPr>
      <w:r w:rsidRPr="00D95764">
        <w:rPr>
          <w:rFonts w:asciiTheme="majorHAnsi" w:hAnsiTheme="majorHAnsi" w:cstheme="majorHAnsi"/>
          <w:sz w:val="20"/>
          <w:lang w:val="de-DE"/>
        </w:rPr>
        <w:t>Motivation und Zielsetzung</w:t>
      </w:r>
    </w:p>
    <w:p w14:paraId="27A6C7F7" w14:textId="77777777" w:rsidR="00E357DE" w:rsidRPr="00D95764" w:rsidRDefault="00E357DE" w:rsidP="00E357DE">
      <w:pPr>
        <w:pStyle w:val="Listenabsatz"/>
        <w:numPr>
          <w:ilvl w:val="1"/>
          <w:numId w:val="8"/>
        </w:numPr>
        <w:spacing w:after="0" w:line="240" w:lineRule="auto"/>
        <w:rPr>
          <w:rFonts w:asciiTheme="majorHAnsi" w:hAnsiTheme="majorHAnsi" w:cstheme="majorHAnsi"/>
          <w:sz w:val="20"/>
          <w:lang w:val="de-DE"/>
        </w:rPr>
      </w:pPr>
      <w:r w:rsidRPr="00D95764">
        <w:rPr>
          <w:rFonts w:asciiTheme="majorHAnsi" w:hAnsiTheme="majorHAnsi" w:cstheme="majorHAnsi"/>
          <w:sz w:val="20"/>
          <w:lang w:val="de-DE"/>
        </w:rPr>
        <w:t>Gliederung</w:t>
      </w:r>
    </w:p>
    <w:p w14:paraId="44520CEC" w14:textId="77777777" w:rsidR="00E357DE" w:rsidRPr="00D95764" w:rsidRDefault="00E357DE" w:rsidP="00E357DE">
      <w:pPr>
        <w:pStyle w:val="Listenabsatz"/>
        <w:spacing w:line="360" w:lineRule="auto"/>
        <w:ind w:left="360"/>
        <w:rPr>
          <w:rFonts w:asciiTheme="majorHAnsi" w:hAnsiTheme="majorHAnsi" w:cstheme="majorHAnsi"/>
          <w:sz w:val="20"/>
          <w:lang w:val="de-DE"/>
        </w:rPr>
      </w:pPr>
    </w:p>
    <w:p w14:paraId="1AC68A6F"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European Green Deal</w:t>
      </w:r>
    </w:p>
    <w:p w14:paraId="4DB98FDA" w14:textId="77777777" w:rsidR="00E357DE" w:rsidRPr="008D072D" w:rsidRDefault="00E357DE" w:rsidP="00E357DE">
      <w:pPr>
        <w:pStyle w:val="Listenabsatz"/>
        <w:numPr>
          <w:ilvl w:val="1"/>
          <w:numId w:val="8"/>
        </w:numPr>
        <w:spacing w:line="240" w:lineRule="auto"/>
        <w:rPr>
          <w:rFonts w:asciiTheme="majorHAnsi" w:hAnsiTheme="majorHAnsi" w:cstheme="majorHAnsi"/>
          <w:sz w:val="20"/>
          <w:szCs w:val="20"/>
          <w:lang w:val="de-DE"/>
        </w:rPr>
      </w:pPr>
      <w:r w:rsidRPr="008D072D">
        <w:rPr>
          <w:rFonts w:asciiTheme="majorHAnsi" w:hAnsiTheme="majorHAnsi" w:cstheme="majorHAnsi"/>
          <w:sz w:val="20"/>
          <w:szCs w:val="20"/>
          <w:lang w:val="de-DE"/>
        </w:rPr>
        <w:t>Welche Unternehmen sind berichtspflichtig</w:t>
      </w:r>
    </w:p>
    <w:p w14:paraId="62D07BA1" w14:textId="77777777" w:rsidR="00E357DE" w:rsidRPr="008D072D" w:rsidRDefault="00E357DE" w:rsidP="00E357DE">
      <w:pPr>
        <w:pStyle w:val="Listenabsatz"/>
        <w:numPr>
          <w:ilvl w:val="1"/>
          <w:numId w:val="8"/>
        </w:numPr>
        <w:spacing w:line="240" w:lineRule="auto"/>
        <w:rPr>
          <w:rFonts w:asciiTheme="majorHAnsi" w:hAnsiTheme="majorHAnsi" w:cstheme="majorHAnsi"/>
          <w:sz w:val="20"/>
          <w:szCs w:val="20"/>
          <w:lang w:val="de-DE"/>
        </w:rPr>
      </w:pPr>
      <w:r w:rsidRPr="008D072D">
        <w:rPr>
          <w:rFonts w:asciiTheme="majorHAnsi" w:hAnsiTheme="majorHAnsi" w:cstheme="majorHAnsi"/>
          <w:sz w:val="20"/>
          <w:szCs w:val="20"/>
          <w:lang w:val="de-DE"/>
        </w:rPr>
        <w:t>EU-Taxonomie Verordnung</w:t>
      </w:r>
    </w:p>
    <w:p w14:paraId="7323BCBB" w14:textId="77777777" w:rsidR="00E357DE" w:rsidRPr="008D072D" w:rsidRDefault="00E357DE" w:rsidP="00E357DE">
      <w:pPr>
        <w:pStyle w:val="Listenabsatz"/>
        <w:numPr>
          <w:ilvl w:val="2"/>
          <w:numId w:val="8"/>
        </w:numPr>
        <w:spacing w:line="240" w:lineRule="auto"/>
        <w:rPr>
          <w:rFonts w:asciiTheme="majorHAnsi" w:hAnsiTheme="majorHAnsi" w:cstheme="majorHAnsi"/>
          <w:sz w:val="20"/>
          <w:szCs w:val="20"/>
          <w:lang w:val="de-DE"/>
        </w:rPr>
      </w:pPr>
      <w:r w:rsidRPr="008D072D">
        <w:rPr>
          <w:rFonts w:asciiTheme="majorHAnsi" w:hAnsiTheme="majorHAnsi" w:cstheme="majorHAnsi"/>
          <w:sz w:val="20"/>
          <w:szCs w:val="20"/>
          <w:lang w:val="de-DE"/>
        </w:rPr>
        <w:t>Was sind die 6 Umweltziele der EU-Taxonomie</w:t>
      </w:r>
    </w:p>
    <w:p w14:paraId="3D0C4BB1" w14:textId="77777777" w:rsidR="00E357DE" w:rsidRDefault="00E357DE" w:rsidP="00E357DE">
      <w:pPr>
        <w:pStyle w:val="Listenabsatz"/>
        <w:numPr>
          <w:ilvl w:val="2"/>
          <w:numId w:val="8"/>
        </w:numPr>
        <w:spacing w:line="240" w:lineRule="auto"/>
        <w:rPr>
          <w:rFonts w:asciiTheme="majorHAnsi" w:hAnsiTheme="majorHAnsi" w:cstheme="majorHAnsi"/>
          <w:sz w:val="20"/>
          <w:szCs w:val="20"/>
          <w:lang w:val="de-DE"/>
        </w:rPr>
      </w:pPr>
      <w:r w:rsidRPr="008D072D">
        <w:rPr>
          <w:rFonts w:asciiTheme="majorHAnsi" w:hAnsiTheme="majorHAnsi" w:cstheme="majorHAnsi"/>
          <w:sz w:val="20"/>
          <w:szCs w:val="20"/>
          <w:lang w:val="de-DE"/>
        </w:rPr>
        <w:t xml:space="preserve">Mindestschutz: Minimum </w:t>
      </w:r>
      <w:proofErr w:type="spellStart"/>
      <w:r w:rsidRPr="008D072D">
        <w:rPr>
          <w:rFonts w:asciiTheme="majorHAnsi" w:hAnsiTheme="majorHAnsi" w:cstheme="majorHAnsi"/>
          <w:sz w:val="20"/>
          <w:szCs w:val="20"/>
          <w:lang w:val="de-DE"/>
        </w:rPr>
        <w:t>Safeguards</w:t>
      </w:r>
      <w:proofErr w:type="spellEnd"/>
    </w:p>
    <w:p w14:paraId="1BC0A596" w14:textId="77777777" w:rsidR="00E357DE" w:rsidRPr="008D072D" w:rsidRDefault="00E357DE" w:rsidP="00E357DE">
      <w:pPr>
        <w:pStyle w:val="Listenabsatz"/>
        <w:spacing w:line="240" w:lineRule="auto"/>
        <w:rPr>
          <w:rFonts w:asciiTheme="majorHAnsi" w:hAnsiTheme="majorHAnsi" w:cstheme="majorHAnsi"/>
          <w:sz w:val="20"/>
          <w:szCs w:val="20"/>
          <w:lang w:val="de-DE"/>
        </w:rPr>
      </w:pPr>
    </w:p>
    <w:p w14:paraId="489D2EA1"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Bewertungskriterien in der EU-Taxonomie</w:t>
      </w:r>
    </w:p>
    <w:p w14:paraId="5112A6BC"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szCs w:val="20"/>
          <w:lang w:val="de-DE"/>
        </w:rPr>
      </w:pPr>
      <w:r w:rsidRPr="008D072D">
        <w:rPr>
          <w:rFonts w:asciiTheme="majorHAnsi" w:hAnsiTheme="majorHAnsi" w:cstheme="majorHAnsi"/>
          <w:sz w:val="20"/>
          <w:szCs w:val="20"/>
          <w:lang w:val="de-DE"/>
        </w:rPr>
        <w:t>Sektoren der Taxonomie Verordnung</w:t>
      </w:r>
    </w:p>
    <w:p w14:paraId="539368BE"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szCs w:val="20"/>
          <w:lang w:val="de-DE"/>
        </w:rPr>
      </w:pPr>
      <w:r w:rsidRPr="008D072D">
        <w:rPr>
          <w:rFonts w:asciiTheme="majorHAnsi" w:hAnsiTheme="majorHAnsi" w:cstheme="majorHAnsi"/>
          <w:sz w:val="20"/>
          <w:szCs w:val="20"/>
          <w:lang w:val="de-DE"/>
        </w:rPr>
        <w:t>Wirtschaftliche Aktivitäten im Bausektor</w:t>
      </w:r>
    </w:p>
    <w:p w14:paraId="592610D2"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szCs w:val="20"/>
          <w:lang w:val="de-DE"/>
        </w:rPr>
      </w:pPr>
      <w:r w:rsidRPr="008D072D">
        <w:rPr>
          <w:rFonts w:asciiTheme="majorHAnsi" w:hAnsiTheme="majorHAnsi" w:cstheme="majorHAnsi"/>
          <w:sz w:val="20"/>
          <w:szCs w:val="20"/>
          <w:lang w:val="de-DE"/>
        </w:rPr>
        <w:t>DO NO SIGNIFICANT HARM – KRITERIEN (DNHS)</w:t>
      </w:r>
    </w:p>
    <w:p w14:paraId="2460334A"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szCs w:val="20"/>
          <w:lang w:val="de-DE"/>
        </w:rPr>
      </w:pPr>
      <w:r w:rsidRPr="008D072D">
        <w:rPr>
          <w:rFonts w:asciiTheme="majorHAnsi" w:hAnsiTheme="majorHAnsi" w:cstheme="majorHAnsi"/>
          <w:sz w:val="20"/>
          <w:szCs w:val="20"/>
          <w:lang w:val="de-DE"/>
        </w:rPr>
        <w:t>Klima- und Risikoanalyse</w:t>
      </w:r>
    </w:p>
    <w:p w14:paraId="199C600C"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szCs w:val="20"/>
          <w:lang w:val="de-DE"/>
        </w:rPr>
      </w:pPr>
      <w:r w:rsidRPr="008D072D">
        <w:rPr>
          <w:rFonts w:asciiTheme="majorHAnsi" w:hAnsiTheme="majorHAnsi" w:cstheme="majorHAnsi"/>
          <w:sz w:val="20"/>
          <w:lang w:val="de-DE"/>
        </w:rPr>
        <w:t>Technische Bewertungskriterien im Baugewerbe</w:t>
      </w:r>
    </w:p>
    <w:p w14:paraId="1F1D6EC0"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Umweltziel 1 – Klimaschutz</w:t>
      </w:r>
    </w:p>
    <w:p w14:paraId="472E6CAE"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Umweltziel 2 – Anpassung an den Klimawandel</w:t>
      </w:r>
    </w:p>
    <w:p w14:paraId="5B0C1A23"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Umweltziel 3 – Nachhaltige Nutzung und Schutz von Wasser- und Meeresressourcennutzung</w:t>
      </w:r>
    </w:p>
    <w:p w14:paraId="7A53A321" w14:textId="77777777" w:rsidR="00E357DE"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Fazit zur EU-Taxonomie im Baugewerbe</w:t>
      </w:r>
    </w:p>
    <w:p w14:paraId="75A610D6" w14:textId="77777777" w:rsidR="00E357DE" w:rsidRPr="00D95764" w:rsidRDefault="00E357DE" w:rsidP="00E357DE">
      <w:pPr>
        <w:spacing w:after="0"/>
        <w:rPr>
          <w:rFonts w:asciiTheme="majorHAnsi" w:hAnsiTheme="majorHAnsi" w:cstheme="majorHAnsi"/>
          <w:sz w:val="20"/>
          <w:lang w:val="de-DE"/>
        </w:rPr>
      </w:pPr>
    </w:p>
    <w:p w14:paraId="7EE0D8A6"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proofErr w:type="spellStart"/>
      <w:r w:rsidRPr="00D95764">
        <w:rPr>
          <w:rFonts w:asciiTheme="majorHAnsi" w:hAnsiTheme="majorHAnsi" w:cstheme="majorHAnsi"/>
          <w:b/>
          <w:sz w:val="24"/>
          <w:lang w:val="de-DE"/>
        </w:rPr>
        <w:t>Regulatoriken</w:t>
      </w:r>
      <w:proofErr w:type="spellEnd"/>
      <w:r w:rsidRPr="00D95764">
        <w:rPr>
          <w:rFonts w:asciiTheme="majorHAnsi" w:hAnsiTheme="majorHAnsi" w:cstheme="majorHAnsi"/>
          <w:b/>
          <w:sz w:val="24"/>
          <w:lang w:val="de-DE"/>
        </w:rPr>
        <w:t xml:space="preserve"> zur Nachhaltigkeit in der EU</w:t>
      </w:r>
    </w:p>
    <w:p w14:paraId="12E462B3"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Relevanz der Kreislaufwirtschaft</w:t>
      </w:r>
    </w:p>
    <w:p w14:paraId="5EAB3362"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EU- Bauprodukteverordnung (EU-</w:t>
      </w:r>
      <w:proofErr w:type="spellStart"/>
      <w:r w:rsidRPr="008D072D">
        <w:rPr>
          <w:rFonts w:asciiTheme="majorHAnsi" w:hAnsiTheme="majorHAnsi" w:cstheme="majorHAnsi"/>
          <w:sz w:val="20"/>
          <w:lang w:val="de-DE"/>
        </w:rPr>
        <w:t>BauPVO</w:t>
      </w:r>
      <w:proofErr w:type="spellEnd"/>
      <w:r w:rsidRPr="008D072D">
        <w:rPr>
          <w:rFonts w:asciiTheme="majorHAnsi" w:hAnsiTheme="majorHAnsi" w:cstheme="majorHAnsi"/>
          <w:sz w:val="20"/>
          <w:lang w:val="de-DE"/>
        </w:rPr>
        <w:t>)</w:t>
      </w:r>
    </w:p>
    <w:p w14:paraId="68DF25F1"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Ökodesign Verordnung (ESPR)</w:t>
      </w:r>
    </w:p>
    <w:p w14:paraId="53BF8B9B"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EU-Lieferkettengesetz (CSDDD)</w:t>
      </w:r>
    </w:p>
    <w:p w14:paraId="765B9937"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EU-Gebäuderichtlinie (EPBD)</w:t>
      </w:r>
    </w:p>
    <w:p w14:paraId="3311C001"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OIB 7 der nationale Plan</w:t>
      </w:r>
    </w:p>
    <w:p w14:paraId="4AFFA4EE"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Abfallwirtschaftsgesetz (AWG)</w:t>
      </w:r>
    </w:p>
    <w:p w14:paraId="4C670BA3"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 xml:space="preserve">Level(s) </w:t>
      </w:r>
    </w:p>
    <w:p w14:paraId="28364981" w14:textId="77777777" w:rsidR="00E357DE" w:rsidRPr="00D95764" w:rsidRDefault="00E357DE" w:rsidP="00E357DE">
      <w:pPr>
        <w:spacing w:line="360" w:lineRule="auto"/>
        <w:rPr>
          <w:rFonts w:cs="Arial"/>
          <w:sz w:val="20"/>
          <w:lang w:val="de-DE"/>
        </w:rPr>
      </w:pPr>
    </w:p>
    <w:p w14:paraId="45AE92CF"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 xml:space="preserve">ESG – Nachhaltigkeitsberichterstattung </w:t>
      </w:r>
    </w:p>
    <w:p w14:paraId="5542EAD6"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Status Quo der Berichtspflichterstattung national</w:t>
      </w:r>
    </w:p>
    <w:p w14:paraId="0337F334"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Berichtspflicht: Klein- und Mittelbetriebe (KMU)</w:t>
      </w:r>
    </w:p>
    <w:p w14:paraId="1479D51B"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Nachhaltigkeit als Chance für KMU</w:t>
      </w:r>
    </w:p>
    <w:p w14:paraId="20F11DAB"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Herausforderungen in Bezug auf ESG-Reporting</w:t>
      </w:r>
    </w:p>
    <w:p w14:paraId="5D0BDDB8"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ESG-Reporting: Der richtige Einstieg</w:t>
      </w:r>
    </w:p>
    <w:p w14:paraId="2B45C951"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ESG im Unternehmen</w:t>
      </w:r>
    </w:p>
    <w:p w14:paraId="2F48EA5D" w14:textId="77777777" w:rsidR="00E357DE"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Chronologie des ESG-</w:t>
      </w:r>
      <w:proofErr w:type="spellStart"/>
      <w:r w:rsidRPr="008D072D">
        <w:rPr>
          <w:rFonts w:asciiTheme="majorHAnsi" w:hAnsiTheme="majorHAnsi" w:cstheme="majorHAnsi"/>
          <w:sz w:val="20"/>
          <w:lang w:val="de-DE"/>
        </w:rPr>
        <w:t>Reportings</w:t>
      </w:r>
      <w:proofErr w:type="spellEnd"/>
    </w:p>
    <w:p w14:paraId="1B53C5A2" w14:textId="77777777" w:rsidR="00E357DE" w:rsidRPr="008D072D" w:rsidRDefault="00E357DE" w:rsidP="00E357DE">
      <w:pPr>
        <w:pStyle w:val="Listenabsatz"/>
        <w:spacing w:after="0" w:line="240" w:lineRule="auto"/>
        <w:ind w:left="360"/>
        <w:rPr>
          <w:rFonts w:asciiTheme="majorHAnsi" w:hAnsiTheme="majorHAnsi" w:cstheme="majorHAnsi"/>
          <w:sz w:val="20"/>
          <w:lang w:val="de-DE"/>
        </w:rPr>
      </w:pPr>
    </w:p>
    <w:p w14:paraId="77D19524" w14:textId="77777777" w:rsidR="00E357DE" w:rsidRDefault="00E357DE" w:rsidP="00E357DE">
      <w:pPr>
        <w:pStyle w:val="Listenabsatz"/>
        <w:spacing w:line="360" w:lineRule="auto"/>
        <w:rPr>
          <w:rFonts w:ascii="Arial" w:hAnsi="Arial" w:cs="Arial"/>
          <w:sz w:val="20"/>
          <w:lang w:val="de-DE"/>
        </w:rPr>
      </w:pPr>
    </w:p>
    <w:p w14:paraId="3E53763F"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 xml:space="preserve">ROAD MAP – ESG Reporting </w:t>
      </w:r>
    </w:p>
    <w:p w14:paraId="22EC2595"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Begleitung zum Thema Nachhaltigkeit</w:t>
      </w:r>
    </w:p>
    <w:p w14:paraId="586A7EAC"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Bewusstsein schaffen und ein Team bestimmen</w:t>
      </w:r>
    </w:p>
    <w:p w14:paraId="088A7982"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Umfeldanalyse und Datensammlung</w:t>
      </w:r>
    </w:p>
    <w:p w14:paraId="43642EB8"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Einbeziehung von Stakeholdern</w:t>
      </w:r>
    </w:p>
    <w:p w14:paraId="75610F0C"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lastRenderedPageBreak/>
        <w:t>Fragebögen an Stakeholder</w:t>
      </w:r>
    </w:p>
    <w:p w14:paraId="278B4722"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Auswertung zu erfolgten Rückmeldungen</w:t>
      </w:r>
    </w:p>
    <w:p w14:paraId="25349BED"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Energieverbräuche (GWP) auswerten</w:t>
      </w:r>
    </w:p>
    <w:p w14:paraId="6E4E8BE4"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Wesentlichkeitsanalyse</w:t>
      </w:r>
    </w:p>
    <w:p w14:paraId="56599DE4"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Ziele und Maßnahmen festlegen</w:t>
      </w:r>
    </w:p>
    <w:p w14:paraId="470B1B9B"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Nachhaltigkeitsbericht verfassen und veröffentlichen</w:t>
      </w:r>
    </w:p>
    <w:p w14:paraId="102ED2BE"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Ergebnisdarstellung – ESG Reporting Glorit Bausysteme GmbH</w:t>
      </w:r>
    </w:p>
    <w:p w14:paraId="6F5776CC" w14:textId="77777777" w:rsidR="00E357DE" w:rsidRPr="00E24471" w:rsidRDefault="00E357DE" w:rsidP="00E357DE">
      <w:pPr>
        <w:pStyle w:val="Listenabsatz"/>
        <w:spacing w:line="360" w:lineRule="auto"/>
        <w:ind w:left="360"/>
        <w:rPr>
          <w:rFonts w:ascii="Arial" w:hAnsi="Arial" w:cs="Arial"/>
          <w:sz w:val="20"/>
          <w:lang w:val="de-DE"/>
        </w:rPr>
      </w:pPr>
    </w:p>
    <w:p w14:paraId="09755DA9"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Praxisbeispiel: Bauweisenvergleich &amp; Wirtschaftlichkeitsanalyse – 22. Donaufelder Straße 174-178</w:t>
      </w:r>
    </w:p>
    <w:p w14:paraId="7696BF15"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Projektvorstellung - Städtebauliche Vorschriften</w:t>
      </w:r>
    </w:p>
    <w:p w14:paraId="102D8CA8"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Planunterlagen</w:t>
      </w:r>
    </w:p>
    <w:p w14:paraId="3E79BE9B" w14:textId="77777777" w:rsidR="00E357DE" w:rsidRPr="00D95764" w:rsidRDefault="00E357DE" w:rsidP="00E357DE">
      <w:pPr>
        <w:pStyle w:val="Listenabsatz"/>
        <w:numPr>
          <w:ilvl w:val="1"/>
          <w:numId w:val="8"/>
        </w:numPr>
        <w:spacing w:after="0" w:line="240" w:lineRule="auto"/>
        <w:rPr>
          <w:rFonts w:asciiTheme="majorHAnsi" w:hAnsiTheme="majorHAnsi" w:cstheme="majorHAnsi"/>
          <w:sz w:val="20"/>
          <w:lang w:val="de-DE"/>
        </w:rPr>
      </w:pPr>
      <w:r w:rsidRPr="00D95764">
        <w:rPr>
          <w:rFonts w:asciiTheme="majorHAnsi" w:hAnsiTheme="majorHAnsi" w:cstheme="majorHAnsi"/>
          <w:color w:val="FF0000"/>
          <w:sz w:val="20"/>
          <w:lang w:val="de-DE"/>
        </w:rPr>
        <w:t>Neuentwurf Holzbau</w:t>
      </w:r>
    </w:p>
    <w:p w14:paraId="5F921547" w14:textId="77777777" w:rsidR="00E357DE" w:rsidRPr="00D95764" w:rsidRDefault="00E357DE" w:rsidP="00E357DE">
      <w:pPr>
        <w:spacing w:after="0"/>
        <w:rPr>
          <w:rFonts w:asciiTheme="majorHAnsi" w:hAnsiTheme="majorHAnsi" w:cstheme="majorHAnsi"/>
          <w:sz w:val="20"/>
          <w:lang w:val="de-DE"/>
        </w:rPr>
      </w:pPr>
    </w:p>
    <w:p w14:paraId="02471DE3"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Kosten im Lebenszyklus (LCC) eines Gebäudes | Bauweisenvergleich</w:t>
      </w:r>
    </w:p>
    <w:p w14:paraId="7D523FD0"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Basiskennwerte zur Berechnung des Lebenszyklus</w:t>
      </w:r>
    </w:p>
    <w:p w14:paraId="5767112A"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Grundlagen für den Bauweisenvergleich</w:t>
      </w:r>
    </w:p>
    <w:p w14:paraId="280A59BE"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Kalkulatorischer Vergleich der Errichtungskosten</w:t>
      </w:r>
    </w:p>
    <w:p w14:paraId="30218D90"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Gegenüberstellung der Kostenhauptgruppen</w:t>
      </w:r>
    </w:p>
    <w:p w14:paraId="1240A85A"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Lebenszykluskostenberechnung</w:t>
      </w:r>
    </w:p>
    <w:p w14:paraId="558752C5" w14:textId="77777777" w:rsidR="00E357DE"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Zusammenfassende Analyse der Lebenszykluskosten</w:t>
      </w:r>
    </w:p>
    <w:p w14:paraId="437F33BF" w14:textId="77777777" w:rsidR="00E357DE" w:rsidRDefault="00E357DE" w:rsidP="00E357DE">
      <w:pPr>
        <w:pStyle w:val="Listenabsatz"/>
        <w:spacing w:line="360" w:lineRule="auto"/>
        <w:ind w:left="360"/>
        <w:rPr>
          <w:rFonts w:asciiTheme="majorHAnsi" w:hAnsiTheme="majorHAnsi" w:cstheme="majorHAnsi"/>
          <w:sz w:val="20"/>
          <w:lang w:val="de-DE"/>
        </w:rPr>
      </w:pPr>
    </w:p>
    <w:p w14:paraId="01F0FA9C"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Lebenszyklusanalyse (LCA) eines Gebäudes | Bauweisenvergleich</w:t>
      </w:r>
    </w:p>
    <w:p w14:paraId="14CAEC72" w14:textId="77777777" w:rsidR="00E357DE" w:rsidRDefault="00E357DE" w:rsidP="00E357DE">
      <w:pPr>
        <w:pStyle w:val="Listenabsatz"/>
        <w:numPr>
          <w:ilvl w:val="1"/>
          <w:numId w:val="8"/>
        </w:numPr>
        <w:spacing w:after="0" w:line="240" w:lineRule="auto"/>
        <w:rPr>
          <w:rFonts w:asciiTheme="majorHAnsi" w:hAnsiTheme="majorHAnsi" w:cstheme="majorHAnsi"/>
          <w:sz w:val="20"/>
          <w:lang w:val="de-DE"/>
        </w:rPr>
      </w:pPr>
      <w:r>
        <w:rPr>
          <w:rFonts w:asciiTheme="majorHAnsi" w:hAnsiTheme="majorHAnsi" w:cstheme="majorHAnsi"/>
          <w:sz w:val="20"/>
          <w:lang w:val="de-DE"/>
        </w:rPr>
        <w:t>Lebenszyklusphasen</w:t>
      </w:r>
    </w:p>
    <w:p w14:paraId="47DD869E" w14:textId="77777777" w:rsidR="00E357DE" w:rsidRDefault="00E357DE" w:rsidP="00E357DE">
      <w:pPr>
        <w:pStyle w:val="Listenabsatz"/>
        <w:numPr>
          <w:ilvl w:val="1"/>
          <w:numId w:val="8"/>
        </w:numPr>
        <w:spacing w:after="0" w:line="240" w:lineRule="auto"/>
        <w:rPr>
          <w:rFonts w:asciiTheme="majorHAnsi" w:hAnsiTheme="majorHAnsi" w:cstheme="majorHAnsi"/>
          <w:sz w:val="20"/>
          <w:lang w:val="de-DE"/>
        </w:rPr>
      </w:pPr>
      <w:r>
        <w:rPr>
          <w:rFonts w:asciiTheme="majorHAnsi" w:hAnsiTheme="majorHAnsi" w:cstheme="majorHAnsi"/>
          <w:sz w:val="20"/>
          <w:lang w:val="de-DE"/>
        </w:rPr>
        <w:t>Bewertungsmethode zur Ökobilanzierung</w:t>
      </w:r>
    </w:p>
    <w:p w14:paraId="18822488" w14:textId="77777777" w:rsidR="00E357DE" w:rsidRDefault="00E357DE" w:rsidP="00E357DE">
      <w:pPr>
        <w:pStyle w:val="Listenabsatz"/>
        <w:numPr>
          <w:ilvl w:val="2"/>
          <w:numId w:val="8"/>
        </w:numPr>
        <w:spacing w:after="0" w:line="240" w:lineRule="auto"/>
        <w:rPr>
          <w:rFonts w:asciiTheme="majorHAnsi" w:hAnsiTheme="majorHAnsi" w:cstheme="majorHAnsi"/>
          <w:sz w:val="20"/>
          <w:lang w:val="de-DE"/>
        </w:rPr>
      </w:pPr>
      <w:r>
        <w:rPr>
          <w:rFonts w:asciiTheme="majorHAnsi" w:hAnsiTheme="majorHAnsi" w:cstheme="majorHAnsi"/>
          <w:sz w:val="20"/>
          <w:lang w:val="de-DE"/>
        </w:rPr>
        <w:t>Bauweisenvergleich – Treibhauspotenzial (GWP)</w:t>
      </w:r>
    </w:p>
    <w:p w14:paraId="53C033AC" w14:textId="77777777" w:rsidR="00E357DE" w:rsidRDefault="00E357DE" w:rsidP="00E357DE">
      <w:pPr>
        <w:pStyle w:val="Listenabsatz"/>
        <w:numPr>
          <w:ilvl w:val="1"/>
          <w:numId w:val="8"/>
        </w:numPr>
        <w:spacing w:after="0" w:line="240" w:lineRule="auto"/>
        <w:rPr>
          <w:rFonts w:asciiTheme="majorHAnsi" w:hAnsiTheme="majorHAnsi" w:cstheme="majorHAnsi"/>
          <w:sz w:val="20"/>
          <w:lang w:val="de-DE"/>
        </w:rPr>
      </w:pPr>
      <w:r>
        <w:rPr>
          <w:rFonts w:asciiTheme="majorHAnsi" w:hAnsiTheme="majorHAnsi" w:cstheme="majorHAnsi"/>
          <w:sz w:val="20"/>
          <w:lang w:val="de-DE"/>
        </w:rPr>
        <w:t>Nutzen einer Ökobilanzierung</w:t>
      </w:r>
    </w:p>
    <w:p w14:paraId="0F8B2527" w14:textId="77777777" w:rsidR="00E357DE" w:rsidRPr="002F3E92" w:rsidRDefault="00E357DE" w:rsidP="00E357DE">
      <w:pPr>
        <w:pStyle w:val="Listenabsatz"/>
        <w:numPr>
          <w:ilvl w:val="1"/>
          <w:numId w:val="8"/>
        </w:numPr>
        <w:spacing w:after="0" w:line="240" w:lineRule="auto"/>
        <w:rPr>
          <w:rFonts w:asciiTheme="majorHAnsi" w:hAnsiTheme="majorHAnsi" w:cstheme="majorHAnsi"/>
          <w:sz w:val="20"/>
          <w:lang w:val="de-DE"/>
        </w:rPr>
      </w:pPr>
      <w:r>
        <w:rPr>
          <w:rFonts w:asciiTheme="majorHAnsi" w:hAnsiTheme="majorHAnsi" w:cstheme="majorHAnsi"/>
          <w:sz w:val="20"/>
          <w:lang w:val="de-DE"/>
        </w:rPr>
        <w:t>Kreislaufwirtschaft – Rückbaufähigkeit mit Holz</w:t>
      </w:r>
    </w:p>
    <w:p w14:paraId="681D1093" w14:textId="77777777" w:rsidR="00E357DE" w:rsidRDefault="00E357DE" w:rsidP="00E357DE">
      <w:pPr>
        <w:pStyle w:val="Listenabsatz"/>
        <w:spacing w:line="360" w:lineRule="auto"/>
        <w:ind w:left="360"/>
        <w:rPr>
          <w:rFonts w:asciiTheme="majorHAnsi" w:hAnsiTheme="majorHAnsi" w:cstheme="majorHAnsi"/>
          <w:sz w:val="20"/>
          <w:lang w:val="de-DE"/>
        </w:rPr>
      </w:pPr>
    </w:p>
    <w:p w14:paraId="3E11B537" w14:textId="77777777" w:rsidR="00E357DE" w:rsidRPr="008D072D" w:rsidRDefault="00E357DE" w:rsidP="00E357DE">
      <w:pPr>
        <w:pStyle w:val="Listenabsatz"/>
        <w:spacing w:line="360" w:lineRule="auto"/>
        <w:ind w:left="360"/>
        <w:rPr>
          <w:rFonts w:asciiTheme="majorHAnsi" w:hAnsiTheme="majorHAnsi" w:cstheme="majorHAnsi"/>
          <w:sz w:val="20"/>
          <w:lang w:val="de-DE"/>
        </w:rPr>
      </w:pPr>
    </w:p>
    <w:p w14:paraId="4861C257"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Gebäudezertifizierung im nachhaltigen Bauen</w:t>
      </w:r>
    </w:p>
    <w:p w14:paraId="696968C2"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Pr>
          <w:rFonts w:asciiTheme="majorHAnsi" w:hAnsiTheme="majorHAnsi" w:cstheme="majorHAnsi"/>
          <w:sz w:val="20"/>
          <w:lang w:val="de-DE"/>
        </w:rPr>
        <w:t xml:space="preserve"> </w:t>
      </w:r>
      <w:r w:rsidRPr="008D072D">
        <w:rPr>
          <w:rFonts w:asciiTheme="majorHAnsi" w:hAnsiTheme="majorHAnsi" w:cstheme="majorHAnsi"/>
          <w:sz w:val="20"/>
          <w:lang w:val="de-DE"/>
        </w:rPr>
        <w:t>Die wesentlichen Vorteile einer Gebäudezertifizierung</w:t>
      </w:r>
    </w:p>
    <w:p w14:paraId="0BE4BC90"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Pr>
          <w:rFonts w:asciiTheme="majorHAnsi" w:hAnsiTheme="majorHAnsi" w:cstheme="majorHAnsi"/>
          <w:sz w:val="20"/>
          <w:lang w:val="de-DE"/>
        </w:rPr>
        <w:t xml:space="preserve"> </w:t>
      </w:r>
      <w:r w:rsidRPr="008D072D">
        <w:rPr>
          <w:rFonts w:asciiTheme="majorHAnsi" w:hAnsiTheme="majorHAnsi" w:cstheme="majorHAnsi"/>
          <w:sz w:val="20"/>
          <w:lang w:val="de-DE"/>
        </w:rPr>
        <w:t xml:space="preserve">Zertifizierungssysteme im Bauwesen </w:t>
      </w:r>
    </w:p>
    <w:p w14:paraId="61228ADF"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proofErr w:type="spellStart"/>
      <w:r w:rsidRPr="008D072D">
        <w:rPr>
          <w:rFonts w:asciiTheme="majorHAnsi" w:hAnsiTheme="majorHAnsi" w:cstheme="majorHAnsi"/>
          <w:sz w:val="20"/>
          <w:lang w:val="de-DE"/>
        </w:rPr>
        <w:t>Breeam</w:t>
      </w:r>
      <w:proofErr w:type="spellEnd"/>
      <w:r w:rsidRPr="008D072D">
        <w:rPr>
          <w:rFonts w:asciiTheme="majorHAnsi" w:hAnsiTheme="majorHAnsi" w:cstheme="majorHAnsi"/>
          <w:sz w:val="20"/>
          <w:lang w:val="de-DE"/>
        </w:rPr>
        <w:t xml:space="preserve"> -Zertifizierungssystem</w:t>
      </w:r>
    </w:p>
    <w:p w14:paraId="05366D73"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LEED – Zertifizierungssystem</w:t>
      </w:r>
    </w:p>
    <w:p w14:paraId="14117F7D"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DGNB – Zertifizierungssystem</w:t>
      </w:r>
    </w:p>
    <w:p w14:paraId="7E54A66A"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ÖGNI – das nationale Zertifizierungssystem</w:t>
      </w:r>
    </w:p>
    <w:p w14:paraId="10811FB4"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Pr>
          <w:rFonts w:asciiTheme="majorHAnsi" w:hAnsiTheme="majorHAnsi" w:cstheme="majorHAnsi"/>
          <w:sz w:val="20"/>
          <w:lang w:val="de-DE"/>
        </w:rPr>
        <w:t xml:space="preserve"> </w:t>
      </w:r>
      <w:r w:rsidRPr="008D072D">
        <w:rPr>
          <w:rFonts w:asciiTheme="majorHAnsi" w:hAnsiTheme="majorHAnsi" w:cstheme="majorHAnsi"/>
          <w:sz w:val="20"/>
          <w:lang w:val="de-DE"/>
        </w:rPr>
        <w:t>Struktur des Kriterienkataloges nach ÖGNI/DGBN</w:t>
      </w:r>
    </w:p>
    <w:p w14:paraId="44AA0525" w14:textId="77777777" w:rsidR="00E357DE" w:rsidRDefault="00E357DE" w:rsidP="00E357DE">
      <w:pPr>
        <w:spacing w:line="360" w:lineRule="auto"/>
        <w:rPr>
          <w:rFonts w:cs="Arial"/>
          <w:sz w:val="20"/>
          <w:lang w:val="de-DE"/>
        </w:rPr>
      </w:pPr>
    </w:p>
    <w:p w14:paraId="49944497"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 xml:space="preserve">ROAD MAP – Green Building Zertifizierung nach ÖGNI/DBNG </w:t>
      </w:r>
    </w:p>
    <w:p w14:paraId="58184120"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 xml:space="preserve"> Beauftragung eines Auditors</w:t>
      </w:r>
    </w:p>
    <w:p w14:paraId="35875486"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 xml:space="preserve"> Der Zertifizierungsprozess in 5 Schritten</w:t>
      </w:r>
    </w:p>
    <w:p w14:paraId="23C261BD"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Vorbereitung – Anmeldung sowie Vorprüfung</w:t>
      </w:r>
    </w:p>
    <w:p w14:paraId="732C46F4"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Einreichung der Unterlagen</w:t>
      </w:r>
    </w:p>
    <w:p w14:paraId="04AB00CC"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Konformitätsprüfung nach ÖGNI/DGNB</w:t>
      </w:r>
    </w:p>
    <w:p w14:paraId="2F4A32DB"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Ergebnis und Verleihung</w:t>
      </w:r>
    </w:p>
    <w:p w14:paraId="4C8DBD7F"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Präsentation des Projektes durch ÖGNI</w:t>
      </w:r>
    </w:p>
    <w:p w14:paraId="74AB84FB"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Auszeichnung durch ÖGNI</w:t>
      </w:r>
    </w:p>
    <w:p w14:paraId="731974D6" w14:textId="77777777" w:rsidR="00E357DE" w:rsidRPr="009D026E" w:rsidRDefault="00E357DE" w:rsidP="00E357DE">
      <w:pPr>
        <w:pStyle w:val="Listenabsatz"/>
        <w:spacing w:line="360" w:lineRule="auto"/>
        <w:rPr>
          <w:rFonts w:cs="Arial"/>
          <w:sz w:val="20"/>
          <w:lang w:val="de-DE"/>
        </w:rPr>
      </w:pPr>
    </w:p>
    <w:p w14:paraId="32A42610" w14:textId="77777777" w:rsidR="00E357DE" w:rsidRPr="00D9576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lastRenderedPageBreak/>
        <w:t xml:space="preserve">Praxisbeispiel zum </w:t>
      </w:r>
      <w:proofErr w:type="spellStart"/>
      <w:r w:rsidRPr="00D95764">
        <w:rPr>
          <w:rFonts w:asciiTheme="majorHAnsi" w:hAnsiTheme="majorHAnsi" w:cstheme="majorHAnsi"/>
          <w:b/>
          <w:sz w:val="24"/>
          <w:lang w:val="de-DE"/>
        </w:rPr>
        <w:t>Pre</w:t>
      </w:r>
      <w:proofErr w:type="spellEnd"/>
      <w:r w:rsidRPr="00D95764">
        <w:rPr>
          <w:rFonts w:asciiTheme="majorHAnsi" w:hAnsiTheme="majorHAnsi" w:cstheme="majorHAnsi"/>
          <w:b/>
          <w:sz w:val="24"/>
          <w:lang w:val="de-DE"/>
        </w:rPr>
        <w:t>-Assessment einer Zertifizierung</w:t>
      </w:r>
    </w:p>
    <w:p w14:paraId="5E54F214" w14:textId="77777777" w:rsidR="00E357DE" w:rsidRPr="008D072D" w:rsidRDefault="00E357DE" w:rsidP="00E357DE">
      <w:pPr>
        <w:pStyle w:val="Listenabsatz"/>
        <w:numPr>
          <w:ilvl w:val="1"/>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 xml:space="preserve"> Ausgangslage zur Zertifizierung von Glorit Bausysteme GmbH</w:t>
      </w:r>
    </w:p>
    <w:p w14:paraId="7BD7C0EE"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 xml:space="preserve"> Erstbewertung des Ist-Zustandes</w:t>
      </w:r>
    </w:p>
    <w:p w14:paraId="1F11583C"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Zielsetzung definieren</w:t>
      </w:r>
    </w:p>
    <w:p w14:paraId="7772AD51"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 xml:space="preserve">System Grundlagen </w:t>
      </w:r>
    </w:p>
    <w:p w14:paraId="056FED1F"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Ergebnisdarstellung Erstbewertung nach ÖGNI/DGNB</w:t>
      </w:r>
    </w:p>
    <w:p w14:paraId="31E878EF" w14:textId="77777777" w:rsidR="00E357DE" w:rsidRPr="008D072D" w:rsidRDefault="00E357DE" w:rsidP="00E357DE">
      <w:pPr>
        <w:pStyle w:val="Listenabsatz"/>
        <w:numPr>
          <w:ilvl w:val="2"/>
          <w:numId w:val="8"/>
        </w:numPr>
        <w:spacing w:after="0" w:line="240" w:lineRule="auto"/>
        <w:rPr>
          <w:rFonts w:asciiTheme="majorHAnsi" w:hAnsiTheme="majorHAnsi" w:cstheme="majorHAnsi"/>
          <w:sz w:val="20"/>
          <w:lang w:val="de-DE"/>
        </w:rPr>
      </w:pPr>
      <w:r w:rsidRPr="008D072D">
        <w:rPr>
          <w:rFonts w:asciiTheme="majorHAnsi" w:hAnsiTheme="majorHAnsi" w:cstheme="majorHAnsi"/>
          <w:sz w:val="20"/>
          <w:lang w:val="de-DE"/>
        </w:rPr>
        <w:t xml:space="preserve">Der weitere Prozess nach einem </w:t>
      </w:r>
      <w:proofErr w:type="spellStart"/>
      <w:r w:rsidRPr="008D072D">
        <w:rPr>
          <w:rFonts w:asciiTheme="majorHAnsi" w:hAnsiTheme="majorHAnsi" w:cstheme="majorHAnsi"/>
          <w:sz w:val="20"/>
          <w:lang w:val="de-DE"/>
        </w:rPr>
        <w:t>Pre</w:t>
      </w:r>
      <w:proofErr w:type="spellEnd"/>
      <w:r w:rsidRPr="008D072D">
        <w:rPr>
          <w:rFonts w:asciiTheme="majorHAnsi" w:hAnsiTheme="majorHAnsi" w:cstheme="majorHAnsi"/>
          <w:sz w:val="20"/>
          <w:lang w:val="de-DE"/>
        </w:rPr>
        <w:t>-Assessment</w:t>
      </w:r>
    </w:p>
    <w:p w14:paraId="3E7424EB" w14:textId="77777777" w:rsidR="00E357DE" w:rsidRDefault="00E357DE" w:rsidP="00E357DE">
      <w:pPr>
        <w:pStyle w:val="Listenabsatz"/>
        <w:spacing w:after="0" w:line="240" w:lineRule="auto"/>
        <w:ind w:left="360"/>
        <w:rPr>
          <w:rFonts w:ascii="Arial" w:hAnsi="Arial" w:cs="Arial"/>
          <w:sz w:val="20"/>
          <w:lang w:val="de-DE"/>
        </w:rPr>
      </w:pPr>
    </w:p>
    <w:p w14:paraId="08B918C7" w14:textId="77777777" w:rsidR="00E357DE" w:rsidRDefault="00E357DE" w:rsidP="00E357DE">
      <w:pPr>
        <w:pStyle w:val="Listenabsatz"/>
        <w:spacing w:line="360" w:lineRule="auto"/>
        <w:ind w:left="360"/>
        <w:rPr>
          <w:rFonts w:ascii="Arial" w:hAnsi="Arial" w:cs="Arial"/>
          <w:sz w:val="20"/>
          <w:lang w:val="de-DE"/>
        </w:rPr>
      </w:pPr>
    </w:p>
    <w:p w14:paraId="3FF82FC2" w14:textId="77777777" w:rsidR="00E357DE" w:rsidRPr="00EB42D4" w:rsidRDefault="00E357DE" w:rsidP="00E357DE">
      <w:pPr>
        <w:pStyle w:val="Listenabsatz"/>
        <w:numPr>
          <w:ilvl w:val="0"/>
          <w:numId w:val="8"/>
        </w:numPr>
        <w:spacing w:line="360" w:lineRule="auto"/>
        <w:rPr>
          <w:rFonts w:asciiTheme="majorHAnsi" w:hAnsiTheme="majorHAnsi" w:cstheme="majorHAnsi"/>
          <w:b/>
          <w:sz w:val="24"/>
          <w:lang w:val="de-DE"/>
        </w:rPr>
      </w:pPr>
      <w:r w:rsidRPr="00D95764">
        <w:rPr>
          <w:rFonts w:asciiTheme="majorHAnsi" w:hAnsiTheme="majorHAnsi" w:cstheme="majorHAnsi"/>
          <w:b/>
          <w:sz w:val="24"/>
          <w:lang w:val="de-DE"/>
        </w:rPr>
        <w:t>Zusammenfassung zur Wirtschaftlichkeitsanalyse, Schlussfolgerung und Ausblick</w:t>
      </w:r>
    </w:p>
    <w:p w14:paraId="2F4CF86C" w14:textId="77777777" w:rsidR="00E357DE" w:rsidRPr="00D95764" w:rsidRDefault="00E357DE" w:rsidP="00E357DE">
      <w:pPr>
        <w:pStyle w:val="Listenabsatz"/>
        <w:spacing w:line="360" w:lineRule="auto"/>
        <w:ind w:left="360"/>
        <w:rPr>
          <w:rFonts w:asciiTheme="majorHAnsi" w:hAnsiTheme="majorHAnsi" w:cstheme="majorHAnsi"/>
          <w:b/>
          <w:sz w:val="24"/>
          <w:lang w:val="de-DE"/>
        </w:rPr>
      </w:pPr>
      <w:r w:rsidRPr="00D95764">
        <w:rPr>
          <w:rFonts w:asciiTheme="majorHAnsi" w:hAnsiTheme="majorHAnsi" w:cstheme="majorHAnsi"/>
          <w:b/>
          <w:sz w:val="24"/>
          <w:lang w:val="de-DE"/>
        </w:rPr>
        <w:t>Anhänge</w:t>
      </w:r>
    </w:p>
    <w:p w14:paraId="36E323FF" w14:textId="77777777" w:rsidR="00E357DE" w:rsidRPr="00D95764" w:rsidRDefault="00E357DE" w:rsidP="00E357DE">
      <w:pPr>
        <w:pStyle w:val="Listenabsatz"/>
        <w:spacing w:line="360" w:lineRule="auto"/>
        <w:ind w:left="360" w:firstLine="348"/>
        <w:rPr>
          <w:rFonts w:asciiTheme="majorHAnsi" w:hAnsiTheme="majorHAnsi" w:cstheme="majorHAnsi"/>
          <w:sz w:val="20"/>
          <w:lang w:val="de-DE"/>
        </w:rPr>
      </w:pPr>
      <w:r w:rsidRPr="00D95764">
        <w:rPr>
          <w:rFonts w:asciiTheme="majorHAnsi" w:hAnsiTheme="majorHAnsi" w:cstheme="majorHAnsi"/>
          <w:sz w:val="20"/>
          <w:lang w:val="de-DE"/>
        </w:rPr>
        <w:t xml:space="preserve">A - Wesentlichkeitsanalyse (ESG Reporting) </w:t>
      </w:r>
    </w:p>
    <w:p w14:paraId="42E8C288" w14:textId="77777777" w:rsidR="00E357DE" w:rsidRPr="00D95764" w:rsidRDefault="00E357DE" w:rsidP="00E357DE">
      <w:pPr>
        <w:pStyle w:val="Listenabsatz"/>
        <w:spacing w:line="360" w:lineRule="auto"/>
        <w:ind w:left="360" w:firstLine="348"/>
        <w:rPr>
          <w:rFonts w:asciiTheme="majorHAnsi" w:hAnsiTheme="majorHAnsi" w:cstheme="majorHAnsi"/>
          <w:sz w:val="20"/>
          <w:lang w:val="de-DE"/>
        </w:rPr>
      </w:pPr>
      <w:r w:rsidRPr="00D95764">
        <w:rPr>
          <w:rFonts w:asciiTheme="majorHAnsi" w:hAnsiTheme="majorHAnsi" w:cstheme="majorHAnsi"/>
          <w:sz w:val="20"/>
          <w:lang w:val="de-DE"/>
        </w:rPr>
        <w:t xml:space="preserve">B – ESG </w:t>
      </w:r>
      <w:proofErr w:type="spellStart"/>
      <w:r w:rsidRPr="00D95764">
        <w:rPr>
          <w:rFonts w:asciiTheme="majorHAnsi" w:hAnsiTheme="majorHAnsi" w:cstheme="majorHAnsi"/>
          <w:sz w:val="20"/>
          <w:lang w:val="de-DE"/>
        </w:rPr>
        <w:t>Reportingbericht</w:t>
      </w:r>
      <w:proofErr w:type="spellEnd"/>
      <w:r w:rsidRPr="00D95764">
        <w:rPr>
          <w:rFonts w:asciiTheme="majorHAnsi" w:hAnsiTheme="majorHAnsi" w:cstheme="majorHAnsi"/>
          <w:sz w:val="20"/>
          <w:lang w:val="de-DE"/>
        </w:rPr>
        <w:t xml:space="preserve"> Glorit Bausysteme GmbH 2023</w:t>
      </w:r>
    </w:p>
    <w:p w14:paraId="767BAD86" w14:textId="77777777" w:rsidR="00E357DE" w:rsidRPr="00D95764" w:rsidRDefault="00E357DE" w:rsidP="00E357DE">
      <w:pPr>
        <w:pStyle w:val="Listenabsatz"/>
        <w:spacing w:line="360" w:lineRule="auto"/>
        <w:ind w:left="360" w:firstLine="348"/>
        <w:rPr>
          <w:rFonts w:asciiTheme="majorHAnsi" w:hAnsiTheme="majorHAnsi" w:cstheme="majorHAnsi"/>
          <w:sz w:val="20"/>
          <w:lang w:val="de-DE"/>
        </w:rPr>
      </w:pPr>
      <w:r w:rsidRPr="00D95764">
        <w:rPr>
          <w:rFonts w:asciiTheme="majorHAnsi" w:hAnsiTheme="majorHAnsi" w:cstheme="majorHAnsi"/>
          <w:sz w:val="20"/>
          <w:lang w:val="de-DE"/>
        </w:rPr>
        <w:t>C - Tageslichtsimulation</w:t>
      </w:r>
    </w:p>
    <w:p w14:paraId="01BCF0E2" w14:textId="77777777" w:rsidR="00E357DE" w:rsidRPr="00D95764" w:rsidRDefault="00E357DE" w:rsidP="00E357DE">
      <w:pPr>
        <w:pStyle w:val="Listenabsatz"/>
        <w:spacing w:line="360" w:lineRule="auto"/>
        <w:ind w:left="360"/>
        <w:rPr>
          <w:rFonts w:asciiTheme="majorHAnsi" w:hAnsiTheme="majorHAnsi" w:cstheme="majorHAnsi"/>
          <w:sz w:val="20"/>
          <w:lang w:val="de-DE"/>
        </w:rPr>
      </w:pPr>
      <w:r w:rsidRPr="00D95764">
        <w:rPr>
          <w:rFonts w:asciiTheme="majorHAnsi" w:hAnsiTheme="majorHAnsi" w:cstheme="majorHAnsi"/>
          <w:sz w:val="20"/>
          <w:lang w:val="de-DE"/>
        </w:rPr>
        <w:tab/>
        <w:t xml:space="preserve">D – physische Klimarisikoanalyse </w:t>
      </w:r>
    </w:p>
    <w:p w14:paraId="4871C3AD" w14:textId="77777777" w:rsidR="00E357DE" w:rsidRPr="00D95764" w:rsidRDefault="00E357DE" w:rsidP="00E357DE">
      <w:pPr>
        <w:pStyle w:val="Listenabsatz"/>
        <w:spacing w:line="360" w:lineRule="auto"/>
        <w:ind w:left="360"/>
        <w:rPr>
          <w:rFonts w:asciiTheme="majorHAnsi" w:hAnsiTheme="majorHAnsi" w:cstheme="majorHAnsi"/>
          <w:sz w:val="20"/>
          <w:lang w:val="de-DE"/>
        </w:rPr>
      </w:pPr>
      <w:r w:rsidRPr="00D95764">
        <w:rPr>
          <w:rFonts w:asciiTheme="majorHAnsi" w:hAnsiTheme="majorHAnsi" w:cstheme="majorHAnsi"/>
          <w:sz w:val="20"/>
          <w:lang w:val="de-DE"/>
        </w:rPr>
        <w:tab/>
        <w:t>E – Auflistung Referenz Wärmebrückenkatalog</w:t>
      </w:r>
    </w:p>
    <w:p w14:paraId="4F6C98D1" w14:textId="77777777" w:rsidR="00E357DE" w:rsidRPr="00D95764" w:rsidRDefault="00E357DE" w:rsidP="00E357DE">
      <w:pPr>
        <w:pStyle w:val="Listenabsatz"/>
        <w:spacing w:line="360" w:lineRule="auto"/>
        <w:ind w:left="360"/>
        <w:rPr>
          <w:rFonts w:asciiTheme="majorHAnsi" w:hAnsiTheme="majorHAnsi" w:cstheme="majorHAnsi"/>
          <w:sz w:val="20"/>
          <w:lang w:val="de-DE"/>
        </w:rPr>
      </w:pPr>
      <w:r w:rsidRPr="00D95764">
        <w:rPr>
          <w:rFonts w:asciiTheme="majorHAnsi" w:hAnsiTheme="majorHAnsi" w:cstheme="majorHAnsi"/>
          <w:sz w:val="20"/>
          <w:lang w:val="de-DE"/>
        </w:rPr>
        <w:tab/>
        <w:t>F – Biodiversitätsanalyse</w:t>
      </w:r>
    </w:p>
    <w:p w14:paraId="6255A2F0" w14:textId="7C93872A" w:rsidR="00E357DE" w:rsidRPr="00E357DE" w:rsidRDefault="00E357DE" w:rsidP="00E357DE">
      <w:pPr>
        <w:rPr>
          <w:rFonts w:asciiTheme="majorHAnsi" w:hAnsiTheme="majorHAnsi" w:cstheme="majorHAnsi"/>
          <w:sz w:val="28"/>
        </w:rPr>
      </w:pPr>
    </w:p>
    <w:p w14:paraId="0A58B37F" w14:textId="77777777" w:rsidR="00E357DE" w:rsidRPr="00E24471" w:rsidRDefault="00E357DE" w:rsidP="00E357DE">
      <w:pPr>
        <w:rPr>
          <w:rFonts w:cs="Arial"/>
          <w:lang w:val="de-DE"/>
        </w:rPr>
      </w:pPr>
      <w:r w:rsidRPr="00E24471">
        <w:rPr>
          <w:rFonts w:cs="Arial"/>
          <w:lang w:val="de-DE"/>
        </w:rPr>
        <w:br w:type="page"/>
      </w:r>
    </w:p>
    <w:tbl>
      <w:tblPr>
        <w:tblW w:w="8800" w:type="dxa"/>
        <w:tblCellMar>
          <w:left w:w="70" w:type="dxa"/>
          <w:right w:w="70" w:type="dxa"/>
        </w:tblCellMar>
        <w:tblLook w:val="04A0" w:firstRow="1" w:lastRow="0" w:firstColumn="1" w:lastColumn="0" w:noHBand="0" w:noVBand="1"/>
      </w:tblPr>
      <w:tblGrid>
        <w:gridCol w:w="2880"/>
        <w:gridCol w:w="5920"/>
      </w:tblGrid>
      <w:tr w:rsidR="00E357DE" w:rsidRPr="00E357DE" w14:paraId="5604BE04" w14:textId="77777777" w:rsidTr="00796B92">
        <w:trPr>
          <w:trHeight w:val="360"/>
        </w:trPr>
        <w:tc>
          <w:tcPr>
            <w:tcW w:w="8800" w:type="dxa"/>
            <w:gridSpan w:val="2"/>
            <w:tcBorders>
              <w:top w:val="nil"/>
              <w:left w:val="nil"/>
              <w:bottom w:val="nil"/>
              <w:right w:val="nil"/>
            </w:tcBorders>
            <w:shd w:val="clear" w:color="auto" w:fill="auto"/>
            <w:noWrap/>
            <w:vAlign w:val="bottom"/>
            <w:hideMark/>
          </w:tcPr>
          <w:p w14:paraId="07EACE9B" w14:textId="77777777" w:rsidR="00E357DE" w:rsidRPr="00E357DE" w:rsidRDefault="00E357DE" w:rsidP="00796B92">
            <w:pPr>
              <w:spacing w:after="0"/>
              <w:rPr>
                <w:rFonts w:asciiTheme="majorHAnsi" w:hAnsiTheme="majorHAnsi" w:cstheme="majorHAnsi"/>
                <w:b/>
                <w:bCs/>
                <w:color w:val="FF0000"/>
                <w:sz w:val="28"/>
                <w:szCs w:val="28"/>
              </w:rPr>
            </w:pPr>
            <w:r w:rsidRPr="00E357DE">
              <w:rPr>
                <w:rFonts w:asciiTheme="majorHAnsi" w:hAnsiTheme="majorHAnsi" w:cstheme="majorHAnsi"/>
                <w:b/>
                <w:bCs/>
                <w:color w:val="FF0000"/>
                <w:sz w:val="28"/>
                <w:szCs w:val="28"/>
              </w:rPr>
              <w:lastRenderedPageBreak/>
              <w:t>Begriffe und Abkürzungen</w:t>
            </w:r>
          </w:p>
        </w:tc>
      </w:tr>
      <w:tr w:rsidR="00E357DE" w:rsidRPr="00E357DE" w14:paraId="09F0F6EB" w14:textId="77777777" w:rsidTr="00796B92">
        <w:trPr>
          <w:trHeight w:val="288"/>
        </w:trPr>
        <w:tc>
          <w:tcPr>
            <w:tcW w:w="2880" w:type="dxa"/>
            <w:tcBorders>
              <w:top w:val="nil"/>
              <w:left w:val="nil"/>
              <w:bottom w:val="nil"/>
              <w:right w:val="nil"/>
            </w:tcBorders>
            <w:shd w:val="clear" w:color="auto" w:fill="auto"/>
            <w:noWrap/>
            <w:vAlign w:val="bottom"/>
            <w:hideMark/>
          </w:tcPr>
          <w:p w14:paraId="0EFA71A7" w14:textId="77777777" w:rsidR="00E357DE" w:rsidRPr="00E357DE" w:rsidRDefault="00E357DE" w:rsidP="00796B92">
            <w:pPr>
              <w:spacing w:after="0"/>
              <w:rPr>
                <w:rFonts w:asciiTheme="majorHAnsi" w:hAnsiTheme="majorHAnsi" w:cstheme="majorHAnsi"/>
                <w:b/>
                <w:bCs/>
                <w:color w:val="FF0000"/>
                <w:sz w:val="28"/>
                <w:szCs w:val="28"/>
              </w:rPr>
            </w:pPr>
          </w:p>
        </w:tc>
        <w:tc>
          <w:tcPr>
            <w:tcW w:w="5920" w:type="dxa"/>
            <w:tcBorders>
              <w:top w:val="nil"/>
              <w:left w:val="nil"/>
              <w:bottom w:val="nil"/>
              <w:right w:val="nil"/>
            </w:tcBorders>
            <w:shd w:val="clear" w:color="auto" w:fill="auto"/>
            <w:noWrap/>
            <w:vAlign w:val="bottom"/>
            <w:hideMark/>
          </w:tcPr>
          <w:p w14:paraId="38E6D11C" w14:textId="77777777" w:rsidR="00E357DE" w:rsidRPr="00E357DE" w:rsidRDefault="00E357DE" w:rsidP="00796B92">
            <w:pPr>
              <w:spacing w:after="0"/>
              <w:rPr>
                <w:rFonts w:asciiTheme="majorHAnsi" w:hAnsiTheme="majorHAnsi" w:cstheme="majorHAnsi"/>
                <w:color w:val="FF0000"/>
                <w:sz w:val="20"/>
                <w:szCs w:val="20"/>
              </w:rPr>
            </w:pPr>
          </w:p>
        </w:tc>
      </w:tr>
      <w:tr w:rsidR="00E357DE" w:rsidRPr="00E357DE" w14:paraId="4F8CAB0E" w14:textId="77777777" w:rsidTr="00796B92">
        <w:trPr>
          <w:trHeight w:val="288"/>
        </w:trPr>
        <w:tc>
          <w:tcPr>
            <w:tcW w:w="2880" w:type="dxa"/>
            <w:tcBorders>
              <w:top w:val="nil"/>
              <w:left w:val="nil"/>
              <w:bottom w:val="nil"/>
              <w:right w:val="nil"/>
            </w:tcBorders>
            <w:shd w:val="clear" w:color="auto" w:fill="auto"/>
            <w:noWrap/>
            <w:vAlign w:val="bottom"/>
            <w:hideMark/>
          </w:tcPr>
          <w:p w14:paraId="7C3D3D61" w14:textId="77777777" w:rsidR="00E357DE" w:rsidRPr="00E357DE" w:rsidRDefault="00E357DE" w:rsidP="00796B92">
            <w:pPr>
              <w:spacing w:after="0"/>
              <w:rPr>
                <w:rFonts w:asciiTheme="majorHAnsi" w:hAnsiTheme="majorHAnsi" w:cstheme="majorHAnsi"/>
                <w:color w:val="FF0000"/>
                <w:sz w:val="20"/>
                <w:szCs w:val="20"/>
              </w:rPr>
            </w:pPr>
          </w:p>
        </w:tc>
        <w:tc>
          <w:tcPr>
            <w:tcW w:w="5920" w:type="dxa"/>
            <w:tcBorders>
              <w:top w:val="nil"/>
              <w:left w:val="nil"/>
              <w:bottom w:val="nil"/>
              <w:right w:val="nil"/>
            </w:tcBorders>
            <w:shd w:val="clear" w:color="auto" w:fill="auto"/>
            <w:noWrap/>
            <w:vAlign w:val="bottom"/>
            <w:hideMark/>
          </w:tcPr>
          <w:p w14:paraId="5468B24A" w14:textId="77777777" w:rsidR="00E357DE" w:rsidRPr="00E357DE" w:rsidRDefault="00E357DE" w:rsidP="00796B92">
            <w:pPr>
              <w:spacing w:after="0"/>
              <w:rPr>
                <w:rFonts w:asciiTheme="majorHAnsi" w:hAnsiTheme="majorHAnsi" w:cstheme="majorHAnsi"/>
                <w:color w:val="FF0000"/>
                <w:sz w:val="20"/>
                <w:szCs w:val="20"/>
              </w:rPr>
            </w:pPr>
          </w:p>
        </w:tc>
      </w:tr>
      <w:tr w:rsidR="00E357DE" w:rsidRPr="00E357DE" w14:paraId="3E44156B" w14:textId="77777777" w:rsidTr="00796B92">
        <w:trPr>
          <w:trHeight w:val="576"/>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628B20AF"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ESG</w:t>
            </w:r>
          </w:p>
        </w:tc>
        <w:tc>
          <w:tcPr>
            <w:tcW w:w="5920" w:type="dxa"/>
            <w:tcBorders>
              <w:top w:val="single" w:sz="4" w:space="0" w:color="auto"/>
              <w:left w:val="nil"/>
              <w:bottom w:val="single" w:sz="4" w:space="0" w:color="auto"/>
              <w:right w:val="single" w:sz="8" w:space="0" w:color="auto"/>
            </w:tcBorders>
            <w:shd w:val="clear" w:color="auto" w:fill="auto"/>
            <w:hideMark/>
          </w:tcPr>
          <w:p w14:paraId="0E71C94C"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 xml:space="preserve">Environmental, </w:t>
            </w:r>
            <w:proofErr w:type="spellStart"/>
            <w:r w:rsidRPr="00E357DE">
              <w:rPr>
                <w:rFonts w:asciiTheme="majorHAnsi" w:hAnsiTheme="majorHAnsi" w:cstheme="majorHAnsi"/>
                <w:color w:val="FF0000"/>
              </w:rPr>
              <w:t>Social</w:t>
            </w:r>
            <w:proofErr w:type="spellEnd"/>
            <w:r w:rsidRPr="00E357DE">
              <w:rPr>
                <w:rFonts w:asciiTheme="majorHAnsi" w:hAnsiTheme="majorHAnsi" w:cstheme="majorHAnsi"/>
                <w:color w:val="FF0000"/>
              </w:rPr>
              <w:t xml:space="preserve">, and </w:t>
            </w:r>
            <w:proofErr w:type="spellStart"/>
            <w:r w:rsidRPr="00E357DE">
              <w:rPr>
                <w:rFonts w:asciiTheme="majorHAnsi" w:hAnsiTheme="majorHAnsi" w:cstheme="majorHAnsi"/>
                <w:color w:val="FF0000"/>
              </w:rPr>
              <w:t>Governance</w:t>
            </w:r>
            <w:proofErr w:type="spellEnd"/>
            <w:r w:rsidRPr="00E357DE">
              <w:rPr>
                <w:rFonts w:asciiTheme="majorHAnsi" w:hAnsiTheme="majorHAnsi" w:cstheme="majorHAnsi"/>
                <w:color w:val="FF0000"/>
              </w:rPr>
              <w:br/>
              <w:t>(Umwelt, Soziales und Unternehmensführung)</w:t>
            </w:r>
          </w:p>
        </w:tc>
      </w:tr>
      <w:tr w:rsidR="00E357DE" w:rsidRPr="00E357DE" w14:paraId="4C0D15FC" w14:textId="77777777" w:rsidTr="00796B92">
        <w:trPr>
          <w:trHeight w:val="288"/>
        </w:trPr>
        <w:tc>
          <w:tcPr>
            <w:tcW w:w="2880" w:type="dxa"/>
            <w:tcBorders>
              <w:top w:val="nil"/>
              <w:left w:val="single" w:sz="8" w:space="0" w:color="auto"/>
              <w:bottom w:val="single" w:sz="4" w:space="0" w:color="auto"/>
              <w:right w:val="single" w:sz="4" w:space="0" w:color="auto"/>
            </w:tcBorders>
            <w:shd w:val="clear" w:color="auto" w:fill="auto"/>
            <w:noWrap/>
            <w:hideMark/>
          </w:tcPr>
          <w:p w14:paraId="54F6752C"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SFDR</w:t>
            </w:r>
          </w:p>
        </w:tc>
        <w:tc>
          <w:tcPr>
            <w:tcW w:w="5920" w:type="dxa"/>
            <w:tcBorders>
              <w:top w:val="nil"/>
              <w:left w:val="nil"/>
              <w:bottom w:val="single" w:sz="4" w:space="0" w:color="auto"/>
              <w:right w:val="single" w:sz="8" w:space="0" w:color="auto"/>
            </w:tcBorders>
            <w:shd w:val="clear" w:color="auto" w:fill="auto"/>
            <w:noWrap/>
            <w:hideMark/>
          </w:tcPr>
          <w:p w14:paraId="0DFA07E2" w14:textId="77777777" w:rsidR="00E357DE" w:rsidRPr="00E357DE" w:rsidRDefault="00E357DE" w:rsidP="00796B92">
            <w:pPr>
              <w:spacing w:after="0"/>
              <w:rPr>
                <w:rFonts w:asciiTheme="majorHAnsi" w:hAnsiTheme="majorHAnsi" w:cstheme="majorHAnsi"/>
                <w:color w:val="FF0000"/>
              </w:rPr>
            </w:pPr>
            <w:proofErr w:type="spellStart"/>
            <w:r w:rsidRPr="00E357DE">
              <w:rPr>
                <w:rFonts w:asciiTheme="majorHAnsi" w:hAnsiTheme="majorHAnsi" w:cstheme="majorHAnsi"/>
                <w:color w:val="FF0000"/>
              </w:rPr>
              <w:t>Sustainable</w:t>
            </w:r>
            <w:proofErr w:type="spellEnd"/>
            <w:r w:rsidRPr="00E357DE">
              <w:rPr>
                <w:rFonts w:asciiTheme="majorHAnsi" w:hAnsiTheme="majorHAnsi" w:cstheme="majorHAnsi"/>
                <w:color w:val="FF0000"/>
              </w:rPr>
              <w:t xml:space="preserve"> Finance Disclosure Regulation</w:t>
            </w:r>
          </w:p>
        </w:tc>
      </w:tr>
      <w:tr w:rsidR="00E357DE" w:rsidRPr="00E357DE" w14:paraId="6C82D8A5" w14:textId="77777777" w:rsidTr="00796B92">
        <w:trPr>
          <w:trHeight w:val="576"/>
        </w:trPr>
        <w:tc>
          <w:tcPr>
            <w:tcW w:w="2880" w:type="dxa"/>
            <w:tcBorders>
              <w:top w:val="nil"/>
              <w:left w:val="single" w:sz="8" w:space="0" w:color="auto"/>
              <w:bottom w:val="single" w:sz="4" w:space="0" w:color="auto"/>
              <w:right w:val="single" w:sz="4" w:space="0" w:color="auto"/>
            </w:tcBorders>
            <w:shd w:val="clear" w:color="auto" w:fill="auto"/>
            <w:noWrap/>
            <w:hideMark/>
          </w:tcPr>
          <w:p w14:paraId="2D1136D2"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NFRD</w:t>
            </w:r>
          </w:p>
        </w:tc>
        <w:tc>
          <w:tcPr>
            <w:tcW w:w="5920" w:type="dxa"/>
            <w:tcBorders>
              <w:top w:val="nil"/>
              <w:left w:val="nil"/>
              <w:bottom w:val="single" w:sz="4" w:space="0" w:color="auto"/>
              <w:right w:val="single" w:sz="8" w:space="0" w:color="auto"/>
            </w:tcBorders>
            <w:shd w:val="clear" w:color="auto" w:fill="auto"/>
            <w:hideMark/>
          </w:tcPr>
          <w:p w14:paraId="0870DAB4"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 xml:space="preserve">Non-Financial Reporting </w:t>
            </w:r>
            <w:proofErr w:type="spellStart"/>
            <w:r w:rsidRPr="00E357DE">
              <w:rPr>
                <w:rFonts w:asciiTheme="majorHAnsi" w:hAnsiTheme="majorHAnsi" w:cstheme="majorHAnsi"/>
                <w:color w:val="FF0000"/>
              </w:rPr>
              <w:t>Directive</w:t>
            </w:r>
            <w:proofErr w:type="spellEnd"/>
            <w:r w:rsidRPr="00E357DE">
              <w:rPr>
                <w:rFonts w:asciiTheme="majorHAnsi" w:hAnsiTheme="majorHAnsi" w:cstheme="majorHAnsi"/>
                <w:color w:val="FF0000"/>
              </w:rPr>
              <w:t xml:space="preserve"> (für börsenorientierte Unternehmen), mittlerweile gegen CSRD ersetzt</w:t>
            </w:r>
          </w:p>
        </w:tc>
      </w:tr>
      <w:tr w:rsidR="00E357DE" w:rsidRPr="00E357DE" w14:paraId="3A17E50E" w14:textId="77777777" w:rsidTr="00796B92">
        <w:trPr>
          <w:trHeight w:val="288"/>
        </w:trPr>
        <w:tc>
          <w:tcPr>
            <w:tcW w:w="2880" w:type="dxa"/>
            <w:tcBorders>
              <w:top w:val="nil"/>
              <w:left w:val="single" w:sz="8" w:space="0" w:color="auto"/>
              <w:bottom w:val="single" w:sz="4" w:space="0" w:color="auto"/>
              <w:right w:val="single" w:sz="4" w:space="0" w:color="auto"/>
            </w:tcBorders>
            <w:shd w:val="clear" w:color="auto" w:fill="auto"/>
            <w:noWrap/>
            <w:hideMark/>
          </w:tcPr>
          <w:p w14:paraId="72BE270D"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CSRD</w:t>
            </w:r>
          </w:p>
        </w:tc>
        <w:tc>
          <w:tcPr>
            <w:tcW w:w="5920" w:type="dxa"/>
            <w:tcBorders>
              <w:top w:val="nil"/>
              <w:left w:val="nil"/>
              <w:bottom w:val="single" w:sz="4" w:space="0" w:color="auto"/>
              <w:right w:val="single" w:sz="8" w:space="0" w:color="auto"/>
            </w:tcBorders>
            <w:shd w:val="clear" w:color="auto" w:fill="auto"/>
            <w:noWrap/>
            <w:hideMark/>
          </w:tcPr>
          <w:p w14:paraId="03ED1A55"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 xml:space="preserve">Corporate </w:t>
            </w:r>
            <w:proofErr w:type="spellStart"/>
            <w:r w:rsidRPr="00E357DE">
              <w:rPr>
                <w:rFonts w:asciiTheme="majorHAnsi" w:hAnsiTheme="majorHAnsi" w:cstheme="majorHAnsi"/>
                <w:color w:val="FF0000"/>
              </w:rPr>
              <w:t>Sustainability</w:t>
            </w:r>
            <w:proofErr w:type="spellEnd"/>
            <w:r w:rsidRPr="00E357DE">
              <w:rPr>
                <w:rFonts w:asciiTheme="majorHAnsi" w:hAnsiTheme="majorHAnsi" w:cstheme="majorHAnsi"/>
                <w:color w:val="FF0000"/>
              </w:rPr>
              <w:t xml:space="preserve"> Reporting </w:t>
            </w:r>
            <w:proofErr w:type="spellStart"/>
            <w:r w:rsidRPr="00E357DE">
              <w:rPr>
                <w:rFonts w:asciiTheme="majorHAnsi" w:hAnsiTheme="majorHAnsi" w:cstheme="majorHAnsi"/>
                <w:color w:val="FF0000"/>
              </w:rPr>
              <w:t>Directive</w:t>
            </w:r>
            <w:proofErr w:type="spellEnd"/>
          </w:p>
        </w:tc>
      </w:tr>
      <w:tr w:rsidR="00E357DE" w:rsidRPr="00E357DE" w14:paraId="6D3806AD" w14:textId="77777777" w:rsidTr="00796B92">
        <w:trPr>
          <w:trHeight w:val="288"/>
        </w:trPr>
        <w:tc>
          <w:tcPr>
            <w:tcW w:w="2880" w:type="dxa"/>
            <w:tcBorders>
              <w:top w:val="nil"/>
              <w:left w:val="single" w:sz="8" w:space="0" w:color="auto"/>
              <w:bottom w:val="single" w:sz="4" w:space="0" w:color="auto"/>
              <w:right w:val="single" w:sz="4" w:space="0" w:color="auto"/>
            </w:tcBorders>
            <w:shd w:val="clear" w:color="auto" w:fill="auto"/>
            <w:noWrap/>
            <w:hideMark/>
          </w:tcPr>
          <w:p w14:paraId="41BB0A13"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LCA</w:t>
            </w:r>
          </w:p>
        </w:tc>
        <w:tc>
          <w:tcPr>
            <w:tcW w:w="5920" w:type="dxa"/>
            <w:tcBorders>
              <w:top w:val="nil"/>
              <w:left w:val="nil"/>
              <w:bottom w:val="single" w:sz="4" w:space="0" w:color="auto"/>
              <w:right w:val="single" w:sz="8" w:space="0" w:color="auto"/>
            </w:tcBorders>
            <w:shd w:val="clear" w:color="auto" w:fill="auto"/>
            <w:noWrap/>
            <w:hideMark/>
          </w:tcPr>
          <w:p w14:paraId="3F7E5963"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Life Cycle Assessment</w:t>
            </w:r>
          </w:p>
        </w:tc>
      </w:tr>
      <w:tr w:rsidR="00E357DE" w:rsidRPr="00E357DE" w14:paraId="2C46F891" w14:textId="77777777" w:rsidTr="00796B92">
        <w:trPr>
          <w:trHeight w:val="288"/>
        </w:trPr>
        <w:tc>
          <w:tcPr>
            <w:tcW w:w="2880" w:type="dxa"/>
            <w:tcBorders>
              <w:top w:val="nil"/>
              <w:left w:val="single" w:sz="8" w:space="0" w:color="auto"/>
              <w:bottom w:val="single" w:sz="4" w:space="0" w:color="auto"/>
              <w:right w:val="single" w:sz="4" w:space="0" w:color="auto"/>
            </w:tcBorders>
            <w:shd w:val="clear" w:color="auto" w:fill="auto"/>
            <w:noWrap/>
            <w:hideMark/>
          </w:tcPr>
          <w:p w14:paraId="19650147"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LCC</w:t>
            </w:r>
          </w:p>
        </w:tc>
        <w:tc>
          <w:tcPr>
            <w:tcW w:w="5920" w:type="dxa"/>
            <w:tcBorders>
              <w:top w:val="nil"/>
              <w:left w:val="nil"/>
              <w:bottom w:val="single" w:sz="4" w:space="0" w:color="auto"/>
              <w:right w:val="single" w:sz="8" w:space="0" w:color="auto"/>
            </w:tcBorders>
            <w:shd w:val="clear" w:color="auto" w:fill="auto"/>
            <w:noWrap/>
            <w:hideMark/>
          </w:tcPr>
          <w:p w14:paraId="52EEBFF5"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 xml:space="preserve">Life Cycle </w:t>
            </w:r>
            <w:proofErr w:type="spellStart"/>
            <w:r w:rsidRPr="00E357DE">
              <w:rPr>
                <w:rFonts w:asciiTheme="majorHAnsi" w:hAnsiTheme="majorHAnsi" w:cstheme="majorHAnsi"/>
                <w:color w:val="FF0000"/>
              </w:rPr>
              <w:t>Costing</w:t>
            </w:r>
            <w:proofErr w:type="spellEnd"/>
          </w:p>
        </w:tc>
      </w:tr>
      <w:tr w:rsidR="00E357DE" w:rsidRPr="00E357DE" w14:paraId="0CE07B99" w14:textId="77777777" w:rsidTr="00796B92">
        <w:trPr>
          <w:trHeight w:val="288"/>
        </w:trPr>
        <w:tc>
          <w:tcPr>
            <w:tcW w:w="2880" w:type="dxa"/>
            <w:tcBorders>
              <w:top w:val="nil"/>
              <w:left w:val="single" w:sz="8" w:space="0" w:color="auto"/>
              <w:bottom w:val="single" w:sz="4" w:space="0" w:color="auto"/>
              <w:right w:val="single" w:sz="4" w:space="0" w:color="auto"/>
            </w:tcBorders>
            <w:shd w:val="clear" w:color="auto" w:fill="auto"/>
            <w:noWrap/>
            <w:hideMark/>
          </w:tcPr>
          <w:p w14:paraId="39BA8EFE"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CSDDD</w:t>
            </w:r>
          </w:p>
        </w:tc>
        <w:tc>
          <w:tcPr>
            <w:tcW w:w="5920" w:type="dxa"/>
            <w:tcBorders>
              <w:top w:val="nil"/>
              <w:left w:val="nil"/>
              <w:bottom w:val="single" w:sz="4" w:space="0" w:color="auto"/>
              <w:right w:val="single" w:sz="8" w:space="0" w:color="auto"/>
            </w:tcBorders>
            <w:shd w:val="clear" w:color="auto" w:fill="auto"/>
            <w:noWrap/>
            <w:hideMark/>
          </w:tcPr>
          <w:p w14:paraId="450C8894"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 xml:space="preserve">Corporate </w:t>
            </w:r>
            <w:proofErr w:type="spellStart"/>
            <w:r w:rsidRPr="00E357DE">
              <w:rPr>
                <w:rFonts w:asciiTheme="majorHAnsi" w:hAnsiTheme="majorHAnsi" w:cstheme="majorHAnsi"/>
                <w:color w:val="FF0000"/>
              </w:rPr>
              <w:t>Sustainability</w:t>
            </w:r>
            <w:proofErr w:type="spellEnd"/>
            <w:r w:rsidRPr="00E357DE">
              <w:rPr>
                <w:rFonts w:asciiTheme="majorHAnsi" w:hAnsiTheme="majorHAnsi" w:cstheme="majorHAnsi"/>
                <w:color w:val="FF0000"/>
              </w:rPr>
              <w:t xml:space="preserve"> Due Diligence </w:t>
            </w:r>
            <w:proofErr w:type="spellStart"/>
            <w:r w:rsidRPr="00E357DE">
              <w:rPr>
                <w:rFonts w:asciiTheme="majorHAnsi" w:hAnsiTheme="majorHAnsi" w:cstheme="majorHAnsi"/>
                <w:color w:val="FF0000"/>
              </w:rPr>
              <w:t>Directive</w:t>
            </w:r>
            <w:proofErr w:type="spellEnd"/>
          </w:p>
        </w:tc>
      </w:tr>
      <w:tr w:rsidR="00E357DE" w:rsidRPr="00E357DE" w14:paraId="3E33A212" w14:textId="77777777" w:rsidTr="00796B92">
        <w:trPr>
          <w:trHeight w:val="288"/>
        </w:trPr>
        <w:tc>
          <w:tcPr>
            <w:tcW w:w="2880" w:type="dxa"/>
            <w:tcBorders>
              <w:top w:val="nil"/>
              <w:left w:val="single" w:sz="8" w:space="0" w:color="auto"/>
              <w:bottom w:val="single" w:sz="4" w:space="0" w:color="auto"/>
              <w:right w:val="single" w:sz="4" w:space="0" w:color="auto"/>
            </w:tcBorders>
            <w:shd w:val="clear" w:color="auto" w:fill="auto"/>
            <w:noWrap/>
            <w:hideMark/>
          </w:tcPr>
          <w:p w14:paraId="1AF24A4A"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OIB</w:t>
            </w:r>
          </w:p>
        </w:tc>
        <w:tc>
          <w:tcPr>
            <w:tcW w:w="5920" w:type="dxa"/>
            <w:tcBorders>
              <w:top w:val="nil"/>
              <w:left w:val="nil"/>
              <w:bottom w:val="single" w:sz="4" w:space="0" w:color="auto"/>
              <w:right w:val="single" w:sz="8" w:space="0" w:color="auto"/>
            </w:tcBorders>
            <w:shd w:val="clear" w:color="auto" w:fill="auto"/>
            <w:noWrap/>
            <w:hideMark/>
          </w:tcPr>
          <w:p w14:paraId="5C18CB14"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Österreichisches Institut für Bautechnik</w:t>
            </w:r>
          </w:p>
        </w:tc>
      </w:tr>
      <w:tr w:rsidR="00E357DE" w:rsidRPr="00E357DE" w14:paraId="34EAF719" w14:textId="77777777" w:rsidTr="00796B92">
        <w:trPr>
          <w:trHeight w:val="288"/>
        </w:trPr>
        <w:tc>
          <w:tcPr>
            <w:tcW w:w="2880" w:type="dxa"/>
            <w:tcBorders>
              <w:top w:val="nil"/>
              <w:left w:val="single" w:sz="8" w:space="0" w:color="auto"/>
              <w:bottom w:val="single" w:sz="4" w:space="0" w:color="auto"/>
              <w:right w:val="single" w:sz="4" w:space="0" w:color="auto"/>
            </w:tcBorders>
            <w:shd w:val="clear" w:color="auto" w:fill="auto"/>
            <w:noWrap/>
            <w:hideMark/>
          </w:tcPr>
          <w:p w14:paraId="5DDD6447"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DNSH</w:t>
            </w:r>
          </w:p>
        </w:tc>
        <w:tc>
          <w:tcPr>
            <w:tcW w:w="5920" w:type="dxa"/>
            <w:tcBorders>
              <w:top w:val="nil"/>
              <w:left w:val="nil"/>
              <w:bottom w:val="single" w:sz="4" w:space="0" w:color="auto"/>
              <w:right w:val="single" w:sz="8" w:space="0" w:color="auto"/>
            </w:tcBorders>
            <w:shd w:val="clear" w:color="auto" w:fill="auto"/>
            <w:noWrap/>
            <w:hideMark/>
          </w:tcPr>
          <w:p w14:paraId="115CEC89"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 xml:space="preserve">Do </w:t>
            </w:r>
            <w:proofErr w:type="spellStart"/>
            <w:r w:rsidRPr="00E357DE">
              <w:rPr>
                <w:rFonts w:asciiTheme="majorHAnsi" w:hAnsiTheme="majorHAnsi" w:cstheme="majorHAnsi"/>
                <w:color w:val="FF0000"/>
              </w:rPr>
              <w:t>No</w:t>
            </w:r>
            <w:proofErr w:type="spellEnd"/>
            <w:r w:rsidRPr="00E357DE">
              <w:rPr>
                <w:rFonts w:asciiTheme="majorHAnsi" w:hAnsiTheme="majorHAnsi" w:cstheme="majorHAnsi"/>
                <w:color w:val="FF0000"/>
              </w:rPr>
              <w:t xml:space="preserve"> </w:t>
            </w:r>
            <w:proofErr w:type="spellStart"/>
            <w:r w:rsidRPr="00E357DE">
              <w:rPr>
                <w:rFonts w:asciiTheme="majorHAnsi" w:hAnsiTheme="majorHAnsi" w:cstheme="majorHAnsi"/>
                <w:color w:val="FF0000"/>
              </w:rPr>
              <w:t>Significant</w:t>
            </w:r>
            <w:proofErr w:type="spellEnd"/>
            <w:r w:rsidRPr="00E357DE">
              <w:rPr>
                <w:rFonts w:asciiTheme="majorHAnsi" w:hAnsiTheme="majorHAnsi" w:cstheme="majorHAnsi"/>
                <w:color w:val="FF0000"/>
              </w:rPr>
              <w:t xml:space="preserve"> Harm Prinzip (keine erheblichen Schäden)</w:t>
            </w:r>
          </w:p>
        </w:tc>
      </w:tr>
      <w:tr w:rsidR="00E357DE" w:rsidRPr="00E357DE" w14:paraId="2641A76D" w14:textId="77777777" w:rsidTr="00796B92">
        <w:trPr>
          <w:trHeight w:val="288"/>
        </w:trPr>
        <w:tc>
          <w:tcPr>
            <w:tcW w:w="2880" w:type="dxa"/>
            <w:tcBorders>
              <w:top w:val="nil"/>
              <w:left w:val="single" w:sz="8" w:space="0" w:color="auto"/>
              <w:bottom w:val="single" w:sz="4" w:space="0" w:color="auto"/>
              <w:right w:val="single" w:sz="4" w:space="0" w:color="auto"/>
            </w:tcBorders>
            <w:shd w:val="clear" w:color="auto" w:fill="auto"/>
            <w:noWrap/>
            <w:hideMark/>
          </w:tcPr>
          <w:p w14:paraId="35163DD1"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EFRAG</w:t>
            </w:r>
          </w:p>
        </w:tc>
        <w:tc>
          <w:tcPr>
            <w:tcW w:w="5920" w:type="dxa"/>
            <w:tcBorders>
              <w:top w:val="nil"/>
              <w:left w:val="nil"/>
              <w:bottom w:val="single" w:sz="4" w:space="0" w:color="auto"/>
              <w:right w:val="single" w:sz="8" w:space="0" w:color="auto"/>
            </w:tcBorders>
            <w:shd w:val="clear" w:color="auto" w:fill="auto"/>
            <w:noWrap/>
            <w:hideMark/>
          </w:tcPr>
          <w:p w14:paraId="314E5C8F"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European Financial Reporting Advisory</w:t>
            </w:r>
          </w:p>
        </w:tc>
      </w:tr>
      <w:tr w:rsidR="00E357DE" w:rsidRPr="00E357DE" w14:paraId="7139DD16" w14:textId="77777777" w:rsidTr="00796B92">
        <w:trPr>
          <w:trHeight w:val="288"/>
        </w:trPr>
        <w:tc>
          <w:tcPr>
            <w:tcW w:w="2880" w:type="dxa"/>
            <w:tcBorders>
              <w:top w:val="nil"/>
              <w:left w:val="single" w:sz="8" w:space="0" w:color="auto"/>
              <w:bottom w:val="single" w:sz="4" w:space="0" w:color="auto"/>
              <w:right w:val="single" w:sz="4" w:space="0" w:color="auto"/>
            </w:tcBorders>
            <w:shd w:val="clear" w:color="auto" w:fill="auto"/>
            <w:noWrap/>
            <w:hideMark/>
          </w:tcPr>
          <w:p w14:paraId="3FC0D365"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GHG</w:t>
            </w:r>
          </w:p>
        </w:tc>
        <w:tc>
          <w:tcPr>
            <w:tcW w:w="5920" w:type="dxa"/>
            <w:tcBorders>
              <w:top w:val="nil"/>
              <w:left w:val="nil"/>
              <w:bottom w:val="single" w:sz="4" w:space="0" w:color="auto"/>
              <w:right w:val="single" w:sz="8" w:space="0" w:color="auto"/>
            </w:tcBorders>
            <w:shd w:val="clear" w:color="auto" w:fill="auto"/>
            <w:noWrap/>
            <w:hideMark/>
          </w:tcPr>
          <w:p w14:paraId="637A9884" w14:textId="77777777" w:rsidR="00E357DE" w:rsidRPr="00E357DE" w:rsidRDefault="00E357DE" w:rsidP="00796B92">
            <w:pPr>
              <w:spacing w:after="0"/>
              <w:rPr>
                <w:rFonts w:asciiTheme="majorHAnsi" w:hAnsiTheme="majorHAnsi" w:cstheme="majorHAnsi"/>
                <w:color w:val="FF0000"/>
              </w:rPr>
            </w:pPr>
            <w:proofErr w:type="spellStart"/>
            <w:r w:rsidRPr="00E357DE">
              <w:rPr>
                <w:rFonts w:asciiTheme="majorHAnsi" w:hAnsiTheme="majorHAnsi" w:cstheme="majorHAnsi"/>
                <w:color w:val="FF0000"/>
              </w:rPr>
              <w:t>Greenhouse</w:t>
            </w:r>
            <w:proofErr w:type="spellEnd"/>
            <w:r w:rsidRPr="00E357DE">
              <w:rPr>
                <w:rFonts w:asciiTheme="majorHAnsi" w:hAnsiTheme="majorHAnsi" w:cstheme="majorHAnsi"/>
                <w:color w:val="FF0000"/>
              </w:rPr>
              <w:t xml:space="preserve"> Gas Protocol</w:t>
            </w:r>
          </w:p>
        </w:tc>
      </w:tr>
      <w:tr w:rsidR="00E357DE" w:rsidRPr="00E357DE" w14:paraId="55E99D3A" w14:textId="77777777" w:rsidTr="00796B92">
        <w:trPr>
          <w:trHeight w:val="576"/>
        </w:trPr>
        <w:tc>
          <w:tcPr>
            <w:tcW w:w="2880" w:type="dxa"/>
            <w:tcBorders>
              <w:top w:val="nil"/>
              <w:left w:val="single" w:sz="8" w:space="0" w:color="auto"/>
              <w:bottom w:val="single" w:sz="4" w:space="0" w:color="auto"/>
              <w:right w:val="single" w:sz="4" w:space="0" w:color="auto"/>
            </w:tcBorders>
            <w:shd w:val="clear" w:color="auto" w:fill="auto"/>
            <w:noWrap/>
            <w:hideMark/>
          </w:tcPr>
          <w:p w14:paraId="53E38CBA"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SDG</w:t>
            </w:r>
          </w:p>
        </w:tc>
        <w:tc>
          <w:tcPr>
            <w:tcW w:w="5920" w:type="dxa"/>
            <w:tcBorders>
              <w:top w:val="nil"/>
              <w:left w:val="nil"/>
              <w:bottom w:val="single" w:sz="4" w:space="0" w:color="auto"/>
              <w:right w:val="single" w:sz="8" w:space="0" w:color="auto"/>
            </w:tcBorders>
            <w:shd w:val="clear" w:color="auto" w:fill="auto"/>
            <w:hideMark/>
          </w:tcPr>
          <w:p w14:paraId="5B9A9F99" w14:textId="77777777" w:rsidR="00E357DE" w:rsidRPr="00E357DE" w:rsidRDefault="00E357DE" w:rsidP="00796B92">
            <w:pPr>
              <w:spacing w:after="0"/>
              <w:rPr>
                <w:rFonts w:asciiTheme="majorHAnsi" w:hAnsiTheme="majorHAnsi" w:cstheme="majorHAnsi"/>
                <w:color w:val="FF0000"/>
              </w:rPr>
            </w:pPr>
            <w:proofErr w:type="spellStart"/>
            <w:r w:rsidRPr="00E357DE">
              <w:rPr>
                <w:rFonts w:asciiTheme="majorHAnsi" w:hAnsiTheme="majorHAnsi" w:cstheme="majorHAnsi"/>
                <w:color w:val="FF0000"/>
              </w:rPr>
              <w:t>Sustainable</w:t>
            </w:r>
            <w:proofErr w:type="spellEnd"/>
            <w:r w:rsidRPr="00E357DE">
              <w:rPr>
                <w:rFonts w:asciiTheme="majorHAnsi" w:hAnsiTheme="majorHAnsi" w:cstheme="majorHAnsi"/>
                <w:color w:val="FF0000"/>
              </w:rPr>
              <w:t xml:space="preserve"> Development Goals </w:t>
            </w:r>
            <w:r w:rsidRPr="00E357DE">
              <w:rPr>
                <w:rFonts w:asciiTheme="majorHAnsi" w:hAnsiTheme="majorHAnsi" w:cstheme="majorHAnsi"/>
                <w:color w:val="FF0000"/>
              </w:rPr>
              <w:br/>
              <w:t>(Agenda mit 17 Zielen für nachhaltige Entwicklung)</w:t>
            </w:r>
          </w:p>
        </w:tc>
      </w:tr>
      <w:tr w:rsidR="00E357DE" w:rsidRPr="00E357DE" w14:paraId="5AB7F29A" w14:textId="77777777" w:rsidTr="00796B92">
        <w:trPr>
          <w:trHeight w:val="576"/>
        </w:trPr>
        <w:tc>
          <w:tcPr>
            <w:tcW w:w="2880" w:type="dxa"/>
            <w:tcBorders>
              <w:top w:val="nil"/>
              <w:left w:val="single" w:sz="8" w:space="0" w:color="auto"/>
              <w:bottom w:val="single" w:sz="4" w:space="0" w:color="auto"/>
              <w:right w:val="single" w:sz="4" w:space="0" w:color="auto"/>
            </w:tcBorders>
            <w:shd w:val="clear" w:color="auto" w:fill="auto"/>
            <w:noWrap/>
            <w:hideMark/>
          </w:tcPr>
          <w:p w14:paraId="7E41A271"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Taxonomie VO</w:t>
            </w:r>
          </w:p>
        </w:tc>
        <w:tc>
          <w:tcPr>
            <w:tcW w:w="5920" w:type="dxa"/>
            <w:tcBorders>
              <w:top w:val="nil"/>
              <w:left w:val="nil"/>
              <w:bottom w:val="single" w:sz="4" w:space="0" w:color="auto"/>
              <w:right w:val="single" w:sz="8" w:space="0" w:color="auto"/>
            </w:tcBorders>
            <w:shd w:val="clear" w:color="auto" w:fill="auto"/>
            <w:hideMark/>
          </w:tcPr>
          <w:p w14:paraId="3701CA3A"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Festlegung von Kriterien, ob eine Wirtschaftstätigkeit</w:t>
            </w:r>
            <w:r w:rsidRPr="00E357DE">
              <w:rPr>
                <w:rFonts w:asciiTheme="majorHAnsi" w:hAnsiTheme="majorHAnsi" w:cstheme="majorHAnsi"/>
                <w:color w:val="FF0000"/>
              </w:rPr>
              <w:br/>
              <w:t>als ökologisch anzusehen ist</w:t>
            </w:r>
          </w:p>
        </w:tc>
      </w:tr>
      <w:tr w:rsidR="00E357DE" w:rsidRPr="00E357DE" w14:paraId="778DB38F" w14:textId="77777777" w:rsidTr="00796B92">
        <w:trPr>
          <w:trHeight w:val="864"/>
        </w:trPr>
        <w:tc>
          <w:tcPr>
            <w:tcW w:w="2880" w:type="dxa"/>
            <w:tcBorders>
              <w:top w:val="nil"/>
              <w:left w:val="single" w:sz="8" w:space="0" w:color="auto"/>
              <w:bottom w:val="single" w:sz="4" w:space="0" w:color="auto"/>
              <w:right w:val="single" w:sz="4" w:space="0" w:color="auto"/>
            </w:tcBorders>
            <w:shd w:val="clear" w:color="auto" w:fill="auto"/>
            <w:noWrap/>
            <w:hideMark/>
          </w:tcPr>
          <w:p w14:paraId="5DE2EE7C" w14:textId="77777777" w:rsidR="00E357DE" w:rsidRPr="00E357DE" w:rsidRDefault="00E357DE" w:rsidP="00796B92">
            <w:pPr>
              <w:spacing w:after="0"/>
              <w:rPr>
                <w:rFonts w:asciiTheme="majorHAnsi" w:hAnsiTheme="majorHAnsi" w:cstheme="majorHAnsi"/>
                <w:b/>
                <w:bCs/>
                <w:color w:val="FF0000"/>
              </w:rPr>
            </w:pPr>
            <w:proofErr w:type="spellStart"/>
            <w:r w:rsidRPr="00E357DE">
              <w:rPr>
                <w:rFonts w:asciiTheme="majorHAnsi" w:hAnsiTheme="majorHAnsi" w:cstheme="majorHAnsi"/>
                <w:b/>
                <w:bCs/>
                <w:color w:val="FF0000"/>
              </w:rPr>
              <w:t>Taxonomiefähigkeit</w:t>
            </w:r>
            <w:proofErr w:type="spellEnd"/>
          </w:p>
        </w:tc>
        <w:tc>
          <w:tcPr>
            <w:tcW w:w="5920" w:type="dxa"/>
            <w:tcBorders>
              <w:top w:val="nil"/>
              <w:left w:val="nil"/>
              <w:bottom w:val="single" w:sz="4" w:space="0" w:color="auto"/>
              <w:right w:val="single" w:sz="8" w:space="0" w:color="auto"/>
            </w:tcBorders>
            <w:shd w:val="clear" w:color="auto" w:fill="auto"/>
            <w:hideMark/>
          </w:tcPr>
          <w:p w14:paraId="65E40481"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 xml:space="preserve">Die </w:t>
            </w:r>
            <w:proofErr w:type="spellStart"/>
            <w:r w:rsidRPr="00E357DE">
              <w:rPr>
                <w:rFonts w:asciiTheme="majorHAnsi" w:hAnsiTheme="majorHAnsi" w:cstheme="majorHAnsi"/>
                <w:color w:val="FF0000"/>
              </w:rPr>
              <w:t>Taxonomiefähigkeit</w:t>
            </w:r>
            <w:proofErr w:type="spellEnd"/>
            <w:r w:rsidRPr="00E357DE">
              <w:rPr>
                <w:rFonts w:asciiTheme="majorHAnsi" w:hAnsiTheme="majorHAnsi" w:cstheme="majorHAnsi"/>
                <w:color w:val="FF0000"/>
              </w:rPr>
              <w:t xml:space="preserve"> gliedert eine bestimmte Tätigkeit,</w:t>
            </w:r>
            <w:r w:rsidRPr="00E357DE">
              <w:rPr>
                <w:rFonts w:asciiTheme="majorHAnsi" w:hAnsiTheme="majorHAnsi" w:cstheme="majorHAnsi"/>
                <w:color w:val="FF0000"/>
              </w:rPr>
              <w:br/>
              <w:t>welche einen wesentlichen Beitrag zu einem der 6 Umweltziele leisten kann</w:t>
            </w:r>
          </w:p>
        </w:tc>
      </w:tr>
      <w:tr w:rsidR="00E357DE" w:rsidRPr="00E357DE" w14:paraId="437F669C" w14:textId="77777777" w:rsidTr="00796B92">
        <w:trPr>
          <w:trHeight w:val="576"/>
        </w:trPr>
        <w:tc>
          <w:tcPr>
            <w:tcW w:w="2880" w:type="dxa"/>
            <w:tcBorders>
              <w:top w:val="nil"/>
              <w:left w:val="single" w:sz="8" w:space="0" w:color="auto"/>
              <w:bottom w:val="single" w:sz="4" w:space="0" w:color="auto"/>
              <w:right w:val="single" w:sz="4" w:space="0" w:color="auto"/>
            </w:tcBorders>
            <w:shd w:val="clear" w:color="auto" w:fill="auto"/>
            <w:noWrap/>
            <w:hideMark/>
          </w:tcPr>
          <w:p w14:paraId="122E67F8"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Pariser Klimaschutzabkommen</w:t>
            </w:r>
          </w:p>
        </w:tc>
        <w:tc>
          <w:tcPr>
            <w:tcW w:w="5920" w:type="dxa"/>
            <w:tcBorders>
              <w:top w:val="nil"/>
              <w:left w:val="nil"/>
              <w:bottom w:val="single" w:sz="4" w:space="0" w:color="auto"/>
              <w:right w:val="single" w:sz="8" w:space="0" w:color="auto"/>
            </w:tcBorders>
            <w:shd w:val="clear" w:color="auto" w:fill="auto"/>
            <w:hideMark/>
          </w:tcPr>
          <w:p w14:paraId="195741AE"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Die Erderwärmung auf weit unter</w:t>
            </w:r>
            <w:r w:rsidRPr="00E357DE">
              <w:rPr>
                <w:rFonts w:asciiTheme="majorHAnsi" w:hAnsiTheme="majorHAnsi" w:cstheme="majorHAnsi"/>
                <w:color w:val="FF0000"/>
              </w:rPr>
              <w:br/>
              <w:t xml:space="preserve"> 2° Grad (Ziel 1,5°) begrenzen</w:t>
            </w:r>
          </w:p>
        </w:tc>
      </w:tr>
      <w:tr w:rsidR="00E357DE" w:rsidRPr="00E357DE" w14:paraId="183BE5F3" w14:textId="77777777" w:rsidTr="00796B92">
        <w:trPr>
          <w:trHeight w:val="576"/>
        </w:trPr>
        <w:tc>
          <w:tcPr>
            <w:tcW w:w="2880" w:type="dxa"/>
            <w:tcBorders>
              <w:top w:val="nil"/>
              <w:left w:val="single" w:sz="8" w:space="0" w:color="auto"/>
              <w:bottom w:val="nil"/>
              <w:right w:val="single" w:sz="4" w:space="0" w:color="auto"/>
            </w:tcBorders>
            <w:shd w:val="clear" w:color="auto" w:fill="auto"/>
            <w:hideMark/>
          </w:tcPr>
          <w:p w14:paraId="09904392"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 xml:space="preserve">Green Deal der </w:t>
            </w:r>
            <w:r w:rsidRPr="00E357DE">
              <w:rPr>
                <w:rFonts w:asciiTheme="majorHAnsi" w:hAnsiTheme="majorHAnsi" w:cstheme="majorHAnsi"/>
                <w:b/>
                <w:bCs/>
                <w:color w:val="FF0000"/>
              </w:rPr>
              <w:br/>
              <w:t>Europäische Union</w:t>
            </w:r>
          </w:p>
        </w:tc>
        <w:tc>
          <w:tcPr>
            <w:tcW w:w="5920" w:type="dxa"/>
            <w:tcBorders>
              <w:top w:val="nil"/>
              <w:left w:val="nil"/>
              <w:bottom w:val="nil"/>
              <w:right w:val="single" w:sz="8" w:space="0" w:color="auto"/>
            </w:tcBorders>
            <w:shd w:val="clear" w:color="auto" w:fill="auto"/>
            <w:noWrap/>
            <w:hideMark/>
          </w:tcPr>
          <w:p w14:paraId="7E7CE3CB"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ab 2050 keine Nettoemission Treibhausgase</w:t>
            </w:r>
          </w:p>
        </w:tc>
      </w:tr>
      <w:tr w:rsidR="00E357DE" w:rsidRPr="00E357DE" w14:paraId="7D227458" w14:textId="77777777" w:rsidTr="00796B92">
        <w:trPr>
          <w:trHeight w:val="864"/>
        </w:trPr>
        <w:tc>
          <w:tcPr>
            <w:tcW w:w="2880" w:type="dxa"/>
            <w:tcBorders>
              <w:top w:val="single" w:sz="4" w:space="0" w:color="auto"/>
              <w:left w:val="single" w:sz="8" w:space="0" w:color="auto"/>
              <w:bottom w:val="single" w:sz="4" w:space="0" w:color="auto"/>
              <w:right w:val="single" w:sz="4" w:space="0" w:color="auto"/>
            </w:tcBorders>
            <w:shd w:val="clear" w:color="auto" w:fill="auto"/>
            <w:hideMark/>
          </w:tcPr>
          <w:p w14:paraId="4CF150DA"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Carbon Footprint</w:t>
            </w:r>
            <w:r w:rsidRPr="00E357DE">
              <w:rPr>
                <w:rFonts w:asciiTheme="majorHAnsi" w:hAnsiTheme="majorHAnsi" w:cstheme="majorHAnsi"/>
                <w:b/>
                <w:bCs/>
                <w:color w:val="FF0000"/>
              </w:rPr>
              <w:br/>
              <w:t>(CO</w:t>
            </w:r>
            <w:r w:rsidRPr="00E357DE">
              <w:rPr>
                <w:rFonts w:asciiTheme="majorHAnsi" w:hAnsiTheme="majorHAnsi" w:cstheme="majorHAnsi"/>
                <w:b/>
                <w:bCs/>
                <w:color w:val="FF0000"/>
                <w:vertAlign w:val="subscript"/>
              </w:rPr>
              <w:t>2</w:t>
            </w:r>
            <w:r w:rsidRPr="00E357DE">
              <w:rPr>
                <w:rFonts w:asciiTheme="majorHAnsi" w:hAnsiTheme="majorHAnsi" w:cstheme="majorHAnsi"/>
                <w:b/>
                <w:bCs/>
                <w:color w:val="FF0000"/>
              </w:rPr>
              <w:t>-Fußabdruck)</w:t>
            </w:r>
          </w:p>
        </w:tc>
        <w:tc>
          <w:tcPr>
            <w:tcW w:w="5920" w:type="dxa"/>
            <w:tcBorders>
              <w:top w:val="single" w:sz="4" w:space="0" w:color="auto"/>
              <w:left w:val="nil"/>
              <w:bottom w:val="single" w:sz="4" w:space="0" w:color="auto"/>
              <w:right w:val="single" w:sz="8" w:space="0" w:color="auto"/>
            </w:tcBorders>
            <w:shd w:val="clear" w:color="auto" w:fill="auto"/>
            <w:vAlign w:val="bottom"/>
            <w:hideMark/>
          </w:tcPr>
          <w:p w14:paraId="60B7902A"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 xml:space="preserve">Gibt die Meine an, welche direkt oder indirekt an Treibhaus- </w:t>
            </w:r>
            <w:proofErr w:type="spellStart"/>
            <w:r w:rsidRPr="00E357DE">
              <w:rPr>
                <w:rFonts w:asciiTheme="majorHAnsi" w:hAnsiTheme="majorHAnsi" w:cstheme="majorHAnsi"/>
                <w:color w:val="FF0000"/>
              </w:rPr>
              <w:t>emissionen</w:t>
            </w:r>
            <w:proofErr w:type="spellEnd"/>
            <w:r w:rsidRPr="00E357DE">
              <w:rPr>
                <w:rFonts w:asciiTheme="majorHAnsi" w:hAnsiTheme="majorHAnsi" w:cstheme="majorHAnsi"/>
                <w:color w:val="FF0000"/>
              </w:rPr>
              <w:t xml:space="preserve"> ausgestoßen werden. Ziel der EU-Taxonomie ist ein niedriger Wert</w:t>
            </w:r>
          </w:p>
        </w:tc>
      </w:tr>
      <w:tr w:rsidR="00E357DE" w:rsidRPr="00E357DE" w14:paraId="41F4EB10" w14:textId="77777777" w:rsidTr="00796B92">
        <w:trPr>
          <w:trHeight w:val="876"/>
        </w:trPr>
        <w:tc>
          <w:tcPr>
            <w:tcW w:w="2880" w:type="dxa"/>
            <w:tcBorders>
              <w:top w:val="nil"/>
              <w:left w:val="single" w:sz="8" w:space="0" w:color="auto"/>
              <w:bottom w:val="single" w:sz="8" w:space="0" w:color="auto"/>
              <w:right w:val="single" w:sz="4" w:space="0" w:color="auto"/>
            </w:tcBorders>
            <w:shd w:val="clear" w:color="auto" w:fill="auto"/>
            <w:hideMark/>
          </w:tcPr>
          <w:p w14:paraId="2DD6530C" w14:textId="77777777" w:rsidR="00E357DE" w:rsidRPr="00E357DE" w:rsidRDefault="00E357DE" w:rsidP="00796B92">
            <w:pPr>
              <w:spacing w:after="0"/>
              <w:rPr>
                <w:rFonts w:asciiTheme="majorHAnsi" w:hAnsiTheme="majorHAnsi" w:cstheme="majorHAnsi"/>
                <w:b/>
                <w:bCs/>
                <w:color w:val="FF0000"/>
              </w:rPr>
            </w:pPr>
            <w:r w:rsidRPr="00E357DE">
              <w:rPr>
                <w:rFonts w:asciiTheme="majorHAnsi" w:hAnsiTheme="majorHAnsi" w:cstheme="majorHAnsi"/>
                <w:b/>
                <w:bCs/>
                <w:color w:val="FF0000"/>
              </w:rPr>
              <w:t>Kreislaufwirtschaft</w:t>
            </w:r>
          </w:p>
        </w:tc>
        <w:tc>
          <w:tcPr>
            <w:tcW w:w="5920" w:type="dxa"/>
            <w:tcBorders>
              <w:top w:val="nil"/>
              <w:left w:val="nil"/>
              <w:bottom w:val="single" w:sz="8" w:space="0" w:color="auto"/>
              <w:right w:val="single" w:sz="8" w:space="0" w:color="auto"/>
            </w:tcBorders>
            <w:shd w:val="clear" w:color="auto" w:fill="auto"/>
            <w:vAlign w:val="bottom"/>
            <w:hideMark/>
          </w:tcPr>
          <w:p w14:paraId="123CCF99" w14:textId="77777777" w:rsidR="00E357DE" w:rsidRPr="00E357DE" w:rsidRDefault="00E357DE" w:rsidP="00796B92">
            <w:pPr>
              <w:spacing w:after="0"/>
              <w:rPr>
                <w:rFonts w:asciiTheme="majorHAnsi" w:hAnsiTheme="majorHAnsi" w:cstheme="majorHAnsi"/>
                <w:color w:val="FF0000"/>
              </w:rPr>
            </w:pPr>
            <w:r w:rsidRPr="00E357DE">
              <w:rPr>
                <w:rFonts w:asciiTheme="majorHAnsi" w:hAnsiTheme="majorHAnsi" w:cstheme="majorHAnsi"/>
                <w:color w:val="FF0000"/>
              </w:rPr>
              <w:t xml:space="preserve">Ein Wirtschaftsmodell, um Ressourcen möglichst lange zu </w:t>
            </w:r>
            <w:r w:rsidRPr="00E357DE">
              <w:rPr>
                <w:rFonts w:asciiTheme="majorHAnsi" w:hAnsiTheme="majorHAnsi" w:cstheme="majorHAnsi"/>
                <w:color w:val="FF0000"/>
              </w:rPr>
              <w:br/>
              <w:t xml:space="preserve">erhalten, Abfälle zu verringern und Materialien in den </w:t>
            </w:r>
            <w:r w:rsidRPr="00E357DE">
              <w:rPr>
                <w:rFonts w:asciiTheme="majorHAnsi" w:hAnsiTheme="majorHAnsi" w:cstheme="majorHAnsi"/>
                <w:color w:val="FF0000"/>
              </w:rPr>
              <w:br/>
              <w:t>Produktionskreislauf zurückzuführen</w:t>
            </w:r>
          </w:p>
        </w:tc>
      </w:tr>
    </w:tbl>
    <w:p w14:paraId="6BEA8D6A" w14:textId="77777777" w:rsidR="00E357DE" w:rsidRPr="00E24471" w:rsidRDefault="00E357DE" w:rsidP="00E357DE">
      <w:pPr>
        <w:rPr>
          <w:rFonts w:cs="Arial"/>
          <w:lang w:val="de-DE"/>
        </w:rPr>
      </w:pPr>
      <w:r w:rsidRPr="00E24471">
        <w:rPr>
          <w:rFonts w:cs="Arial"/>
          <w:lang w:val="de-DE"/>
        </w:rPr>
        <w:br w:type="page"/>
      </w:r>
    </w:p>
    <w:p w14:paraId="19EB3932" w14:textId="77777777" w:rsidR="00E357DE" w:rsidRDefault="00E357DE">
      <w:pPr>
        <w:rPr>
          <w:rStyle w:val="Fett"/>
          <w:rFonts w:asciiTheme="majorHAnsi" w:eastAsia="Times New Roman" w:hAnsiTheme="majorHAnsi" w:cstheme="majorHAnsi"/>
          <w:color w:val="FF0000"/>
          <w:sz w:val="24"/>
          <w:szCs w:val="24"/>
          <w:lang w:eastAsia="de-AT"/>
        </w:rPr>
      </w:pPr>
      <w:r>
        <w:rPr>
          <w:rStyle w:val="Fett"/>
          <w:rFonts w:asciiTheme="majorHAnsi" w:hAnsiTheme="majorHAnsi" w:cstheme="majorHAnsi"/>
          <w:color w:val="FF0000"/>
        </w:rPr>
        <w:lastRenderedPageBreak/>
        <w:br w:type="page"/>
      </w:r>
    </w:p>
    <w:p w14:paraId="466098AA" w14:textId="7B12C3B7" w:rsidR="00D62DC6" w:rsidRPr="008F089F" w:rsidRDefault="00D62DC6" w:rsidP="00D62DC6">
      <w:pPr>
        <w:pStyle w:val="StandardWeb"/>
        <w:spacing w:line="276" w:lineRule="auto"/>
        <w:jc w:val="both"/>
        <w:rPr>
          <w:rFonts w:asciiTheme="majorHAnsi" w:hAnsiTheme="majorHAnsi" w:cstheme="majorHAnsi"/>
          <w:color w:val="FF0000"/>
        </w:rPr>
      </w:pPr>
      <w:r w:rsidRPr="008F089F">
        <w:rPr>
          <w:rStyle w:val="Fett"/>
          <w:rFonts w:asciiTheme="majorHAnsi" w:hAnsiTheme="majorHAnsi" w:cstheme="majorHAnsi"/>
          <w:color w:val="FF0000"/>
        </w:rPr>
        <w:lastRenderedPageBreak/>
        <w:t xml:space="preserve">EINLEITUNG </w:t>
      </w:r>
    </w:p>
    <w:p w14:paraId="34C07E8F" w14:textId="77777777" w:rsidR="00134F30" w:rsidRPr="008F089F" w:rsidRDefault="00134F30" w:rsidP="00134F30">
      <w:pPr>
        <w:pStyle w:val="StandardWeb"/>
        <w:rPr>
          <w:rFonts w:asciiTheme="majorHAnsi" w:hAnsiTheme="majorHAnsi" w:cstheme="majorHAnsi"/>
          <w:color w:val="FF0000"/>
        </w:rPr>
      </w:pPr>
    </w:p>
    <w:p w14:paraId="3F170C31" w14:textId="2C903EA8" w:rsidR="00134F30" w:rsidRPr="008F089F" w:rsidRDefault="00134F30" w:rsidP="00134F30">
      <w:pPr>
        <w:pStyle w:val="StandardWeb"/>
        <w:rPr>
          <w:rFonts w:asciiTheme="majorHAnsi" w:hAnsiTheme="majorHAnsi" w:cstheme="majorHAnsi"/>
          <w:color w:val="FF0000"/>
        </w:rPr>
      </w:pPr>
      <w:r w:rsidRPr="008F089F">
        <w:rPr>
          <w:rFonts w:asciiTheme="majorHAnsi" w:hAnsiTheme="majorHAnsi" w:cstheme="majorHAnsi"/>
          <w:color w:val="FF0000"/>
        </w:rPr>
        <w:t>Die Bauwirtschaft sieht sich sowohl auf nationaler als auch auf internationaler Ebene mit erheblichen Herausforderungen in Bezug auf Nachhaltigkeit konfrontiert. Der Klimawandel vollzieht sich in einem alarmierenden Tempo und stellt die Wirtschaft, insbesondere den Bausektor, vor zahlreiche dringende Aufgaben. Der notwendige Paradigmenwechsel hin zu einem verantwortungsvolleren Umgang mit den begrenzten Ressourcen ist bereits eingeleitet und sollte als grundlegender Bestandteil des täglichen unternehmerischen Handelns verstanden werden.</w:t>
      </w:r>
    </w:p>
    <w:p w14:paraId="723B80C0" w14:textId="77777777" w:rsidR="00134F30" w:rsidRPr="008F089F" w:rsidRDefault="00134F30" w:rsidP="00134F30">
      <w:pPr>
        <w:spacing w:before="100" w:beforeAutospacing="1" w:after="100" w:afterAutospacing="1" w:line="240" w:lineRule="auto"/>
        <w:rPr>
          <w:rFonts w:asciiTheme="majorHAnsi" w:eastAsia="Times New Roman" w:hAnsiTheme="majorHAnsi" w:cstheme="majorHAnsi"/>
          <w:color w:val="FF0000"/>
          <w:sz w:val="24"/>
          <w:szCs w:val="24"/>
          <w:lang w:eastAsia="de-AT"/>
        </w:rPr>
      </w:pPr>
      <w:r w:rsidRPr="008F089F">
        <w:rPr>
          <w:rFonts w:asciiTheme="majorHAnsi" w:eastAsia="Times New Roman" w:hAnsiTheme="majorHAnsi" w:cstheme="majorHAnsi"/>
          <w:color w:val="FF0000"/>
          <w:sz w:val="24"/>
          <w:szCs w:val="24"/>
          <w:lang w:eastAsia="de-AT"/>
        </w:rPr>
        <w:t>Der Temperaturanstieg ist inzwischen unumkehrbar, und die Auswirkungen des Klimawandels sind unübersehbar. Diese zählen zu den größten Risiken, mit denen wir heute konfrontiert sind. Die stetig steigenden Emissionen beschleunigen die Erderwärmung und führen zu immer dramatischeren Konsequenzen für die gesamte Weltbevölkerung. Es ist daher von zentraler Bedeutung, den Energie- und Ressourcenverbrauch weltweit zu senken und gleichzeitig die Energieeffizienz kontinuierlich zu steigern.</w:t>
      </w:r>
    </w:p>
    <w:p w14:paraId="6FC7347E" w14:textId="77777777" w:rsidR="00134F30" w:rsidRPr="008F089F" w:rsidRDefault="00134F30" w:rsidP="00134F30">
      <w:pPr>
        <w:spacing w:before="100" w:beforeAutospacing="1" w:after="100" w:afterAutospacing="1" w:line="240" w:lineRule="auto"/>
        <w:rPr>
          <w:rFonts w:asciiTheme="majorHAnsi" w:eastAsia="Times New Roman" w:hAnsiTheme="majorHAnsi" w:cstheme="majorHAnsi"/>
          <w:color w:val="FF0000"/>
          <w:sz w:val="24"/>
          <w:szCs w:val="24"/>
          <w:lang w:eastAsia="de-AT"/>
        </w:rPr>
      </w:pPr>
      <w:r w:rsidRPr="008F089F">
        <w:rPr>
          <w:rFonts w:asciiTheme="majorHAnsi" w:eastAsia="Times New Roman" w:hAnsiTheme="majorHAnsi" w:cstheme="majorHAnsi"/>
          <w:color w:val="FF0000"/>
          <w:sz w:val="24"/>
          <w:szCs w:val="24"/>
          <w:lang w:eastAsia="de-AT"/>
        </w:rPr>
        <w:t>Der demographische Wandel und das Wachstum der Weltbevölkerung führen zu einer verstärkten Mobilität und einem höheren Bedarf an Rohstoffen und Produkten – beides Faktoren, die den Klimawandel zusätzlich begünstigen. Täglich erleben wir extreme Wetterereignisse, deren Häufigkeit und Intensität zunehmend zunehmen.</w:t>
      </w:r>
    </w:p>
    <w:p w14:paraId="48EB8212" w14:textId="3B2BCA8B" w:rsidR="00134F30" w:rsidRPr="008F089F" w:rsidRDefault="00134F30" w:rsidP="00134F30">
      <w:pPr>
        <w:spacing w:before="100" w:beforeAutospacing="1" w:after="100" w:afterAutospacing="1" w:line="240" w:lineRule="auto"/>
        <w:rPr>
          <w:rFonts w:asciiTheme="majorHAnsi" w:eastAsia="Times New Roman" w:hAnsiTheme="majorHAnsi" w:cstheme="majorHAnsi"/>
          <w:color w:val="FF0000"/>
          <w:sz w:val="24"/>
          <w:szCs w:val="24"/>
          <w:lang w:eastAsia="de-AT"/>
        </w:rPr>
      </w:pPr>
      <w:r w:rsidRPr="008F089F">
        <w:rPr>
          <w:rFonts w:asciiTheme="majorHAnsi" w:eastAsia="Times New Roman" w:hAnsiTheme="majorHAnsi" w:cstheme="majorHAnsi"/>
          <w:color w:val="FF0000"/>
          <w:sz w:val="24"/>
          <w:szCs w:val="24"/>
          <w:lang w:eastAsia="de-AT"/>
        </w:rPr>
        <w:t>Der Ausstoß von Treibhausgasen (THG) steigt rapide, insbesondere durch den vermehrten Einsatz fossiler Energieträger, was angesichts des wachsenden globalen Energiebedarfs unweigerlich zu einer weiteren Verschärfung des Klimawandels führt. Die Folgen sind weitreichend und erfordern ein Umdenken auf politischer sowie ökonomischer Ebene. Der politische Konsens zur Reduktion von Treibhausgasemissionen wächst, und es wird zunehmend anerkannt, dass Unternehmen ihren Energieverbrauch und ihre Emissionen drastisch reduzieren müssen. Zugleich wird die Abhängigkeit von fossilen Brennstoffen immer offensichtlicher – insbesondere in Zeiten politischer Unruhen, die die Energiepreise in die Höhe treiben. Diese Entwicklungen verdeutlichen die Dringlichkeit, die Energiewende voranzutreiben und eine größere Unabhängigkeit zu erreichen – idealerweise hin zu einer autarken Industrie. Die Europäische Union verfolgt das ambitionierte Ziel, den vollständigen Übergang zu erneuerbaren Energien zu schaffen, um langfristig eine stabile Preisgestaltung zu gewährleisten.</w:t>
      </w:r>
    </w:p>
    <w:p w14:paraId="1A05F789" w14:textId="77777777" w:rsidR="00575474" w:rsidRPr="008F089F" w:rsidRDefault="00575474" w:rsidP="00134F30">
      <w:pPr>
        <w:spacing w:before="100" w:beforeAutospacing="1" w:after="100" w:afterAutospacing="1" w:line="240" w:lineRule="auto"/>
        <w:rPr>
          <w:rFonts w:asciiTheme="majorHAnsi" w:eastAsia="Times New Roman" w:hAnsiTheme="majorHAnsi" w:cstheme="majorHAnsi"/>
          <w:color w:val="FF0000"/>
          <w:sz w:val="24"/>
          <w:szCs w:val="24"/>
          <w:lang w:eastAsia="de-AT"/>
        </w:rPr>
      </w:pPr>
    </w:p>
    <w:p w14:paraId="4EEAFCBE" w14:textId="5F3CD106" w:rsidR="00134F30" w:rsidRPr="008F089F" w:rsidRDefault="00575474" w:rsidP="00134F30">
      <w:pPr>
        <w:spacing w:before="100" w:beforeAutospacing="1" w:after="100" w:afterAutospacing="1" w:line="240" w:lineRule="auto"/>
        <w:rPr>
          <w:rFonts w:asciiTheme="majorHAnsi" w:eastAsia="Times New Roman" w:hAnsiTheme="majorHAnsi" w:cstheme="majorHAnsi"/>
          <w:color w:val="FF0000"/>
          <w:sz w:val="24"/>
          <w:szCs w:val="24"/>
          <w:lang w:eastAsia="de-AT"/>
        </w:rPr>
      </w:pPr>
      <w:r w:rsidRPr="008F089F">
        <w:rPr>
          <w:rFonts w:asciiTheme="majorHAnsi" w:eastAsia="Times New Roman" w:hAnsiTheme="majorHAnsi" w:cstheme="majorHAnsi"/>
          <w:color w:val="FF0000"/>
          <w:sz w:val="24"/>
          <w:szCs w:val="24"/>
          <w:lang w:eastAsia="de-AT"/>
        </w:rPr>
        <w:t>EUROPAS ANTWORT: DER GREEN DEAL</w:t>
      </w:r>
    </w:p>
    <w:p w14:paraId="27EEEDC6" w14:textId="77777777" w:rsidR="00134F30" w:rsidRPr="008F089F" w:rsidRDefault="00134F30" w:rsidP="00134F30">
      <w:pPr>
        <w:spacing w:before="100" w:beforeAutospacing="1" w:after="100" w:afterAutospacing="1" w:line="240" w:lineRule="auto"/>
        <w:rPr>
          <w:rFonts w:asciiTheme="majorHAnsi" w:eastAsia="Times New Roman" w:hAnsiTheme="majorHAnsi" w:cstheme="majorHAnsi"/>
          <w:color w:val="FF0000"/>
          <w:sz w:val="24"/>
          <w:szCs w:val="24"/>
          <w:lang w:eastAsia="de-AT"/>
        </w:rPr>
      </w:pPr>
      <w:r w:rsidRPr="008F089F">
        <w:rPr>
          <w:rFonts w:asciiTheme="majorHAnsi" w:eastAsia="Times New Roman" w:hAnsiTheme="majorHAnsi" w:cstheme="majorHAnsi"/>
          <w:color w:val="FF0000"/>
          <w:sz w:val="24"/>
          <w:szCs w:val="24"/>
          <w:lang w:eastAsia="de-AT"/>
        </w:rPr>
        <w:t xml:space="preserve">Ein erheblicher Anteil der CO2-Emissionen entfällt auf den Bausektor, der durch einen hohen Energie- und Ressourcenverbrauch gekennzeichnet ist. Dies betrifft die gesamte Wertschöpfungskette – von der Rohstoffgewinnung und -verarbeitung über den Transport von Baumaterialien und den Baustellenbetrieb bis hin zu Sanierungen, Abriss und dem Recycling von Gebäuden. Dieser enorme Aufwand wird in der Regel durch fossile Energieträger gedeckt. Im Hinblick auf die Klimaziele der Europäischen Union zur Reduktion </w:t>
      </w:r>
      <w:r w:rsidRPr="008F089F">
        <w:rPr>
          <w:rFonts w:asciiTheme="majorHAnsi" w:eastAsia="Times New Roman" w:hAnsiTheme="majorHAnsi" w:cstheme="majorHAnsi"/>
          <w:color w:val="FF0000"/>
          <w:sz w:val="24"/>
          <w:szCs w:val="24"/>
          <w:lang w:eastAsia="de-AT"/>
        </w:rPr>
        <w:lastRenderedPageBreak/>
        <w:t>von Treibhausgasemissionen gewinnt der Einsatz erneuerbarer und unabhängiger Energiequellen im Bausektor zunehmend an Bedeutung.</w:t>
      </w:r>
    </w:p>
    <w:p w14:paraId="14249C39" w14:textId="77777777" w:rsidR="00134F30" w:rsidRPr="008F089F" w:rsidRDefault="00134F30" w:rsidP="00134F30">
      <w:pPr>
        <w:spacing w:before="100" w:beforeAutospacing="1" w:after="100" w:afterAutospacing="1" w:line="240" w:lineRule="auto"/>
        <w:rPr>
          <w:rFonts w:asciiTheme="majorHAnsi" w:eastAsia="Times New Roman" w:hAnsiTheme="majorHAnsi" w:cstheme="majorHAnsi"/>
          <w:color w:val="FF0000"/>
          <w:sz w:val="24"/>
          <w:szCs w:val="24"/>
          <w:lang w:eastAsia="de-AT"/>
        </w:rPr>
      </w:pPr>
      <w:r w:rsidRPr="008F089F">
        <w:rPr>
          <w:rFonts w:asciiTheme="majorHAnsi" w:eastAsia="Times New Roman" w:hAnsiTheme="majorHAnsi" w:cstheme="majorHAnsi"/>
          <w:color w:val="FF0000"/>
          <w:sz w:val="24"/>
          <w:szCs w:val="24"/>
          <w:lang w:eastAsia="de-AT"/>
        </w:rPr>
        <w:t>Sowohl die vorgelagerten Wirtschaftsprozesse als auch der eigentliche Bauprozess unterliegen einem tiefgreifenden Wandel. Der Green Deal der EU stellt eine umfassende Strategie dar, die eine Vielzahl von Maßnahmen zur Förderung einer nachhaltigen Wirtschaft und zur Minimierung von Umweltauswirkungen umfasst.</w:t>
      </w:r>
    </w:p>
    <w:p w14:paraId="231A1BA3" w14:textId="0A3831FC" w:rsidR="00CD2BE6" w:rsidRPr="008F089F" w:rsidRDefault="00CD2BE6" w:rsidP="00134F30">
      <w:pPr>
        <w:spacing w:line="240" w:lineRule="auto"/>
        <w:jc w:val="both"/>
        <w:rPr>
          <w:rFonts w:asciiTheme="majorHAnsi" w:eastAsia="Times New Roman" w:hAnsiTheme="majorHAnsi" w:cstheme="majorHAnsi"/>
          <w:color w:val="FF0000"/>
          <w:sz w:val="24"/>
          <w:szCs w:val="24"/>
          <w:lang w:eastAsia="de-AT"/>
        </w:rPr>
      </w:pPr>
    </w:p>
    <w:sectPr w:rsidR="00CD2BE6" w:rsidRPr="008F08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30A6"/>
    <w:multiLevelType w:val="multilevel"/>
    <w:tmpl w:val="F5DE1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BD6F28"/>
    <w:multiLevelType w:val="hybridMultilevel"/>
    <w:tmpl w:val="1E029ED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DAC7E02"/>
    <w:multiLevelType w:val="hybridMultilevel"/>
    <w:tmpl w:val="C346DC7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BD07E79"/>
    <w:multiLevelType w:val="hybridMultilevel"/>
    <w:tmpl w:val="811EE71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50185E50"/>
    <w:multiLevelType w:val="hybridMultilevel"/>
    <w:tmpl w:val="FD98718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666C167B"/>
    <w:multiLevelType w:val="hybridMultilevel"/>
    <w:tmpl w:val="636CB86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A0A5C6E"/>
    <w:multiLevelType w:val="hybridMultilevel"/>
    <w:tmpl w:val="C4BE523A"/>
    <w:lvl w:ilvl="0" w:tplc="0C070019">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76142DA9"/>
    <w:multiLevelType w:val="hybridMultilevel"/>
    <w:tmpl w:val="C92AE5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8D"/>
    <w:rsid w:val="000D1AD1"/>
    <w:rsid w:val="001064EF"/>
    <w:rsid w:val="00134F30"/>
    <w:rsid w:val="002146A5"/>
    <w:rsid w:val="00327C8D"/>
    <w:rsid w:val="00435E9D"/>
    <w:rsid w:val="00474902"/>
    <w:rsid w:val="004D785B"/>
    <w:rsid w:val="00575474"/>
    <w:rsid w:val="00722F67"/>
    <w:rsid w:val="007633E8"/>
    <w:rsid w:val="0080443F"/>
    <w:rsid w:val="008A45DB"/>
    <w:rsid w:val="008B2FE3"/>
    <w:rsid w:val="008F089F"/>
    <w:rsid w:val="008F1410"/>
    <w:rsid w:val="0090539E"/>
    <w:rsid w:val="00907C78"/>
    <w:rsid w:val="00957074"/>
    <w:rsid w:val="00A00EFE"/>
    <w:rsid w:val="00A20392"/>
    <w:rsid w:val="00A209E6"/>
    <w:rsid w:val="00A4269B"/>
    <w:rsid w:val="00A50BB7"/>
    <w:rsid w:val="00CD2BE6"/>
    <w:rsid w:val="00D62DC6"/>
    <w:rsid w:val="00DF5EF5"/>
    <w:rsid w:val="00E3303A"/>
    <w:rsid w:val="00E357DE"/>
    <w:rsid w:val="00EA4EC5"/>
    <w:rsid w:val="00EA55D7"/>
    <w:rsid w:val="00F31C93"/>
    <w:rsid w:val="00FB22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7FF4"/>
  <w15:chartTrackingRefBased/>
  <w15:docId w15:val="{F94F5033-640C-4372-831B-1B6A2E00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8F1410"/>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46A5"/>
    <w:pPr>
      <w:ind w:left="720"/>
      <w:contextualSpacing/>
    </w:pPr>
  </w:style>
  <w:style w:type="character" w:customStyle="1" w:styleId="berschrift3Zchn">
    <w:name w:val="Überschrift 3 Zchn"/>
    <w:basedOn w:val="Absatz-Standardschriftart"/>
    <w:link w:val="berschrift3"/>
    <w:uiPriority w:val="9"/>
    <w:rsid w:val="008F1410"/>
    <w:rPr>
      <w:rFonts w:ascii="Times New Roman" w:eastAsia="Times New Roman" w:hAnsi="Times New Roman" w:cs="Times New Roman"/>
      <w:b/>
      <w:bCs/>
      <w:sz w:val="27"/>
      <w:szCs w:val="27"/>
      <w:lang w:eastAsia="de-AT"/>
    </w:rPr>
  </w:style>
  <w:style w:type="character" w:styleId="Hyperlink">
    <w:name w:val="Hyperlink"/>
    <w:basedOn w:val="Absatz-Standardschriftart"/>
    <w:uiPriority w:val="99"/>
    <w:semiHidden/>
    <w:unhideWhenUsed/>
    <w:rsid w:val="008F1410"/>
    <w:rPr>
      <w:color w:val="0000FF"/>
      <w:u w:val="single"/>
    </w:rPr>
  </w:style>
  <w:style w:type="paragraph" w:styleId="berarbeitung">
    <w:name w:val="Revision"/>
    <w:hidden/>
    <w:uiPriority w:val="99"/>
    <w:semiHidden/>
    <w:rsid w:val="00A209E6"/>
    <w:pPr>
      <w:spacing w:after="0" w:line="240" w:lineRule="auto"/>
    </w:pPr>
  </w:style>
  <w:style w:type="character" w:styleId="Kommentarzeichen">
    <w:name w:val="annotation reference"/>
    <w:basedOn w:val="Absatz-Standardschriftart"/>
    <w:uiPriority w:val="99"/>
    <w:semiHidden/>
    <w:unhideWhenUsed/>
    <w:rsid w:val="00A209E6"/>
    <w:rPr>
      <w:sz w:val="16"/>
      <w:szCs w:val="16"/>
    </w:rPr>
  </w:style>
  <w:style w:type="paragraph" w:styleId="Kommentartext">
    <w:name w:val="annotation text"/>
    <w:basedOn w:val="Standard"/>
    <w:link w:val="KommentartextZchn"/>
    <w:uiPriority w:val="99"/>
    <w:semiHidden/>
    <w:unhideWhenUsed/>
    <w:rsid w:val="00A209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09E6"/>
    <w:rPr>
      <w:sz w:val="20"/>
      <w:szCs w:val="20"/>
    </w:rPr>
  </w:style>
  <w:style w:type="paragraph" w:styleId="Kommentarthema">
    <w:name w:val="annotation subject"/>
    <w:basedOn w:val="Kommentartext"/>
    <w:next w:val="Kommentartext"/>
    <w:link w:val="KommentarthemaZchn"/>
    <w:uiPriority w:val="99"/>
    <w:semiHidden/>
    <w:unhideWhenUsed/>
    <w:rsid w:val="00A209E6"/>
    <w:rPr>
      <w:b/>
      <w:bCs/>
    </w:rPr>
  </w:style>
  <w:style w:type="character" w:customStyle="1" w:styleId="KommentarthemaZchn">
    <w:name w:val="Kommentarthema Zchn"/>
    <w:basedOn w:val="KommentartextZchn"/>
    <w:link w:val="Kommentarthema"/>
    <w:uiPriority w:val="99"/>
    <w:semiHidden/>
    <w:rsid w:val="00A209E6"/>
    <w:rPr>
      <w:b/>
      <w:bCs/>
      <w:sz w:val="20"/>
      <w:szCs w:val="20"/>
    </w:rPr>
  </w:style>
  <w:style w:type="paragraph" w:styleId="Sprechblasentext">
    <w:name w:val="Balloon Text"/>
    <w:basedOn w:val="Standard"/>
    <w:link w:val="SprechblasentextZchn"/>
    <w:uiPriority w:val="99"/>
    <w:semiHidden/>
    <w:unhideWhenUsed/>
    <w:rsid w:val="00A209E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09E6"/>
    <w:rPr>
      <w:rFonts w:ascii="Segoe UI" w:hAnsi="Segoe UI" w:cs="Segoe UI"/>
      <w:sz w:val="18"/>
      <w:szCs w:val="18"/>
    </w:rPr>
  </w:style>
  <w:style w:type="paragraph" w:styleId="StandardWeb">
    <w:name w:val="Normal (Web)"/>
    <w:basedOn w:val="Standard"/>
    <w:uiPriority w:val="99"/>
    <w:unhideWhenUsed/>
    <w:rsid w:val="00D62DC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D62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4153">
      <w:bodyDiv w:val="1"/>
      <w:marLeft w:val="0"/>
      <w:marRight w:val="0"/>
      <w:marTop w:val="0"/>
      <w:marBottom w:val="0"/>
      <w:divBdr>
        <w:top w:val="none" w:sz="0" w:space="0" w:color="auto"/>
        <w:left w:val="none" w:sz="0" w:space="0" w:color="auto"/>
        <w:bottom w:val="none" w:sz="0" w:space="0" w:color="auto"/>
        <w:right w:val="none" w:sz="0" w:space="0" w:color="auto"/>
      </w:divBdr>
    </w:div>
    <w:div w:id="348413987">
      <w:bodyDiv w:val="1"/>
      <w:marLeft w:val="0"/>
      <w:marRight w:val="0"/>
      <w:marTop w:val="0"/>
      <w:marBottom w:val="0"/>
      <w:divBdr>
        <w:top w:val="none" w:sz="0" w:space="0" w:color="auto"/>
        <w:left w:val="none" w:sz="0" w:space="0" w:color="auto"/>
        <w:bottom w:val="none" w:sz="0" w:space="0" w:color="auto"/>
        <w:right w:val="none" w:sz="0" w:space="0" w:color="auto"/>
      </w:divBdr>
    </w:div>
    <w:div w:id="76017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1896</Words>
  <Characters>11948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Fejzic Jasmin</dc:creator>
  <cp:keywords/>
  <dc:description/>
  <cp:lastModifiedBy>Fejzic Jasmin</cp:lastModifiedBy>
  <cp:revision>17</cp:revision>
  <cp:lastPrinted>2025-01-12T23:28:00Z</cp:lastPrinted>
  <dcterms:created xsi:type="dcterms:W3CDTF">2025-01-11T15:23:00Z</dcterms:created>
  <dcterms:modified xsi:type="dcterms:W3CDTF">2025-02-13T14:18:00Z</dcterms:modified>
</cp:coreProperties>
</file>