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741DB" w14:textId="77777777" w:rsidR="008B4367" w:rsidRDefault="008B4367" w:rsidP="008B4367">
      <w:pPr>
        <w:spacing w:after="0"/>
        <w:jc w:val="right"/>
        <w:rPr>
          <w:rFonts w:asciiTheme="majorHAnsi" w:hAnsiTheme="majorHAnsi" w:cstheme="majorHAnsi"/>
          <w:sz w:val="28"/>
        </w:rPr>
      </w:pPr>
    </w:p>
    <w:p w14:paraId="7B162E52" w14:textId="77777777" w:rsidR="008B4367" w:rsidRDefault="008B4367" w:rsidP="008B4367">
      <w:pPr>
        <w:spacing w:after="0"/>
        <w:jc w:val="right"/>
        <w:rPr>
          <w:rFonts w:asciiTheme="majorHAnsi" w:hAnsiTheme="majorHAnsi" w:cstheme="majorHAnsi"/>
          <w:sz w:val="28"/>
        </w:rPr>
      </w:pPr>
    </w:p>
    <w:p w14:paraId="1CFBEFBC" w14:textId="77777777" w:rsidR="008B4367" w:rsidRDefault="008B4367" w:rsidP="008B4367">
      <w:pPr>
        <w:spacing w:after="0"/>
        <w:jc w:val="right"/>
        <w:rPr>
          <w:rFonts w:asciiTheme="majorHAnsi" w:hAnsiTheme="majorHAnsi" w:cstheme="majorHAnsi"/>
          <w:sz w:val="28"/>
        </w:rPr>
      </w:pPr>
    </w:p>
    <w:p w14:paraId="0828C12A" w14:textId="77777777" w:rsidR="008B4367" w:rsidRDefault="008B4367" w:rsidP="008B4367">
      <w:pPr>
        <w:spacing w:after="0"/>
        <w:jc w:val="right"/>
        <w:rPr>
          <w:rFonts w:asciiTheme="majorHAnsi" w:hAnsiTheme="majorHAnsi" w:cstheme="majorHAnsi"/>
          <w:sz w:val="28"/>
        </w:rPr>
      </w:pPr>
    </w:p>
    <w:p w14:paraId="1E870EC6" w14:textId="77777777" w:rsidR="008B4367" w:rsidRDefault="008B4367" w:rsidP="008B4367">
      <w:pPr>
        <w:spacing w:after="0"/>
        <w:jc w:val="right"/>
        <w:rPr>
          <w:rFonts w:asciiTheme="majorHAnsi" w:hAnsiTheme="majorHAnsi" w:cstheme="majorHAnsi"/>
          <w:sz w:val="28"/>
        </w:rPr>
      </w:pPr>
    </w:p>
    <w:p w14:paraId="3E4E8358" w14:textId="77777777" w:rsidR="008B4367" w:rsidRDefault="008B4367" w:rsidP="008B4367">
      <w:pPr>
        <w:spacing w:after="0"/>
        <w:jc w:val="right"/>
        <w:rPr>
          <w:rFonts w:asciiTheme="majorHAnsi" w:hAnsiTheme="majorHAnsi" w:cstheme="majorHAnsi"/>
          <w:sz w:val="28"/>
        </w:rPr>
      </w:pPr>
    </w:p>
    <w:p w14:paraId="65119066" w14:textId="77777777" w:rsidR="008B4367" w:rsidRDefault="008B4367" w:rsidP="008B4367">
      <w:pPr>
        <w:spacing w:after="0"/>
        <w:jc w:val="right"/>
        <w:rPr>
          <w:rFonts w:asciiTheme="majorHAnsi" w:hAnsiTheme="majorHAnsi" w:cstheme="majorHAnsi"/>
          <w:sz w:val="28"/>
        </w:rPr>
      </w:pPr>
    </w:p>
    <w:p w14:paraId="6DDD7331" w14:textId="77777777" w:rsidR="008B4367" w:rsidRDefault="008B4367" w:rsidP="008B4367">
      <w:pPr>
        <w:spacing w:after="0"/>
        <w:jc w:val="right"/>
        <w:rPr>
          <w:rFonts w:asciiTheme="majorHAnsi" w:hAnsiTheme="majorHAnsi" w:cstheme="majorHAnsi"/>
          <w:sz w:val="28"/>
        </w:rPr>
      </w:pPr>
    </w:p>
    <w:p w14:paraId="63990C58" w14:textId="77777777" w:rsidR="008B4367" w:rsidRDefault="008B4367" w:rsidP="008B4367">
      <w:pPr>
        <w:spacing w:after="0"/>
        <w:jc w:val="right"/>
        <w:rPr>
          <w:rFonts w:asciiTheme="majorHAnsi" w:hAnsiTheme="majorHAnsi" w:cstheme="majorHAnsi"/>
          <w:sz w:val="28"/>
        </w:rPr>
      </w:pPr>
    </w:p>
    <w:p w14:paraId="017B7B64" w14:textId="77777777" w:rsidR="008B4367" w:rsidRDefault="008B4367" w:rsidP="008B4367">
      <w:pPr>
        <w:spacing w:after="0"/>
        <w:jc w:val="right"/>
        <w:rPr>
          <w:rFonts w:asciiTheme="majorHAnsi" w:hAnsiTheme="majorHAnsi" w:cstheme="majorHAnsi"/>
          <w:sz w:val="28"/>
        </w:rPr>
      </w:pPr>
    </w:p>
    <w:p w14:paraId="7939629F" w14:textId="77777777" w:rsidR="008B4367" w:rsidRDefault="008B4367" w:rsidP="008B4367">
      <w:pPr>
        <w:spacing w:after="0"/>
        <w:jc w:val="right"/>
        <w:rPr>
          <w:rFonts w:asciiTheme="majorHAnsi" w:hAnsiTheme="majorHAnsi" w:cstheme="majorHAnsi"/>
          <w:sz w:val="28"/>
        </w:rPr>
      </w:pPr>
    </w:p>
    <w:p w14:paraId="29896FEA" w14:textId="77777777" w:rsidR="008B4367" w:rsidRDefault="008B4367" w:rsidP="008B4367">
      <w:pPr>
        <w:spacing w:after="0"/>
        <w:jc w:val="right"/>
        <w:rPr>
          <w:rFonts w:asciiTheme="majorHAnsi" w:hAnsiTheme="majorHAnsi" w:cstheme="majorHAnsi"/>
          <w:sz w:val="28"/>
        </w:rPr>
      </w:pPr>
    </w:p>
    <w:p w14:paraId="189736A8" w14:textId="77777777" w:rsidR="008B4367" w:rsidRDefault="008B4367" w:rsidP="008B4367">
      <w:pPr>
        <w:spacing w:after="0"/>
        <w:jc w:val="right"/>
        <w:rPr>
          <w:rFonts w:asciiTheme="majorHAnsi" w:hAnsiTheme="majorHAnsi" w:cstheme="majorHAnsi"/>
          <w:sz w:val="28"/>
        </w:rPr>
      </w:pPr>
    </w:p>
    <w:p w14:paraId="7C188BEA" w14:textId="77777777" w:rsidR="008B4367" w:rsidRDefault="008B4367" w:rsidP="008B4367">
      <w:pPr>
        <w:spacing w:after="0"/>
        <w:jc w:val="right"/>
        <w:rPr>
          <w:rFonts w:asciiTheme="majorHAnsi" w:hAnsiTheme="majorHAnsi" w:cstheme="majorHAnsi"/>
          <w:sz w:val="28"/>
        </w:rPr>
      </w:pPr>
    </w:p>
    <w:p w14:paraId="54BC9BC0" w14:textId="77777777" w:rsidR="008B4367" w:rsidRDefault="008B4367" w:rsidP="008B4367">
      <w:pPr>
        <w:spacing w:after="0"/>
        <w:jc w:val="right"/>
        <w:rPr>
          <w:rFonts w:asciiTheme="majorHAnsi" w:hAnsiTheme="majorHAnsi" w:cstheme="majorHAnsi"/>
          <w:sz w:val="28"/>
        </w:rPr>
      </w:pPr>
    </w:p>
    <w:p w14:paraId="62AFE572" w14:textId="77777777" w:rsidR="008B4367" w:rsidRDefault="008B4367" w:rsidP="008B4367">
      <w:pPr>
        <w:spacing w:after="0"/>
        <w:jc w:val="right"/>
        <w:rPr>
          <w:rFonts w:asciiTheme="majorHAnsi" w:hAnsiTheme="majorHAnsi" w:cstheme="majorHAnsi"/>
          <w:sz w:val="28"/>
        </w:rPr>
      </w:pPr>
    </w:p>
    <w:p w14:paraId="1102384F" w14:textId="77777777" w:rsidR="008B4367" w:rsidRDefault="008B4367" w:rsidP="008B4367">
      <w:pPr>
        <w:spacing w:after="0"/>
        <w:jc w:val="right"/>
        <w:rPr>
          <w:rFonts w:asciiTheme="majorHAnsi" w:hAnsiTheme="majorHAnsi" w:cstheme="majorHAnsi"/>
          <w:sz w:val="28"/>
        </w:rPr>
      </w:pPr>
    </w:p>
    <w:p w14:paraId="1D36E5C6" w14:textId="77777777" w:rsidR="008B4367" w:rsidRDefault="008B4367" w:rsidP="008B4367">
      <w:pPr>
        <w:spacing w:after="0"/>
        <w:jc w:val="right"/>
        <w:rPr>
          <w:rFonts w:asciiTheme="majorHAnsi" w:hAnsiTheme="majorHAnsi" w:cstheme="majorHAnsi"/>
          <w:sz w:val="28"/>
        </w:rPr>
      </w:pPr>
    </w:p>
    <w:p w14:paraId="5E19A3CF" w14:textId="77777777" w:rsidR="008B4367" w:rsidRDefault="008B4367" w:rsidP="008B4367">
      <w:pPr>
        <w:spacing w:after="0"/>
        <w:jc w:val="right"/>
        <w:rPr>
          <w:rFonts w:asciiTheme="majorHAnsi" w:hAnsiTheme="majorHAnsi" w:cstheme="majorHAnsi"/>
          <w:sz w:val="28"/>
        </w:rPr>
      </w:pPr>
    </w:p>
    <w:p w14:paraId="18AE35F6" w14:textId="77777777" w:rsidR="008B4367" w:rsidRDefault="008B4367" w:rsidP="008B4367">
      <w:pPr>
        <w:spacing w:after="0"/>
        <w:jc w:val="right"/>
        <w:rPr>
          <w:rFonts w:asciiTheme="majorHAnsi" w:hAnsiTheme="majorHAnsi" w:cstheme="majorHAnsi"/>
          <w:sz w:val="28"/>
        </w:rPr>
      </w:pPr>
    </w:p>
    <w:p w14:paraId="6E58D836" w14:textId="77777777" w:rsidR="008B4367" w:rsidRDefault="008B4367" w:rsidP="008B4367">
      <w:pPr>
        <w:spacing w:after="0"/>
        <w:jc w:val="right"/>
        <w:rPr>
          <w:rFonts w:asciiTheme="majorHAnsi" w:hAnsiTheme="majorHAnsi" w:cstheme="majorHAnsi"/>
          <w:sz w:val="28"/>
        </w:rPr>
      </w:pPr>
    </w:p>
    <w:p w14:paraId="616B7225" w14:textId="77777777" w:rsidR="008B4367" w:rsidRDefault="008B4367" w:rsidP="008B4367">
      <w:pPr>
        <w:spacing w:after="0"/>
        <w:jc w:val="right"/>
        <w:rPr>
          <w:rFonts w:asciiTheme="majorHAnsi" w:hAnsiTheme="majorHAnsi" w:cstheme="majorHAnsi"/>
          <w:sz w:val="28"/>
        </w:rPr>
      </w:pPr>
    </w:p>
    <w:p w14:paraId="7206F03F" w14:textId="77777777" w:rsidR="008B4367" w:rsidRDefault="008B4367" w:rsidP="008B4367">
      <w:pPr>
        <w:spacing w:after="0"/>
        <w:jc w:val="right"/>
        <w:rPr>
          <w:rFonts w:asciiTheme="majorHAnsi" w:hAnsiTheme="majorHAnsi" w:cstheme="majorHAnsi"/>
          <w:sz w:val="28"/>
        </w:rPr>
      </w:pPr>
    </w:p>
    <w:p w14:paraId="0F3B95EE" w14:textId="77777777" w:rsidR="008B4367" w:rsidRDefault="008B4367" w:rsidP="008B4367">
      <w:pPr>
        <w:spacing w:after="0"/>
        <w:jc w:val="right"/>
        <w:rPr>
          <w:rFonts w:asciiTheme="majorHAnsi" w:hAnsiTheme="majorHAnsi" w:cstheme="majorHAnsi"/>
          <w:sz w:val="28"/>
        </w:rPr>
      </w:pPr>
    </w:p>
    <w:p w14:paraId="7BF37472" w14:textId="77777777" w:rsidR="008B4367" w:rsidRDefault="008B4367" w:rsidP="008B4367">
      <w:pPr>
        <w:spacing w:after="0"/>
        <w:jc w:val="right"/>
        <w:rPr>
          <w:rFonts w:asciiTheme="majorHAnsi" w:hAnsiTheme="majorHAnsi" w:cstheme="majorHAnsi"/>
          <w:sz w:val="28"/>
        </w:rPr>
      </w:pPr>
    </w:p>
    <w:p w14:paraId="45C720F7" w14:textId="77777777" w:rsidR="008B4367" w:rsidRDefault="008B4367" w:rsidP="008B4367">
      <w:pPr>
        <w:spacing w:after="0"/>
        <w:jc w:val="right"/>
        <w:rPr>
          <w:rFonts w:asciiTheme="majorHAnsi" w:hAnsiTheme="majorHAnsi" w:cstheme="majorHAnsi"/>
          <w:sz w:val="28"/>
        </w:rPr>
      </w:pPr>
    </w:p>
    <w:p w14:paraId="03487EC6" w14:textId="77777777" w:rsidR="008B4367" w:rsidRDefault="008B4367" w:rsidP="008B4367">
      <w:pPr>
        <w:spacing w:after="0"/>
        <w:jc w:val="right"/>
        <w:rPr>
          <w:rFonts w:asciiTheme="majorHAnsi" w:hAnsiTheme="majorHAnsi" w:cstheme="majorHAnsi"/>
          <w:sz w:val="28"/>
        </w:rPr>
      </w:pPr>
    </w:p>
    <w:p w14:paraId="0F3419A5" w14:textId="77777777" w:rsidR="008B4367" w:rsidRDefault="008B4367" w:rsidP="008B4367">
      <w:pPr>
        <w:spacing w:after="0"/>
        <w:jc w:val="right"/>
        <w:rPr>
          <w:rFonts w:asciiTheme="majorHAnsi" w:hAnsiTheme="majorHAnsi" w:cstheme="majorHAnsi"/>
          <w:sz w:val="28"/>
        </w:rPr>
      </w:pPr>
    </w:p>
    <w:p w14:paraId="5CC88CC2" w14:textId="77777777" w:rsidR="008B4367" w:rsidRDefault="008B4367" w:rsidP="008B4367">
      <w:pPr>
        <w:spacing w:after="0"/>
        <w:jc w:val="right"/>
        <w:rPr>
          <w:rFonts w:asciiTheme="majorHAnsi" w:hAnsiTheme="majorHAnsi" w:cstheme="majorHAnsi"/>
          <w:sz w:val="28"/>
        </w:rPr>
      </w:pPr>
    </w:p>
    <w:p w14:paraId="14CCD9B4" w14:textId="77777777" w:rsidR="008B4367" w:rsidRDefault="008B4367" w:rsidP="008B4367">
      <w:pPr>
        <w:spacing w:after="0"/>
        <w:jc w:val="right"/>
        <w:rPr>
          <w:rFonts w:asciiTheme="majorHAnsi" w:hAnsiTheme="majorHAnsi" w:cstheme="majorHAnsi"/>
          <w:sz w:val="28"/>
        </w:rPr>
      </w:pPr>
    </w:p>
    <w:p w14:paraId="11C87F19" w14:textId="77777777" w:rsidR="008B4367" w:rsidRDefault="008B4367" w:rsidP="008B4367">
      <w:pPr>
        <w:spacing w:after="0"/>
        <w:jc w:val="right"/>
        <w:rPr>
          <w:rFonts w:asciiTheme="majorHAnsi" w:hAnsiTheme="majorHAnsi" w:cstheme="majorHAnsi"/>
          <w:sz w:val="28"/>
        </w:rPr>
      </w:pPr>
    </w:p>
    <w:p w14:paraId="53C0981B" w14:textId="77777777" w:rsidR="008B4367" w:rsidRDefault="008B4367" w:rsidP="008B4367">
      <w:pPr>
        <w:spacing w:after="0"/>
        <w:jc w:val="right"/>
        <w:rPr>
          <w:rFonts w:asciiTheme="majorHAnsi" w:hAnsiTheme="majorHAnsi" w:cstheme="majorHAnsi"/>
          <w:sz w:val="28"/>
        </w:rPr>
      </w:pPr>
    </w:p>
    <w:p w14:paraId="1E981C3A" w14:textId="77777777" w:rsidR="008B4367" w:rsidRDefault="008B4367" w:rsidP="008B4367">
      <w:pPr>
        <w:spacing w:after="0"/>
        <w:jc w:val="right"/>
        <w:rPr>
          <w:rFonts w:asciiTheme="majorHAnsi" w:hAnsiTheme="majorHAnsi" w:cstheme="majorHAnsi"/>
          <w:sz w:val="28"/>
        </w:rPr>
      </w:pPr>
    </w:p>
    <w:p w14:paraId="4C7F9D6F" w14:textId="77777777" w:rsidR="008B4367" w:rsidRDefault="008B4367" w:rsidP="008B4367">
      <w:pPr>
        <w:spacing w:after="0"/>
        <w:jc w:val="right"/>
        <w:rPr>
          <w:rFonts w:asciiTheme="majorHAnsi" w:hAnsiTheme="majorHAnsi" w:cstheme="majorHAnsi"/>
          <w:sz w:val="28"/>
        </w:rPr>
      </w:pPr>
    </w:p>
    <w:p w14:paraId="56C78649" w14:textId="77777777" w:rsidR="008B4367" w:rsidRDefault="008B4367" w:rsidP="008B4367">
      <w:pPr>
        <w:spacing w:after="0"/>
        <w:jc w:val="right"/>
        <w:rPr>
          <w:rFonts w:asciiTheme="majorHAnsi" w:hAnsiTheme="majorHAnsi" w:cstheme="majorHAnsi"/>
          <w:sz w:val="28"/>
        </w:rPr>
      </w:pPr>
    </w:p>
    <w:p w14:paraId="3F778BFD" w14:textId="77777777" w:rsidR="008B4367" w:rsidRDefault="008B4367" w:rsidP="008B4367">
      <w:pPr>
        <w:spacing w:after="0"/>
        <w:jc w:val="right"/>
        <w:rPr>
          <w:rFonts w:asciiTheme="majorHAnsi" w:hAnsiTheme="majorHAnsi" w:cstheme="majorHAnsi"/>
          <w:sz w:val="28"/>
        </w:rPr>
      </w:pPr>
    </w:p>
    <w:p w14:paraId="68425135" w14:textId="77777777" w:rsidR="008B4367" w:rsidRPr="003E7D9E" w:rsidRDefault="008B4367" w:rsidP="008B4367">
      <w:pPr>
        <w:spacing w:after="0"/>
        <w:jc w:val="right"/>
        <w:rPr>
          <w:rFonts w:asciiTheme="majorHAnsi" w:hAnsiTheme="majorHAnsi" w:cstheme="majorHAnsi"/>
          <w:sz w:val="28"/>
        </w:rPr>
      </w:pPr>
    </w:p>
    <w:p w14:paraId="53325876" w14:textId="77777777" w:rsidR="008B4367" w:rsidRDefault="008B4367" w:rsidP="008B4367">
      <w:pPr>
        <w:spacing w:after="0"/>
        <w:ind w:left="6372" w:firstLine="708"/>
        <w:rPr>
          <w:rFonts w:asciiTheme="majorHAnsi" w:hAnsiTheme="majorHAnsi" w:cstheme="majorHAnsi"/>
          <w:sz w:val="32"/>
        </w:rPr>
      </w:pPr>
    </w:p>
    <w:p w14:paraId="4D788A85" w14:textId="77777777" w:rsidR="008B4367" w:rsidRPr="00DB02B7" w:rsidRDefault="008B4367" w:rsidP="008B4367">
      <w:pPr>
        <w:spacing w:after="0"/>
        <w:jc w:val="right"/>
        <w:rPr>
          <w:rFonts w:asciiTheme="majorHAnsi" w:hAnsiTheme="majorHAnsi" w:cstheme="majorHAnsi"/>
          <w:b/>
          <w:sz w:val="28"/>
          <w:szCs w:val="28"/>
        </w:rPr>
      </w:pPr>
      <w:r>
        <w:rPr>
          <w:rFonts w:asciiTheme="majorHAnsi" w:hAnsiTheme="majorHAnsi" w:cstheme="majorHAnsi"/>
          <w:sz w:val="32"/>
        </w:rPr>
        <w:t xml:space="preserve">         </w:t>
      </w:r>
      <w:r w:rsidRPr="00DB02B7">
        <w:rPr>
          <w:rFonts w:asciiTheme="majorHAnsi" w:hAnsiTheme="majorHAnsi" w:cstheme="majorHAnsi"/>
          <w:sz w:val="28"/>
          <w:szCs w:val="28"/>
        </w:rPr>
        <w:t xml:space="preserve">Praxisbeispiel </w:t>
      </w:r>
    </w:p>
    <w:p w14:paraId="2467007C" w14:textId="77777777" w:rsidR="008B4367" w:rsidRPr="00643EC8" w:rsidRDefault="008B4367" w:rsidP="008B4367">
      <w:pPr>
        <w:spacing w:after="0"/>
        <w:jc w:val="right"/>
        <w:rPr>
          <w:rFonts w:asciiTheme="majorHAnsi" w:hAnsiTheme="majorHAnsi" w:cstheme="majorHAnsi"/>
          <w:b/>
          <w:sz w:val="44"/>
        </w:rPr>
      </w:pPr>
      <w:r>
        <w:rPr>
          <w:rFonts w:asciiTheme="majorHAnsi" w:hAnsiTheme="majorHAnsi" w:cstheme="majorHAnsi"/>
          <w:b/>
          <w:sz w:val="44"/>
        </w:rPr>
        <w:t xml:space="preserve">      Lebenszykluskosten (LCC)</w:t>
      </w:r>
    </w:p>
    <w:p w14:paraId="1E8A6BAB" w14:textId="77777777" w:rsidR="008B4367" w:rsidRPr="003E7D9E" w:rsidRDefault="008B4367" w:rsidP="008B4367">
      <w:pPr>
        <w:spacing w:after="0"/>
        <w:jc w:val="right"/>
        <w:rPr>
          <w:rFonts w:asciiTheme="majorHAnsi" w:hAnsiTheme="majorHAnsi" w:cstheme="majorHAnsi"/>
          <w:sz w:val="28"/>
        </w:rPr>
      </w:pPr>
      <w:r w:rsidRPr="00643EC8">
        <w:rPr>
          <w:rFonts w:asciiTheme="majorHAnsi" w:hAnsiTheme="majorHAnsi" w:cstheme="majorHAnsi"/>
          <w:sz w:val="24"/>
        </w:rPr>
        <w:t>22. Donaufelder</w:t>
      </w:r>
      <w:r>
        <w:rPr>
          <w:rFonts w:asciiTheme="majorHAnsi" w:hAnsiTheme="majorHAnsi" w:cstheme="majorHAnsi"/>
          <w:sz w:val="24"/>
        </w:rPr>
        <w:t xml:space="preserve"> S</w:t>
      </w:r>
      <w:r w:rsidRPr="00643EC8">
        <w:rPr>
          <w:rFonts w:asciiTheme="majorHAnsi" w:hAnsiTheme="majorHAnsi" w:cstheme="majorHAnsi"/>
          <w:sz w:val="24"/>
        </w:rPr>
        <w:t>traße 174-178</w:t>
      </w:r>
    </w:p>
    <w:p w14:paraId="3F5131B3" w14:textId="77777777" w:rsidR="008B4367" w:rsidRPr="003E7D9E" w:rsidRDefault="008B4367" w:rsidP="008B4367">
      <w:pPr>
        <w:rPr>
          <w:rFonts w:asciiTheme="majorHAnsi" w:hAnsiTheme="majorHAnsi" w:cstheme="majorHAnsi"/>
          <w:b/>
          <w:sz w:val="24"/>
        </w:rPr>
      </w:pPr>
      <w:r w:rsidRPr="003E7D9E">
        <w:rPr>
          <w:rFonts w:asciiTheme="majorHAnsi" w:hAnsiTheme="majorHAnsi" w:cstheme="majorHAnsi"/>
        </w:rPr>
        <w:br w:type="page"/>
      </w:r>
      <w:r>
        <w:rPr>
          <w:rFonts w:asciiTheme="majorHAnsi" w:hAnsiTheme="majorHAnsi" w:cstheme="majorHAnsi"/>
          <w:b/>
          <w:sz w:val="24"/>
        </w:rPr>
        <w:lastRenderedPageBreak/>
        <w:t xml:space="preserve">8. </w:t>
      </w:r>
      <w:r w:rsidRPr="003E7D9E">
        <w:rPr>
          <w:rFonts w:asciiTheme="majorHAnsi" w:hAnsiTheme="majorHAnsi" w:cstheme="majorHAnsi"/>
          <w:b/>
          <w:sz w:val="24"/>
        </w:rPr>
        <w:t>KOSTEN IM LEBENSZYKLUS EINES GEBÄUDES</w:t>
      </w:r>
    </w:p>
    <w:p w14:paraId="28EC6ACF" w14:textId="77777777" w:rsidR="008B4367" w:rsidRPr="003E7D9E" w:rsidRDefault="008B4367" w:rsidP="008B4367">
      <w:pPr>
        <w:spacing w:after="0"/>
        <w:rPr>
          <w:rFonts w:asciiTheme="majorHAnsi" w:hAnsiTheme="majorHAnsi" w:cstheme="majorHAnsi"/>
        </w:rPr>
      </w:pPr>
    </w:p>
    <w:p w14:paraId="10CA4551" w14:textId="77777777" w:rsidR="008B4367" w:rsidRDefault="008B4367" w:rsidP="008B4367">
      <w:pPr>
        <w:spacing w:after="0"/>
        <w:jc w:val="both"/>
        <w:rPr>
          <w:rFonts w:asciiTheme="majorHAnsi" w:hAnsiTheme="majorHAnsi" w:cstheme="majorHAnsi"/>
        </w:rPr>
      </w:pPr>
      <w:commentRangeStart w:id="0"/>
      <w:r w:rsidRPr="003E7D9E">
        <w:rPr>
          <w:rFonts w:asciiTheme="majorHAnsi" w:hAnsiTheme="majorHAnsi" w:cstheme="majorHAnsi"/>
        </w:rPr>
        <w:t xml:space="preserve">Die Lebenszykluskostenberechnung, auch bekannt als Life Cycle </w:t>
      </w:r>
      <w:proofErr w:type="spellStart"/>
      <w:r w:rsidRPr="003E7D9E">
        <w:rPr>
          <w:rFonts w:asciiTheme="majorHAnsi" w:hAnsiTheme="majorHAnsi" w:cstheme="majorHAnsi"/>
        </w:rPr>
        <w:t>Costing</w:t>
      </w:r>
      <w:proofErr w:type="spellEnd"/>
      <w:r w:rsidRPr="003E7D9E">
        <w:rPr>
          <w:rFonts w:asciiTheme="majorHAnsi" w:hAnsiTheme="majorHAnsi" w:cstheme="majorHAnsi"/>
        </w:rPr>
        <w:t xml:space="preserve"> (LCC), ermöglicht einen verantwortungsvollen und ressourceneffizienten Umgang mit wirtschaftlichen Mitteln über die gesamte Lebensdauer eines Gebäudes. Insbesondere in den frühen Entwurfsphasen eines Bauprojekts lassen sich wesentliche Potenziale zur Optimierung für eine langfristig wirtschaftliche Nutzung erkennen. Es ist von großer Bedeutung, dass alle Beteiligten von Beginn an und kontinuierlich die möglichen Folgekosten verschiedener Entwurfs- und Ausführungsalternativen berücksichtigen</w:t>
      </w:r>
      <w:r>
        <w:rPr>
          <w:rFonts w:asciiTheme="majorHAnsi" w:hAnsiTheme="majorHAnsi" w:cstheme="majorHAnsi"/>
        </w:rPr>
        <w:t xml:space="preserve"> (1012).</w:t>
      </w:r>
    </w:p>
    <w:p w14:paraId="3AD1FE28" w14:textId="77777777" w:rsidR="008B4367" w:rsidRDefault="008B4367" w:rsidP="008B4367">
      <w:pPr>
        <w:spacing w:after="0"/>
        <w:jc w:val="both"/>
        <w:rPr>
          <w:rFonts w:asciiTheme="majorHAnsi" w:hAnsiTheme="majorHAnsi" w:cstheme="majorHAnsi"/>
        </w:rPr>
      </w:pPr>
    </w:p>
    <w:p w14:paraId="2510142F" w14:textId="77777777" w:rsidR="008B4367" w:rsidRPr="00ED0F9A" w:rsidRDefault="008B4367" w:rsidP="008B4367">
      <w:pPr>
        <w:spacing w:after="0"/>
        <w:rPr>
          <w:rFonts w:asciiTheme="majorHAnsi" w:hAnsiTheme="majorHAnsi" w:cstheme="majorHAnsi"/>
          <w:color w:val="C00000"/>
        </w:rPr>
      </w:pPr>
      <w:r w:rsidRPr="00ED0F9A">
        <w:rPr>
          <w:rFonts w:asciiTheme="majorHAnsi" w:hAnsiTheme="majorHAnsi" w:cstheme="majorHAnsi"/>
          <w:color w:val="C00000"/>
        </w:rPr>
        <w:t xml:space="preserve">[(1012 </w:t>
      </w:r>
      <w:proofErr w:type="spellStart"/>
      <w:r w:rsidRPr="00ED0F9A">
        <w:rPr>
          <w:rFonts w:asciiTheme="majorHAnsi" w:hAnsiTheme="majorHAnsi" w:cstheme="majorHAnsi"/>
          <w:color w:val="C00000"/>
        </w:rPr>
        <w:t>Vgl</w:t>
      </w:r>
      <w:proofErr w:type="spellEnd"/>
      <w:r w:rsidRPr="00ED0F9A">
        <w:rPr>
          <w:rFonts w:asciiTheme="majorHAnsi" w:hAnsiTheme="majorHAnsi" w:cstheme="majorHAnsi"/>
          <w:color w:val="C00000"/>
        </w:rPr>
        <w:t xml:space="preserve"> https://static.dgnb.de/fileadmin/dgnb-system/de/gebaeude/neubau/kriterien/03_ECO1.1_Gebaeudebezogene-Kosten-im-Lebenszyklus</w:t>
      </w:r>
      <w:r>
        <w:rPr>
          <w:rFonts w:asciiTheme="majorHAnsi" w:hAnsiTheme="majorHAnsi" w:cstheme="majorHAnsi"/>
          <w:color w:val="C00000"/>
        </w:rPr>
        <w:t>]</w:t>
      </w:r>
    </w:p>
    <w:p w14:paraId="74E305C5" w14:textId="77777777" w:rsidR="008B4367" w:rsidRDefault="008B4367" w:rsidP="008B4367">
      <w:pPr>
        <w:rPr>
          <w:rFonts w:asciiTheme="majorHAnsi" w:hAnsiTheme="majorHAnsi" w:cstheme="majorHAnsi"/>
        </w:rPr>
      </w:pPr>
    </w:p>
    <w:p w14:paraId="44614755" w14:textId="77777777" w:rsidR="008B4367" w:rsidRPr="00ED740A" w:rsidRDefault="008B4367" w:rsidP="008B4367">
      <w:pPr>
        <w:rPr>
          <w:rFonts w:asciiTheme="majorHAnsi" w:hAnsiTheme="majorHAnsi" w:cstheme="majorHAnsi"/>
        </w:rPr>
      </w:pPr>
      <w:r w:rsidRPr="00ED740A">
        <w:rPr>
          <w:noProof/>
        </w:rPr>
        <w:drawing>
          <wp:inline distT="0" distB="0" distL="0" distR="0" wp14:anchorId="2BAE909E" wp14:editId="62EECD1F">
            <wp:extent cx="5760720" cy="3455771"/>
            <wp:effectExtent l="0" t="0" r="0" b="0"/>
            <wp:docPr id="19" name="Grafik 19" descr="https://static.wixstatic.com/media/f1a46b_74ac5de7da334c57865e0bce00438fb5~mv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wixstatic.com/media/f1a46b_74ac5de7da334c57865e0bce00438fb5~mv2.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455771"/>
                    </a:xfrm>
                    <a:prstGeom prst="rect">
                      <a:avLst/>
                    </a:prstGeom>
                    <a:noFill/>
                    <a:ln>
                      <a:noFill/>
                    </a:ln>
                  </pic:spPr>
                </pic:pic>
              </a:graphicData>
            </a:graphic>
          </wp:inline>
        </w:drawing>
      </w:r>
    </w:p>
    <w:p w14:paraId="62FA6FF4" w14:textId="77777777" w:rsidR="008B4367" w:rsidRPr="00ED740A" w:rsidRDefault="008B4367" w:rsidP="008B4367">
      <w:pPr>
        <w:rPr>
          <w:rFonts w:asciiTheme="majorHAnsi" w:hAnsiTheme="majorHAnsi" w:cstheme="majorHAnsi"/>
          <w:color w:val="C00000"/>
          <w:sz w:val="20"/>
          <w:szCs w:val="20"/>
        </w:rPr>
      </w:pPr>
      <w:proofErr w:type="gramStart"/>
      <w:r w:rsidRPr="00ED740A">
        <w:rPr>
          <w:rFonts w:asciiTheme="majorHAnsi" w:hAnsiTheme="majorHAnsi" w:cstheme="majorHAnsi"/>
          <w:color w:val="C00000"/>
          <w:sz w:val="20"/>
          <w:szCs w:val="20"/>
        </w:rPr>
        <w:t>i[</w:t>
      </w:r>
      <w:proofErr w:type="gramEnd"/>
      <w:r w:rsidRPr="00ED740A">
        <w:rPr>
          <w:rFonts w:asciiTheme="majorHAnsi" w:hAnsiTheme="majorHAnsi" w:cstheme="majorHAnsi"/>
          <w:color w:val="C00000"/>
          <w:sz w:val="20"/>
          <w:szCs w:val="20"/>
        </w:rPr>
        <w:t>Verhältnisdarstellung zur Höhe der Lebenszykluskosten eines Gebäude ^[</w:t>
      </w:r>
      <w:r w:rsidRPr="00ED740A">
        <w:rPr>
          <w:rFonts w:ascii="Calibri Light" w:hAnsi="Calibri Light" w:cs="Calibri Light"/>
          <w:color w:val="C00000"/>
          <w:sz w:val="20"/>
          <w:szCs w:val="20"/>
        </w:rPr>
        <w:t xml:space="preserve"> </w:t>
      </w:r>
      <w:r>
        <w:rPr>
          <w:rFonts w:ascii="Calibri Light" w:hAnsi="Calibri Light" w:cs="Calibri Light"/>
          <w:color w:val="C00000"/>
          <w:sz w:val="20"/>
          <w:szCs w:val="20"/>
        </w:rPr>
        <w:t xml:space="preserve">eigene Darstellung nach: </w:t>
      </w:r>
      <w:r w:rsidRPr="00ED740A">
        <w:rPr>
          <w:rFonts w:ascii="Calibri Light" w:hAnsi="Calibri Light" w:cs="Calibri Light"/>
          <w:color w:val="C00000"/>
          <w:sz w:val="20"/>
          <w:szCs w:val="20"/>
        </w:rPr>
        <w:t>www.nachhaltiges-zuhause.de/lebenszyklus-gebaeude</w:t>
      </w:r>
      <w:r w:rsidRPr="00ED740A">
        <w:rPr>
          <w:rFonts w:asciiTheme="majorHAnsi" w:hAnsiTheme="majorHAnsi" w:cstheme="majorHAnsi"/>
          <w:color w:val="C00000"/>
          <w:sz w:val="20"/>
          <w:szCs w:val="20"/>
        </w:rPr>
        <w:t>]](</w:t>
      </w:r>
      <w:r>
        <w:rPr>
          <w:rFonts w:asciiTheme="majorHAnsi" w:hAnsiTheme="majorHAnsi" w:cstheme="majorHAnsi"/>
          <w:color w:val="C00000"/>
          <w:sz w:val="20"/>
          <w:szCs w:val="20"/>
        </w:rPr>
        <w:t>15</w:t>
      </w:r>
      <w:r w:rsidRPr="00ED740A">
        <w:rPr>
          <w:rFonts w:asciiTheme="majorHAnsi" w:hAnsiTheme="majorHAnsi" w:cstheme="majorHAnsi"/>
          <w:color w:val="C00000"/>
          <w:sz w:val="20"/>
          <w:szCs w:val="20"/>
        </w:rPr>
        <w:t>.pdf)</w:t>
      </w:r>
    </w:p>
    <w:p w14:paraId="3CA5C8F2" w14:textId="77777777" w:rsidR="008B4367" w:rsidRPr="00ED740A" w:rsidRDefault="008B4367" w:rsidP="008B4367">
      <w:pPr>
        <w:rPr>
          <w:rFonts w:asciiTheme="majorHAnsi" w:hAnsiTheme="majorHAnsi" w:cstheme="majorHAnsi"/>
          <w:color w:val="FF0000"/>
        </w:rPr>
      </w:pPr>
    </w:p>
    <w:p w14:paraId="3F1AB592" w14:textId="77777777" w:rsidR="008B4367" w:rsidRDefault="008B4367" w:rsidP="008B4367">
      <w:pPr>
        <w:rPr>
          <w:rFonts w:asciiTheme="majorHAnsi" w:hAnsiTheme="majorHAnsi" w:cstheme="majorHAnsi"/>
        </w:rPr>
      </w:pPr>
    </w:p>
    <w:p w14:paraId="7EB46AB7" w14:textId="77777777" w:rsidR="008B4367" w:rsidRPr="003E7D9E" w:rsidRDefault="008B4367" w:rsidP="008B4367">
      <w:pPr>
        <w:spacing w:after="0"/>
        <w:jc w:val="both"/>
        <w:rPr>
          <w:rFonts w:asciiTheme="majorHAnsi" w:hAnsiTheme="majorHAnsi" w:cstheme="majorHAnsi"/>
        </w:rPr>
      </w:pPr>
      <w:r w:rsidRPr="003E7D9E">
        <w:rPr>
          <w:rFonts w:asciiTheme="majorHAnsi" w:hAnsiTheme="majorHAnsi" w:cstheme="majorHAnsi"/>
        </w:rPr>
        <w:t xml:space="preserve">Die Wirtschaftlichkeit von Gebäuden wird maßgeblich nicht nur durch die Erträge aus Herstellung und Verwertung, sondern vor allem durch einen effizienten Betrieb bestimmt. Die Berechnung der Lebenszykluskosten bietet eine fundierte Möglichkeit, die Kosten eines Gebäudes im mittelfristigen bis langfristigen Zeitraum zu analysieren. Je früher und regelmäßiger diese Berechnungen während der Planungsphase durchgeführt und mit den Planungsbeteiligten kommuniziert werden, desto höher ist die Wahrscheinlichkeit, dass langfristig wirtschaftlich optimierte Lösungen gefunden werden. Mit dieser Methode lässt sich zudem eine transparente Vergleichskostenanalyse für Gebäude ähnlicher Nutzung und Funktionalität erstellen, die Aufschluss über die eigene Leistungsfähigkeit gibt. </w:t>
      </w:r>
      <w:commentRangeEnd w:id="0"/>
      <w:r>
        <w:rPr>
          <w:rStyle w:val="Kommentarzeichen"/>
        </w:rPr>
        <w:commentReference w:id="0"/>
      </w:r>
    </w:p>
    <w:p w14:paraId="6A6EF606" w14:textId="77777777" w:rsidR="008B4367" w:rsidRDefault="008B4367" w:rsidP="008B4367">
      <w:pPr>
        <w:rPr>
          <w:rFonts w:asciiTheme="majorHAnsi" w:hAnsiTheme="majorHAnsi" w:cstheme="majorHAnsi"/>
        </w:rPr>
      </w:pPr>
      <w:r>
        <w:rPr>
          <w:rFonts w:asciiTheme="majorHAnsi" w:hAnsiTheme="majorHAnsi" w:cstheme="majorHAnsi"/>
        </w:rPr>
        <w:br w:type="page"/>
      </w:r>
    </w:p>
    <w:p w14:paraId="3DE134A6" w14:textId="77777777" w:rsidR="008B4367" w:rsidRPr="003E7D9E" w:rsidRDefault="008B4367" w:rsidP="008B4367">
      <w:pPr>
        <w:spacing w:after="0"/>
        <w:jc w:val="both"/>
        <w:rPr>
          <w:rFonts w:asciiTheme="majorHAnsi" w:hAnsiTheme="majorHAnsi" w:cstheme="majorHAnsi"/>
        </w:rPr>
      </w:pPr>
    </w:p>
    <w:p w14:paraId="03AD9070" w14:textId="77777777" w:rsidR="008B4367" w:rsidRPr="003E7D9E" w:rsidRDefault="008B4367" w:rsidP="008B4367">
      <w:pPr>
        <w:spacing w:after="0"/>
        <w:rPr>
          <w:rFonts w:asciiTheme="majorHAnsi" w:hAnsiTheme="majorHAnsi" w:cstheme="majorHAnsi"/>
        </w:rPr>
      </w:pPr>
    </w:p>
    <w:p w14:paraId="348ABAC8" w14:textId="77777777" w:rsidR="008B4367" w:rsidRPr="003E7D9E" w:rsidRDefault="008B4367" w:rsidP="008B4367">
      <w:pPr>
        <w:spacing w:after="0"/>
        <w:rPr>
          <w:rFonts w:asciiTheme="majorHAnsi" w:hAnsiTheme="majorHAnsi" w:cstheme="majorHAnsi"/>
        </w:rPr>
      </w:pPr>
    </w:p>
    <w:p w14:paraId="492C56EF" w14:textId="77777777" w:rsidR="008B4367" w:rsidRPr="003E7D9E" w:rsidRDefault="008B4367" w:rsidP="008B4367">
      <w:pPr>
        <w:spacing w:after="0"/>
        <w:rPr>
          <w:rFonts w:asciiTheme="majorHAnsi" w:hAnsiTheme="majorHAnsi" w:cstheme="majorHAnsi"/>
          <w:b/>
        </w:rPr>
      </w:pPr>
      <w:r>
        <w:rPr>
          <w:rFonts w:asciiTheme="majorHAnsi" w:hAnsiTheme="majorHAnsi" w:cstheme="majorHAnsi"/>
          <w:b/>
        </w:rPr>
        <w:t xml:space="preserve">8.1 </w:t>
      </w:r>
      <w:r w:rsidRPr="003E7D9E">
        <w:rPr>
          <w:rFonts w:asciiTheme="majorHAnsi" w:hAnsiTheme="majorHAnsi" w:cstheme="majorHAnsi"/>
          <w:b/>
        </w:rPr>
        <w:t>BASISKENNWERTE ZUR BERECHNUNG</w:t>
      </w:r>
      <w:r>
        <w:rPr>
          <w:rFonts w:asciiTheme="majorHAnsi" w:hAnsiTheme="majorHAnsi" w:cstheme="majorHAnsi"/>
          <w:b/>
        </w:rPr>
        <w:t xml:space="preserve"> DES </w:t>
      </w:r>
      <w:r w:rsidRPr="003E7D9E">
        <w:rPr>
          <w:rFonts w:asciiTheme="majorHAnsi" w:hAnsiTheme="majorHAnsi" w:cstheme="majorHAnsi"/>
          <w:b/>
          <w:sz w:val="24"/>
        </w:rPr>
        <w:t>LEBENSZYKLUS</w:t>
      </w:r>
      <w:r w:rsidRPr="003E7D9E">
        <w:rPr>
          <w:rFonts w:asciiTheme="majorHAnsi" w:hAnsiTheme="majorHAnsi" w:cstheme="majorHAnsi"/>
          <w:b/>
        </w:rPr>
        <w:t xml:space="preserve"> </w:t>
      </w:r>
    </w:p>
    <w:p w14:paraId="450FE537" w14:textId="77777777" w:rsidR="008B4367" w:rsidRPr="003E7D9E" w:rsidRDefault="008B4367" w:rsidP="008B4367">
      <w:pPr>
        <w:pStyle w:val="StandardWeb"/>
        <w:rPr>
          <w:rFonts w:asciiTheme="majorHAnsi" w:hAnsiTheme="majorHAnsi" w:cstheme="majorHAnsi"/>
        </w:rPr>
      </w:pPr>
      <w:r w:rsidRPr="0013544D">
        <w:rPr>
          <w:rFonts w:asciiTheme="majorHAnsi" w:eastAsiaTheme="minorHAnsi" w:hAnsiTheme="majorHAnsi" w:cstheme="majorHAnsi"/>
          <w:sz w:val="22"/>
          <w:szCs w:val="22"/>
          <w:lang w:eastAsia="en-US"/>
        </w:rPr>
        <w:t>Die nachfolgende Lebenszykluskostenberechnung basiert auf den ÖNORM B 1801-1 und B 1801-2. In dieser Analyse wird das Referenzprojekt in der 22. Donaufelder Straße 174-178 hinsichtlich der Errichtungskosten der geplanten mineralischen Bauweise mit einem Entwurf in Holzbauweise verglichen.</w:t>
      </w:r>
    </w:p>
    <w:tbl>
      <w:tblPr>
        <w:tblW w:w="5387" w:type="dxa"/>
        <w:tblInd w:w="-10" w:type="dxa"/>
        <w:tblCellMar>
          <w:left w:w="70" w:type="dxa"/>
          <w:right w:w="70" w:type="dxa"/>
        </w:tblCellMar>
        <w:tblLook w:val="04A0" w:firstRow="1" w:lastRow="0" w:firstColumn="1" w:lastColumn="0" w:noHBand="0" w:noVBand="1"/>
      </w:tblPr>
      <w:tblGrid>
        <w:gridCol w:w="1985"/>
        <w:gridCol w:w="3402"/>
      </w:tblGrid>
      <w:tr w:rsidR="008B4367" w:rsidRPr="0072426F" w14:paraId="6646B561" w14:textId="77777777" w:rsidTr="003A774C">
        <w:trPr>
          <w:trHeight w:val="288"/>
        </w:trPr>
        <w:tc>
          <w:tcPr>
            <w:tcW w:w="5387" w:type="dxa"/>
            <w:gridSpan w:val="2"/>
            <w:tcBorders>
              <w:top w:val="single" w:sz="8" w:space="0" w:color="auto"/>
              <w:left w:val="single" w:sz="8" w:space="0" w:color="auto"/>
              <w:bottom w:val="single" w:sz="4" w:space="0" w:color="auto"/>
              <w:right w:val="single" w:sz="8" w:space="0" w:color="000000"/>
            </w:tcBorders>
            <w:shd w:val="clear" w:color="000000" w:fill="D9D9D9"/>
            <w:noWrap/>
            <w:vAlign w:val="bottom"/>
            <w:hideMark/>
          </w:tcPr>
          <w:p w14:paraId="0DD95962" w14:textId="77777777" w:rsidR="008B4367" w:rsidRPr="0072426F" w:rsidRDefault="008B4367" w:rsidP="003A774C">
            <w:pPr>
              <w:spacing w:after="0"/>
              <w:jc w:val="center"/>
              <w:rPr>
                <w:rFonts w:asciiTheme="majorHAnsi" w:hAnsiTheme="majorHAnsi" w:cstheme="majorHAnsi"/>
                <w:b/>
                <w:color w:val="000000"/>
              </w:rPr>
            </w:pPr>
            <w:r w:rsidRPr="0072426F">
              <w:rPr>
                <w:rFonts w:asciiTheme="majorHAnsi" w:hAnsiTheme="majorHAnsi" w:cstheme="majorHAnsi"/>
                <w:b/>
                <w:color w:val="000000"/>
              </w:rPr>
              <w:t>Kennwerte Gebäudemodell 1</w:t>
            </w:r>
          </w:p>
        </w:tc>
      </w:tr>
      <w:tr w:rsidR="008B4367" w:rsidRPr="0072426F" w14:paraId="471F2CB1" w14:textId="77777777" w:rsidTr="003A774C">
        <w:trPr>
          <w:trHeight w:val="288"/>
        </w:trPr>
        <w:tc>
          <w:tcPr>
            <w:tcW w:w="1985" w:type="dxa"/>
            <w:tcBorders>
              <w:top w:val="nil"/>
              <w:left w:val="single" w:sz="8" w:space="0" w:color="auto"/>
              <w:bottom w:val="single" w:sz="4" w:space="0" w:color="auto"/>
              <w:right w:val="single" w:sz="4" w:space="0" w:color="auto"/>
            </w:tcBorders>
            <w:shd w:val="clear" w:color="auto" w:fill="auto"/>
            <w:noWrap/>
            <w:vAlign w:val="bottom"/>
            <w:hideMark/>
          </w:tcPr>
          <w:p w14:paraId="41A92D98" w14:textId="77777777" w:rsidR="008B4367" w:rsidRPr="0072426F" w:rsidRDefault="008B4367" w:rsidP="003A774C">
            <w:pPr>
              <w:spacing w:after="0"/>
              <w:rPr>
                <w:rFonts w:asciiTheme="majorHAnsi" w:hAnsiTheme="majorHAnsi" w:cstheme="majorHAnsi"/>
                <w:color w:val="000000"/>
              </w:rPr>
            </w:pPr>
            <w:r w:rsidRPr="003E7D9E">
              <w:rPr>
                <w:rFonts w:asciiTheme="majorHAnsi" w:hAnsiTheme="majorHAnsi" w:cstheme="majorHAnsi"/>
                <w:color w:val="000000"/>
              </w:rPr>
              <w:t xml:space="preserve"> </w:t>
            </w:r>
            <w:r w:rsidRPr="0072426F">
              <w:rPr>
                <w:rFonts w:asciiTheme="majorHAnsi" w:hAnsiTheme="majorHAnsi" w:cstheme="majorHAnsi"/>
                <w:color w:val="000000"/>
              </w:rPr>
              <w:t>Nutzung:</w:t>
            </w:r>
          </w:p>
        </w:tc>
        <w:tc>
          <w:tcPr>
            <w:tcW w:w="3402" w:type="dxa"/>
            <w:tcBorders>
              <w:top w:val="single" w:sz="4" w:space="0" w:color="auto"/>
              <w:left w:val="nil"/>
              <w:bottom w:val="single" w:sz="4" w:space="0" w:color="auto"/>
              <w:right w:val="single" w:sz="8" w:space="0" w:color="000000"/>
            </w:tcBorders>
            <w:shd w:val="clear" w:color="auto" w:fill="auto"/>
            <w:noWrap/>
            <w:vAlign w:val="bottom"/>
            <w:hideMark/>
          </w:tcPr>
          <w:p w14:paraId="1246F484" w14:textId="77777777" w:rsidR="008B4367" w:rsidRPr="0072426F" w:rsidRDefault="008B4367" w:rsidP="003A774C">
            <w:pPr>
              <w:spacing w:after="0"/>
              <w:rPr>
                <w:rFonts w:asciiTheme="majorHAnsi" w:hAnsiTheme="majorHAnsi" w:cstheme="majorHAnsi"/>
                <w:color w:val="000000"/>
              </w:rPr>
            </w:pPr>
            <w:r w:rsidRPr="0072426F">
              <w:rPr>
                <w:rFonts w:asciiTheme="majorHAnsi" w:hAnsiTheme="majorHAnsi" w:cstheme="majorHAnsi"/>
                <w:color w:val="000000"/>
              </w:rPr>
              <w:t>aus</w:t>
            </w:r>
            <w:r w:rsidRPr="003E7D9E">
              <w:rPr>
                <w:rFonts w:asciiTheme="majorHAnsi" w:hAnsiTheme="majorHAnsi" w:cstheme="majorHAnsi"/>
                <w:color w:val="000000"/>
              </w:rPr>
              <w:t>s</w:t>
            </w:r>
            <w:r w:rsidRPr="0072426F">
              <w:rPr>
                <w:rFonts w:asciiTheme="majorHAnsi" w:hAnsiTheme="majorHAnsi" w:cstheme="majorHAnsi"/>
                <w:color w:val="000000"/>
              </w:rPr>
              <w:t>chließlich Wohnzwecke</w:t>
            </w:r>
          </w:p>
        </w:tc>
      </w:tr>
      <w:tr w:rsidR="008B4367" w:rsidRPr="0072426F" w14:paraId="61C43CA3" w14:textId="77777777" w:rsidTr="003A774C">
        <w:trPr>
          <w:trHeight w:val="288"/>
        </w:trPr>
        <w:tc>
          <w:tcPr>
            <w:tcW w:w="1985" w:type="dxa"/>
            <w:tcBorders>
              <w:top w:val="nil"/>
              <w:left w:val="single" w:sz="8" w:space="0" w:color="auto"/>
              <w:bottom w:val="single" w:sz="4" w:space="0" w:color="auto"/>
              <w:right w:val="single" w:sz="4" w:space="0" w:color="auto"/>
            </w:tcBorders>
            <w:shd w:val="clear" w:color="auto" w:fill="auto"/>
            <w:noWrap/>
            <w:vAlign w:val="bottom"/>
            <w:hideMark/>
          </w:tcPr>
          <w:p w14:paraId="120259BF" w14:textId="77777777" w:rsidR="008B4367" w:rsidRPr="0072426F" w:rsidRDefault="008B4367" w:rsidP="003A774C">
            <w:pPr>
              <w:spacing w:after="0"/>
              <w:rPr>
                <w:rFonts w:asciiTheme="majorHAnsi" w:hAnsiTheme="majorHAnsi" w:cstheme="majorHAnsi"/>
                <w:color w:val="000000"/>
              </w:rPr>
            </w:pPr>
            <w:r w:rsidRPr="0072426F">
              <w:rPr>
                <w:rFonts w:asciiTheme="majorHAnsi" w:hAnsiTheme="majorHAnsi" w:cstheme="majorHAnsi"/>
                <w:color w:val="000000"/>
              </w:rPr>
              <w:t xml:space="preserve">Lage: </w:t>
            </w:r>
          </w:p>
        </w:tc>
        <w:tc>
          <w:tcPr>
            <w:tcW w:w="3402" w:type="dxa"/>
            <w:tcBorders>
              <w:top w:val="single" w:sz="4" w:space="0" w:color="auto"/>
              <w:left w:val="nil"/>
              <w:bottom w:val="single" w:sz="4" w:space="0" w:color="auto"/>
              <w:right w:val="single" w:sz="8" w:space="0" w:color="000000"/>
            </w:tcBorders>
            <w:shd w:val="clear" w:color="auto" w:fill="auto"/>
            <w:noWrap/>
            <w:vAlign w:val="bottom"/>
            <w:hideMark/>
          </w:tcPr>
          <w:p w14:paraId="7F39A6E3" w14:textId="77777777" w:rsidR="008B4367" w:rsidRPr="0072426F" w:rsidRDefault="008B4367" w:rsidP="003A774C">
            <w:pPr>
              <w:spacing w:after="0"/>
              <w:rPr>
                <w:rFonts w:asciiTheme="majorHAnsi" w:hAnsiTheme="majorHAnsi" w:cstheme="majorHAnsi"/>
                <w:color w:val="000000"/>
              </w:rPr>
            </w:pPr>
            <w:r w:rsidRPr="0072426F">
              <w:rPr>
                <w:rFonts w:asciiTheme="majorHAnsi" w:hAnsiTheme="majorHAnsi" w:cstheme="majorHAnsi"/>
                <w:color w:val="000000"/>
              </w:rPr>
              <w:t>Wien, 22. Bezirk</w:t>
            </w:r>
          </w:p>
        </w:tc>
      </w:tr>
      <w:tr w:rsidR="008B4367" w:rsidRPr="0072426F" w14:paraId="6B2BBF37" w14:textId="77777777" w:rsidTr="003A774C">
        <w:trPr>
          <w:trHeight w:val="300"/>
        </w:trPr>
        <w:tc>
          <w:tcPr>
            <w:tcW w:w="1985" w:type="dxa"/>
            <w:tcBorders>
              <w:top w:val="nil"/>
              <w:left w:val="single" w:sz="8" w:space="0" w:color="auto"/>
              <w:bottom w:val="single" w:sz="8" w:space="0" w:color="auto"/>
              <w:right w:val="single" w:sz="4" w:space="0" w:color="auto"/>
            </w:tcBorders>
            <w:shd w:val="clear" w:color="auto" w:fill="auto"/>
            <w:noWrap/>
            <w:vAlign w:val="bottom"/>
            <w:hideMark/>
          </w:tcPr>
          <w:p w14:paraId="405721E4" w14:textId="77777777" w:rsidR="008B4367" w:rsidRPr="0072426F" w:rsidRDefault="008B4367" w:rsidP="003A774C">
            <w:pPr>
              <w:spacing w:after="0"/>
              <w:rPr>
                <w:rFonts w:asciiTheme="majorHAnsi" w:hAnsiTheme="majorHAnsi" w:cstheme="majorHAnsi"/>
                <w:color w:val="000000"/>
              </w:rPr>
            </w:pPr>
            <w:r w:rsidRPr="0072426F">
              <w:rPr>
                <w:rFonts w:asciiTheme="majorHAnsi" w:hAnsiTheme="majorHAnsi" w:cstheme="majorHAnsi"/>
                <w:color w:val="000000"/>
              </w:rPr>
              <w:t>Fläche:</w:t>
            </w:r>
          </w:p>
        </w:tc>
        <w:tc>
          <w:tcPr>
            <w:tcW w:w="3402" w:type="dxa"/>
            <w:tcBorders>
              <w:top w:val="single" w:sz="4" w:space="0" w:color="auto"/>
              <w:left w:val="nil"/>
              <w:bottom w:val="single" w:sz="8" w:space="0" w:color="auto"/>
              <w:right w:val="single" w:sz="8" w:space="0" w:color="000000"/>
            </w:tcBorders>
            <w:shd w:val="clear" w:color="auto" w:fill="auto"/>
            <w:noWrap/>
            <w:vAlign w:val="bottom"/>
            <w:hideMark/>
          </w:tcPr>
          <w:p w14:paraId="69BBF826" w14:textId="77777777" w:rsidR="008B4367" w:rsidRPr="0072426F" w:rsidRDefault="008B4367" w:rsidP="003A774C">
            <w:pPr>
              <w:spacing w:after="0"/>
              <w:rPr>
                <w:rFonts w:asciiTheme="majorHAnsi" w:hAnsiTheme="majorHAnsi" w:cstheme="majorHAnsi"/>
                <w:color w:val="000000"/>
              </w:rPr>
            </w:pPr>
            <w:r w:rsidRPr="0072426F">
              <w:rPr>
                <w:rFonts w:asciiTheme="majorHAnsi" w:hAnsiTheme="majorHAnsi" w:cstheme="majorHAnsi"/>
                <w:color w:val="000000"/>
              </w:rPr>
              <w:t>2953,29m²</w:t>
            </w:r>
          </w:p>
        </w:tc>
      </w:tr>
      <w:tr w:rsidR="008B4367" w:rsidRPr="0072426F" w14:paraId="093C1258" w14:textId="77777777" w:rsidTr="003A774C">
        <w:trPr>
          <w:trHeight w:val="696"/>
        </w:trPr>
        <w:tc>
          <w:tcPr>
            <w:tcW w:w="5387" w:type="dxa"/>
            <w:gridSpan w:val="2"/>
            <w:tcBorders>
              <w:top w:val="single" w:sz="8" w:space="0" w:color="auto"/>
              <w:left w:val="single" w:sz="8" w:space="0" w:color="auto"/>
              <w:bottom w:val="single" w:sz="8" w:space="0" w:color="auto"/>
              <w:right w:val="single" w:sz="8" w:space="0" w:color="000000"/>
            </w:tcBorders>
            <w:shd w:val="clear" w:color="auto" w:fill="auto"/>
            <w:hideMark/>
          </w:tcPr>
          <w:p w14:paraId="08539306" w14:textId="77777777" w:rsidR="008B4367" w:rsidRPr="0072426F" w:rsidRDefault="008B4367" w:rsidP="003A774C">
            <w:pPr>
              <w:spacing w:after="0"/>
              <w:rPr>
                <w:rFonts w:asciiTheme="majorHAnsi" w:hAnsiTheme="majorHAnsi" w:cstheme="majorHAnsi"/>
                <w:color w:val="000000"/>
              </w:rPr>
            </w:pPr>
            <w:r w:rsidRPr="0072426F">
              <w:rPr>
                <w:rFonts w:asciiTheme="majorHAnsi" w:hAnsiTheme="majorHAnsi" w:cstheme="majorHAnsi"/>
                <w:color w:val="000000"/>
              </w:rPr>
              <w:t>Bauweise: mineralische Bauweise,</w:t>
            </w:r>
            <w:r w:rsidRPr="0072426F">
              <w:rPr>
                <w:rFonts w:asciiTheme="majorHAnsi" w:hAnsiTheme="majorHAnsi" w:cstheme="majorHAnsi"/>
                <w:color w:val="000000"/>
              </w:rPr>
              <w:br/>
              <w:t>eher kein großer Einfluss an ökologischen Baustoffen</w:t>
            </w:r>
          </w:p>
        </w:tc>
      </w:tr>
    </w:tbl>
    <w:p w14:paraId="6098602E" w14:textId="77777777" w:rsidR="008B4367" w:rsidRPr="00F05616" w:rsidRDefault="008B4367" w:rsidP="008B4367">
      <w:pPr>
        <w:rPr>
          <w:rFonts w:asciiTheme="majorHAnsi" w:hAnsiTheme="majorHAnsi" w:cstheme="majorHAnsi"/>
          <w:color w:val="C00000"/>
          <w:sz w:val="20"/>
          <w:szCs w:val="20"/>
        </w:rPr>
      </w:pPr>
      <w:proofErr w:type="gramStart"/>
      <w:r w:rsidRPr="00F05616">
        <w:rPr>
          <w:rFonts w:asciiTheme="majorHAnsi" w:hAnsiTheme="majorHAnsi" w:cstheme="majorHAnsi"/>
          <w:color w:val="C00000"/>
          <w:sz w:val="20"/>
          <w:szCs w:val="20"/>
        </w:rPr>
        <w:t>i[</w:t>
      </w:r>
      <w:proofErr w:type="gramEnd"/>
      <w:r w:rsidRPr="00F05616">
        <w:rPr>
          <w:rFonts w:asciiTheme="majorHAnsi" w:hAnsiTheme="majorHAnsi" w:cstheme="majorHAnsi"/>
          <w:color w:val="C00000"/>
          <w:sz w:val="20"/>
          <w:szCs w:val="20"/>
        </w:rPr>
        <w:t>Daten zum Modell in der mineralischen Bauweise ^[</w:t>
      </w:r>
      <w:r w:rsidRPr="00F05616">
        <w:rPr>
          <w:rFonts w:ascii="Calibri Light" w:hAnsi="Calibri Light" w:cs="Calibri Light"/>
          <w:color w:val="C00000"/>
          <w:sz w:val="20"/>
          <w:szCs w:val="20"/>
        </w:rPr>
        <w:t>eigene Darstellung</w:t>
      </w:r>
      <w:r w:rsidRPr="00F05616">
        <w:rPr>
          <w:rFonts w:asciiTheme="majorHAnsi" w:hAnsiTheme="majorHAnsi" w:cstheme="majorHAnsi"/>
          <w:color w:val="C00000"/>
          <w:sz w:val="20"/>
          <w:szCs w:val="20"/>
        </w:rPr>
        <w:t>]](51.pdf)</w:t>
      </w:r>
    </w:p>
    <w:p w14:paraId="50AEB6FA" w14:textId="77777777" w:rsidR="008B4367" w:rsidRPr="003E7D9E" w:rsidRDefault="008B4367" w:rsidP="008B4367">
      <w:pPr>
        <w:spacing w:after="0"/>
        <w:rPr>
          <w:rFonts w:asciiTheme="majorHAnsi" w:hAnsiTheme="majorHAnsi" w:cstheme="majorHAnsi"/>
        </w:rPr>
      </w:pPr>
    </w:p>
    <w:tbl>
      <w:tblPr>
        <w:tblW w:w="5387" w:type="dxa"/>
        <w:tblInd w:w="-10" w:type="dxa"/>
        <w:tblCellMar>
          <w:left w:w="70" w:type="dxa"/>
          <w:right w:w="70" w:type="dxa"/>
        </w:tblCellMar>
        <w:tblLook w:val="04A0" w:firstRow="1" w:lastRow="0" w:firstColumn="1" w:lastColumn="0" w:noHBand="0" w:noVBand="1"/>
      </w:tblPr>
      <w:tblGrid>
        <w:gridCol w:w="1985"/>
        <w:gridCol w:w="3402"/>
      </w:tblGrid>
      <w:tr w:rsidR="008B4367" w:rsidRPr="0072426F" w14:paraId="13DAFAF1" w14:textId="77777777" w:rsidTr="003A774C">
        <w:trPr>
          <w:trHeight w:val="288"/>
        </w:trPr>
        <w:tc>
          <w:tcPr>
            <w:tcW w:w="5387" w:type="dxa"/>
            <w:gridSpan w:val="2"/>
            <w:tcBorders>
              <w:top w:val="single" w:sz="8" w:space="0" w:color="auto"/>
              <w:left w:val="single" w:sz="8" w:space="0" w:color="auto"/>
              <w:bottom w:val="single" w:sz="4" w:space="0" w:color="auto"/>
              <w:right w:val="single" w:sz="8" w:space="0" w:color="000000"/>
            </w:tcBorders>
            <w:shd w:val="clear" w:color="000000" w:fill="D9D9D9"/>
            <w:noWrap/>
            <w:vAlign w:val="bottom"/>
            <w:hideMark/>
          </w:tcPr>
          <w:p w14:paraId="59AE6EBC" w14:textId="77777777" w:rsidR="008B4367" w:rsidRPr="0072426F" w:rsidRDefault="008B4367" w:rsidP="003A774C">
            <w:pPr>
              <w:spacing w:after="0"/>
              <w:jc w:val="center"/>
              <w:rPr>
                <w:rFonts w:asciiTheme="majorHAnsi" w:hAnsiTheme="majorHAnsi" w:cstheme="majorHAnsi"/>
                <w:b/>
                <w:color w:val="000000"/>
              </w:rPr>
            </w:pPr>
            <w:r w:rsidRPr="0072426F">
              <w:rPr>
                <w:rFonts w:asciiTheme="majorHAnsi" w:hAnsiTheme="majorHAnsi" w:cstheme="majorHAnsi"/>
                <w:b/>
                <w:color w:val="000000"/>
              </w:rPr>
              <w:t>Kennwerte Gebäudemodell 2</w:t>
            </w:r>
          </w:p>
        </w:tc>
      </w:tr>
      <w:tr w:rsidR="008B4367" w:rsidRPr="0072426F" w14:paraId="0E837D0B" w14:textId="77777777" w:rsidTr="003A774C">
        <w:trPr>
          <w:trHeight w:val="288"/>
        </w:trPr>
        <w:tc>
          <w:tcPr>
            <w:tcW w:w="1985" w:type="dxa"/>
            <w:tcBorders>
              <w:top w:val="nil"/>
              <w:left w:val="single" w:sz="8" w:space="0" w:color="auto"/>
              <w:bottom w:val="single" w:sz="4" w:space="0" w:color="auto"/>
              <w:right w:val="single" w:sz="4" w:space="0" w:color="auto"/>
            </w:tcBorders>
            <w:shd w:val="clear" w:color="auto" w:fill="auto"/>
            <w:noWrap/>
            <w:vAlign w:val="bottom"/>
            <w:hideMark/>
          </w:tcPr>
          <w:p w14:paraId="52D99E74" w14:textId="77777777" w:rsidR="008B4367" w:rsidRPr="0072426F" w:rsidRDefault="008B4367" w:rsidP="003A774C">
            <w:pPr>
              <w:spacing w:after="0"/>
              <w:rPr>
                <w:rFonts w:asciiTheme="majorHAnsi" w:hAnsiTheme="majorHAnsi" w:cstheme="majorHAnsi"/>
                <w:color w:val="000000"/>
              </w:rPr>
            </w:pPr>
            <w:r w:rsidRPr="0072426F">
              <w:rPr>
                <w:rFonts w:asciiTheme="majorHAnsi" w:hAnsiTheme="majorHAnsi" w:cstheme="majorHAnsi"/>
                <w:color w:val="000000"/>
              </w:rPr>
              <w:t>Nutzung:</w:t>
            </w:r>
          </w:p>
        </w:tc>
        <w:tc>
          <w:tcPr>
            <w:tcW w:w="3402" w:type="dxa"/>
            <w:tcBorders>
              <w:top w:val="single" w:sz="4" w:space="0" w:color="auto"/>
              <w:left w:val="nil"/>
              <w:bottom w:val="single" w:sz="4" w:space="0" w:color="auto"/>
              <w:right w:val="single" w:sz="8" w:space="0" w:color="000000"/>
            </w:tcBorders>
            <w:shd w:val="clear" w:color="auto" w:fill="auto"/>
            <w:noWrap/>
            <w:vAlign w:val="bottom"/>
            <w:hideMark/>
          </w:tcPr>
          <w:p w14:paraId="01A0BD1C" w14:textId="77777777" w:rsidR="008B4367" w:rsidRPr="0072426F" w:rsidRDefault="008B4367" w:rsidP="003A774C">
            <w:pPr>
              <w:spacing w:after="0"/>
              <w:rPr>
                <w:rFonts w:asciiTheme="majorHAnsi" w:hAnsiTheme="majorHAnsi" w:cstheme="majorHAnsi"/>
                <w:color w:val="000000"/>
              </w:rPr>
            </w:pPr>
            <w:r w:rsidRPr="0072426F">
              <w:rPr>
                <w:rFonts w:asciiTheme="majorHAnsi" w:hAnsiTheme="majorHAnsi" w:cstheme="majorHAnsi"/>
                <w:color w:val="000000"/>
              </w:rPr>
              <w:t>aus</w:t>
            </w:r>
            <w:r w:rsidRPr="003E7D9E">
              <w:rPr>
                <w:rFonts w:asciiTheme="majorHAnsi" w:hAnsiTheme="majorHAnsi" w:cstheme="majorHAnsi"/>
                <w:color w:val="000000"/>
              </w:rPr>
              <w:t>s</w:t>
            </w:r>
            <w:r w:rsidRPr="0072426F">
              <w:rPr>
                <w:rFonts w:asciiTheme="majorHAnsi" w:hAnsiTheme="majorHAnsi" w:cstheme="majorHAnsi"/>
                <w:color w:val="000000"/>
              </w:rPr>
              <w:t>chließlich Wohnzwecke</w:t>
            </w:r>
          </w:p>
        </w:tc>
      </w:tr>
      <w:tr w:rsidR="008B4367" w:rsidRPr="0072426F" w14:paraId="3BAE514E" w14:textId="77777777" w:rsidTr="003A774C">
        <w:trPr>
          <w:trHeight w:val="288"/>
        </w:trPr>
        <w:tc>
          <w:tcPr>
            <w:tcW w:w="1985" w:type="dxa"/>
            <w:tcBorders>
              <w:top w:val="nil"/>
              <w:left w:val="single" w:sz="8" w:space="0" w:color="auto"/>
              <w:bottom w:val="single" w:sz="4" w:space="0" w:color="auto"/>
              <w:right w:val="single" w:sz="4" w:space="0" w:color="auto"/>
            </w:tcBorders>
            <w:shd w:val="clear" w:color="auto" w:fill="auto"/>
            <w:noWrap/>
            <w:vAlign w:val="bottom"/>
            <w:hideMark/>
          </w:tcPr>
          <w:p w14:paraId="6560C65E" w14:textId="77777777" w:rsidR="008B4367" w:rsidRPr="0072426F" w:rsidRDefault="008B4367" w:rsidP="003A774C">
            <w:pPr>
              <w:spacing w:after="0"/>
              <w:rPr>
                <w:rFonts w:asciiTheme="majorHAnsi" w:hAnsiTheme="majorHAnsi" w:cstheme="majorHAnsi"/>
                <w:color w:val="000000"/>
              </w:rPr>
            </w:pPr>
            <w:r w:rsidRPr="0072426F">
              <w:rPr>
                <w:rFonts w:asciiTheme="majorHAnsi" w:hAnsiTheme="majorHAnsi" w:cstheme="majorHAnsi"/>
                <w:color w:val="000000"/>
              </w:rPr>
              <w:t xml:space="preserve">Lage: </w:t>
            </w:r>
          </w:p>
        </w:tc>
        <w:tc>
          <w:tcPr>
            <w:tcW w:w="3402" w:type="dxa"/>
            <w:tcBorders>
              <w:top w:val="single" w:sz="4" w:space="0" w:color="auto"/>
              <w:left w:val="nil"/>
              <w:bottom w:val="single" w:sz="4" w:space="0" w:color="auto"/>
              <w:right w:val="single" w:sz="8" w:space="0" w:color="000000"/>
            </w:tcBorders>
            <w:shd w:val="clear" w:color="auto" w:fill="auto"/>
            <w:noWrap/>
            <w:vAlign w:val="bottom"/>
            <w:hideMark/>
          </w:tcPr>
          <w:p w14:paraId="4CA6F268" w14:textId="77777777" w:rsidR="008B4367" w:rsidRPr="0072426F" w:rsidRDefault="008B4367" w:rsidP="003A774C">
            <w:pPr>
              <w:spacing w:after="0"/>
              <w:rPr>
                <w:rFonts w:asciiTheme="majorHAnsi" w:hAnsiTheme="majorHAnsi" w:cstheme="majorHAnsi"/>
                <w:color w:val="000000"/>
              </w:rPr>
            </w:pPr>
            <w:r w:rsidRPr="0072426F">
              <w:rPr>
                <w:rFonts w:asciiTheme="majorHAnsi" w:hAnsiTheme="majorHAnsi" w:cstheme="majorHAnsi"/>
                <w:color w:val="000000"/>
              </w:rPr>
              <w:t>Wien, 22. Bezirk</w:t>
            </w:r>
          </w:p>
        </w:tc>
      </w:tr>
      <w:tr w:rsidR="008B4367" w:rsidRPr="0072426F" w14:paraId="1A8F6D33" w14:textId="77777777" w:rsidTr="003A774C">
        <w:trPr>
          <w:trHeight w:val="300"/>
        </w:trPr>
        <w:tc>
          <w:tcPr>
            <w:tcW w:w="1985" w:type="dxa"/>
            <w:tcBorders>
              <w:top w:val="nil"/>
              <w:left w:val="single" w:sz="8" w:space="0" w:color="auto"/>
              <w:bottom w:val="single" w:sz="8" w:space="0" w:color="auto"/>
              <w:right w:val="single" w:sz="4" w:space="0" w:color="auto"/>
            </w:tcBorders>
            <w:shd w:val="clear" w:color="auto" w:fill="auto"/>
            <w:noWrap/>
            <w:vAlign w:val="bottom"/>
            <w:hideMark/>
          </w:tcPr>
          <w:p w14:paraId="2971E8CA" w14:textId="77777777" w:rsidR="008B4367" w:rsidRPr="0072426F" w:rsidRDefault="008B4367" w:rsidP="003A774C">
            <w:pPr>
              <w:spacing w:after="0"/>
              <w:rPr>
                <w:rFonts w:asciiTheme="majorHAnsi" w:hAnsiTheme="majorHAnsi" w:cstheme="majorHAnsi"/>
                <w:color w:val="000000"/>
              </w:rPr>
            </w:pPr>
            <w:r w:rsidRPr="0072426F">
              <w:rPr>
                <w:rFonts w:asciiTheme="majorHAnsi" w:hAnsiTheme="majorHAnsi" w:cstheme="majorHAnsi"/>
                <w:color w:val="000000"/>
              </w:rPr>
              <w:t>Fläche:</w:t>
            </w:r>
          </w:p>
        </w:tc>
        <w:tc>
          <w:tcPr>
            <w:tcW w:w="3402" w:type="dxa"/>
            <w:tcBorders>
              <w:top w:val="single" w:sz="4" w:space="0" w:color="auto"/>
              <w:left w:val="nil"/>
              <w:bottom w:val="single" w:sz="8" w:space="0" w:color="auto"/>
              <w:right w:val="single" w:sz="8" w:space="0" w:color="000000"/>
            </w:tcBorders>
            <w:shd w:val="clear" w:color="auto" w:fill="auto"/>
            <w:noWrap/>
            <w:vAlign w:val="bottom"/>
            <w:hideMark/>
          </w:tcPr>
          <w:p w14:paraId="11FC63DA" w14:textId="77777777" w:rsidR="008B4367" w:rsidRPr="0072426F" w:rsidRDefault="008B4367" w:rsidP="003A774C">
            <w:pPr>
              <w:spacing w:after="0"/>
              <w:rPr>
                <w:rFonts w:asciiTheme="majorHAnsi" w:hAnsiTheme="majorHAnsi" w:cstheme="majorHAnsi"/>
                <w:color w:val="000000"/>
              </w:rPr>
            </w:pPr>
            <w:r w:rsidRPr="0072426F">
              <w:rPr>
                <w:rFonts w:asciiTheme="majorHAnsi" w:hAnsiTheme="majorHAnsi" w:cstheme="majorHAnsi"/>
                <w:color w:val="000000"/>
              </w:rPr>
              <w:t>2753m²</w:t>
            </w:r>
          </w:p>
        </w:tc>
      </w:tr>
      <w:tr w:rsidR="008B4367" w:rsidRPr="0072426F" w14:paraId="0C50AE98" w14:textId="77777777" w:rsidTr="003A774C">
        <w:trPr>
          <w:trHeight w:val="696"/>
        </w:trPr>
        <w:tc>
          <w:tcPr>
            <w:tcW w:w="5387" w:type="dxa"/>
            <w:gridSpan w:val="2"/>
            <w:tcBorders>
              <w:top w:val="single" w:sz="8" w:space="0" w:color="auto"/>
              <w:left w:val="single" w:sz="8" w:space="0" w:color="auto"/>
              <w:bottom w:val="single" w:sz="8" w:space="0" w:color="auto"/>
              <w:right w:val="single" w:sz="8" w:space="0" w:color="000000"/>
            </w:tcBorders>
            <w:shd w:val="clear" w:color="auto" w:fill="auto"/>
            <w:hideMark/>
          </w:tcPr>
          <w:p w14:paraId="0B5D108D" w14:textId="77777777" w:rsidR="008B4367" w:rsidRPr="0072426F" w:rsidRDefault="008B4367" w:rsidP="003A774C">
            <w:pPr>
              <w:spacing w:after="0"/>
              <w:rPr>
                <w:rFonts w:asciiTheme="majorHAnsi" w:hAnsiTheme="majorHAnsi" w:cstheme="majorHAnsi"/>
                <w:color w:val="000000"/>
              </w:rPr>
            </w:pPr>
            <w:r w:rsidRPr="0072426F">
              <w:rPr>
                <w:rFonts w:asciiTheme="majorHAnsi" w:hAnsiTheme="majorHAnsi" w:cstheme="majorHAnsi"/>
                <w:color w:val="000000"/>
              </w:rPr>
              <w:t>Bauweise: Holzbauweise mit hohem</w:t>
            </w:r>
            <w:r w:rsidRPr="0072426F">
              <w:rPr>
                <w:rFonts w:asciiTheme="majorHAnsi" w:hAnsiTheme="majorHAnsi" w:cstheme="majorHAnsi"/>
                <w:color w:val="000000"/>
              </w:rPr>
              <w:br/>
              <w:t>Anteil an ökologischen Baustoffen</w:t>
            </w:r>
          </w:p>
        </w:tc>
      </w:tr>
    </w:tbl>
    <w:p w14:paraId="0E46A7A2" w14:textId="77777777" w:rsidR="008B4367" w:rsidRPr="00F05616" w:rsidRDefault="008B4367" w:rsidP="008B4367">
      <w:pPr>
        <w:rPr>
          <w:rFonts w:asciiTheme="majorHAnsi" w:hAnsiTheme="majorHAnsi" w:cstheme="majorHAnsi"/>
          <w:color w:val="C00000"/>
          <w:sz w:val="20"/>
          <w:szCs w:val="20"/>
        </w:rPr>
      </w:pPr>
      <w:proofErr w:type="gramStart"/>
      <w:r w:rsidRPr="00F05616">
        <w:rPr>
          <w:rFonts w:asciiTheme="majorHAnsi" w:hAnsiTheme="majorHAnsi" w:cstheme="majorHAnsi"/>
          <w:color w:val="C00000"/>
          <w:sz w:val="20"/>
          <w:szCs w:val="20"/>
        </w:rPr>
        <w:t>i[</w:t>
      </w:r>
      <w:proofErr w:type="gramEnd"/>
      <w:r w:rsidRPr="00F05616">
        <w:rPr>
          <w:rFonts w:asciiTheme="majorHAnsi" w:hAnsiTheme="majorHAnsi" w:cstheme="majorHAnsi"/>
          <w:color w:val="C00000"/>
          <w:sz w:val="20"/>
          <w:szCs w:val="20"/>
        </w:rPr>
        <w:t xml:space="preserve">Daten zum Modell in der </w:t>
      </w:r>
      <w:r>
        <w:rPr>
          <w:rFonts w:asciiTheme="majorHAnsi" w:hAnsiTheme="majorHAnsi" w:cstheme="majorHAnsi"/>
          <w:color w:val="C00000"/>
          <w:sz w:val="20"/>
          <w:szCs w:val="20"/>
        </w:rPr>
        <w:t>Holzbauweise</w:t>
      </w:r>
      <w:r w:rsidRPr="00F05616">
        <w:rPr>
          <w:rFonts w:asciiTheme="majorHAnsi" w:hAnsiTheme="majorHAnsi" w:cstheme="majorHAnsi"/>
          <w:color w:val="C00000"/>
          <w:sz w:val="20"/>
          <w:szCs w:val="20"/>
        </w:rPr>
        <w:t xml:space="preserve"> ^[</w:t>
      </w:r>
      <w:r w:rsidRPr="00F05616">
        <w:rPr>
          <w:rFonts w:ascii="Calibri Light" w:hAnsi="Calibri Light" w:cs="Calibri Light"/>
          <w:color w:val="C00000"/>
          <w:sz w:val="20"/>
          <w:szCs w:val="20"/>
        </w:rPr>
        <w:t>eigene Darstellung</w:t>
      </w:r>
      <w:r w:rsidRPr="00F05616">
        <w:rPr>
          <w:rFonts w:asciiTheme="majorHAnsi" w:hAnsiTheme="majorHAnsi" w:cstheme="majorHAnsi"/>
          <w:color w:val="C00000"/>
          <w:sz w:val="20"/>
          <w:szCs w:val="20"/>
        </w:rPr>
        <w:t>]](5</w:t>
      </w:r>
      <w:r>
        <w:rPr>
          <w:rFonts w:asciiTheme="majorHAnsi" w:hAnsiTheme="majorHAnsi" w:cstheme="majorHAnsi"/>
          <w:color w:val="C00000"/>
          <w:sz w:val="20"/>
          <w:szCs w:val="20"/>
        </w:rPr>
        <w:t>2</w:t>
      </w:r>
      <w:r w:rsidRPr="00F05616">
        <w:rPr>
          <w:rFonts w:asciiTheme="majorHAnsi" w:hAnsiTheme="majorHAnsi" w:cstheme="majorHAnsi"/>
          <w:color w:val="C00000"/>
          <w:sz w:val="20"/>
          <w:szCs w:val="20"/>
        </w:rPr>
        <w:t>.pdf)</w:t>
      </w:r>
    </w:p>
    <w:p w14:paraId="47999DFC" w14:textId="77777777" w:rsidR="008B4367" w:rsidRPr="003E7D9E" w:rsidRDefault="008B4367" w:rsidP="008B4367">
      <w:pPr>
        <w:spacing w:after="0"/>
        <w:rPr>
          <w:rFonts w:asciiTheme="majorHAnsi" w:hAnsiTheme="majorHAnsi" w:cstheme="majorHAnsi"/>
        </w:rPr>
      </w:pPr>
    </w:p>
    <w:p w14:paraId="6B4EA5DC" w14:textId="77777777" w:rsidR="008B4367" w:rsidRDefault="008B4367" w:rsidP="008B4367">
      <w:pPr>
        <w:spacing w:after="160" w:line="259" w:lineRule="auto"/>
        <w:rPr>
          <w:rFonts w:asciiTheme="majorHAnsi" w:hAnsiTheme="majorHAnsi" w:cstheme="majorHAnsi"/>
        </w:rPr>
      </w:pPr>
    </w:p>
    <w:p w14:paraId="433DD68B" w14:textId="77777777" w:rsidR="008B4367" w:rsidRPr="003E7D9E" w:rsidRDefault="008B4367" w:rsidP="008B4367">
      <w:pPr>
        <w:rPr>
          <w:rFonts w:asciiTheme="majorHAnsi" w:hAnsiTheme="majorHAnsi" w:cstheme="majorHAnsi"/>
        </w:rPr>
      </w:pPr>
    </w:p>
    <w:p w14:paraId="365C6272" w14:textId="77777777" w:rsidR="008B4367" w:rsidRPr="003E7D9E" w:rsidRDefault="008B4367" w:rsidP="008B4367">
      <w:pPr>
        <w:tabs>
          <w:tab w:val="left" w:pos="2310"/>
        </w:tabs>
        <w:spacing w:line="276" w:lineRule="auto"/>
        <w:rPr>
          <w:rFonts w:asciiTheme="majorHAnsi" w:hAnsiTheme="majorHAnsi" w:cstheme="majorHAnsi"/>
          <w:b/>
        </w:rPr>
      </w:pPr>
      <w:r>
        <w:rPr>
          <w:rFonts w:asciiTheme="majorHAnsi" w:hAnsiTheme="majorHAnsi" w:cstheme="majorHAnsi"/>
          <w:b/>
        </w:rPr>
        <w:t>8.2 GRUNDLAGEN FÜR DEN BAUWEISENVERGLEICH</w:t>
      </w:r>
    </w:p>
    <w:p w14:paraId="113981FD" w14:textId="77777777" w:rsidR="008B4367" w:rsidRDefault="008B4367" w:rsidP="008B4367">
      <w:pPr>
        <w:tabs>
          <w:tab w:val="left" w:pos="2310"/>
        </w:tabs>
        <w:spacing w:line="276" w:lineRule="auto"/>
        <w:rPr>
          <w:rFonts w:asciiTheme="majorHAnsi" w:hAnsiTheme="majorHAnsi" w:cstheme="majorHAnsi"/>
        </w:rPr>
      </w:pPr>
      <w:r>
        <w:rPr>
          <w:rFonts w:asciiTheme="majorHAnsi" w:hAnsiTheme="majorHAnsi" w:cstheme="majorHAnsi"/>
        </w:rPr>
        <w:t xml:space="preserve">Als Basis für den nachfolgenden Bauweisenvergleich werden die </w:t>
      </w:r>
      <w:r w:rsidRPr="003E7D9E">
        <w:rPr>
          <w:rFonts w:asciiTheme="majorHAnsi" w:hAnsiTheme="majorHAnsi" w:cstheme="majorHAnsi"/>
        </w:rPr>
        <w:t>Kostenhauptgruppe</w:t>
      </w:r>
      <w:r>
        <w:rPr>
          <w:rFonts w:asciiTheme="majorHAnsi" w:hAnsiTheme="majorHAnsi" w:cstheme="majorHAnsi"/>
        </w:rPr>
        <w:t>n</w:t>
      </w:r>
      <w:r w:rsidRPr="003E7D9E">
        <w:rPr>
          <w:rFonts w:asciiTheme="majorHAnsi" w:hAnsiTheme="majorHAnsi" w:cstheme="majorHAnsi"/>
        </w:rPr>
        <w:t xml:space="preserve"> gemäß ÖNORM B 1801-2</w:t>
      </w:r>
      <w:r>
        <w:rPr>
          <w:rFonts w:asciiTheme="majorHAnsi" w:hAnsiTheme="majorHAnsi" w:cstheme="majorHAnsi"/>
        </w:rPr>
        <w:t xml:space="preserve"> (siehe nachfolgende Abbildung)</w:t>
      </w:r>
      <w:r w:rsidRPr="003E7D9E">
        <w:rPr>
          <w:rFonts w:asciiTheme="majorHAnsi" w:hAnsiTheme="majorHAnsi" w:cstheme="majorHAnsi"/>
        </w:rPr>
        <w:t xml:space="preserve"> </w:t>
      </w:r>
      <w:r>
        <w:rPr>
          <w:rFonts w:asciiTheme="majorHAnsi" w:hAnsiTheme="majorHAnsi" w:cstheme="majorHAnsi"/>
        </w:rPr>
        <w:t>herangezogen.</w:t>
      </w:r>
    </w:p>
    <w:p w14:paraId="663C80D4" w14:textId="77777777" w:rsidR="008B4367" w:rsidRPr="003E7D9E" w:rsidRDefault="008B4367" w:rsidP="008B4367">
      <w:pPr>
        <w:tabs>
          <w:tab w:val="left" w:pos="2310"/>
        </w:tabs>
        <w:rPr>
          <w:rFonts w:asciiTheme="majorHAnsi" w:hAnsiTheme="majorHAnsi" w:cstheme="majorHAnsi"/>
        </w:rPr>
      </w:pPr>
      <w:r w:rsidRPr="003E7D9E">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7E40024A" wp14:editId="78A4BD87">
                <wp:simplePos x="0" y="0"/>
                <wp:positionH relativeFrom="column">
                  <wp:posOffset>3830955</wp:posOffset>
                </wp:positionH>
                <wp:positionV relativeFrom="paragraph">
                  <wp:posOffset>138430</wp:posOffset>
                </wp:positionV>
                <wp:extent cx="1054100" cy="2146300"/>
                <wp:effectExtent l="19050" t="19050" r="12700" b="25400"/>
                <wp:wrapNone/>
                <wp:docPr id="17" name="Rechteck 17"/>
                <wp:cNvGraphicFramePr/>
                <a:graphic xmlns:a="http://schemas.openxmlformats.org/drawingml/2006/main">
                  <a:graphicData uri="http://schemas.microsoft.com/office/word/2010/wordprocessingShape">
                    <wps:wsp>
                      <wps:cNvSpPr/>
                      <wps:spPr>
                        <a:xfrm>
                          <a:off x="0" y="0"/>
                          <a:ext cx="1054100" cy="2146300"/>
                        </a:xfrm>
                        <a:prstGeom prst="rect">
                          <a:avLst/>
                        </a:prstGeom>
                        <a:noFill/>
                        <a:ln w="28575">
                          <a:solidFill>
                            <a:srgbClr val="C0000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F5BC07" id="Rechteck 17" o:spid="_x0000_s1026" style="position:absolute;margin-left:301.65pt;margin-top:10.9pt;width:83pt;height:1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" filled="f" strokecolor="#c00000" strokeweight="2.25pt"/>
            </w:pict>
          </mc:Fallback>
        </mc:AlternateContent>
      </w:r>
      <w:r w:rsidRPr="003E7D9E">
        <w:rPr>
          <w:rFonts w:asciiTheme="majorHAnsi" w:hAnsiTheme="majorHAnsi" w:cstheme="majorHAnsi"/>
          <w:noProof/>
        </w:rPr>
        <w:drawing>
          <wp:inline distT="0" distB="0" distL="0" distR="0" wp14:anchorId="6307CC91" wp14:editId="3D3FBF80">
            <wp:extent cx="5760720" cy="2251987"/>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251987"/>
                    </a:xfrm>
                    <a:prstGeom prst="rect">
                      <a:avLst/>
                    </a:prstGeom>
                    <a:noFill/>
                    <a:ln>
                      <a:noFill/>
                    </a:ln>
                  </pic:spPr>
                </pic:pic>
              </a:graphicData>
            </a:graphic>
          </wp:inline>
        </w:drawing>
      </w:r>
    </w:p>
    <w:p w14:paraId="3A272E84" w14:textId="77777777" w:rsidR="008B4367" w:rsidRPr="00F05616" w:rsidRDefault="008B4367" w:rsidP="008B4367">
      <w:pPr>
        <w:rPr>
          <w:rFonts w:asciiTheme="majorHAnsi" w:hAnsiTheme="majorHAnsi" w:cstheme="majorHAnsi"/>
          <w:color w:val="C00000"/>
          <w:sz w:val="20"/>
          <w:szCs w:val="20"/>
        </w:rPr>
      </w:pPr>
      <w:proofErr w:type="gramStart"/>
      <w:r w:rsidRPr="00F05616">
        <w:rPr>
          <w:rFonts w:asciiTheme="majorHAnsi" w:hAnsiTheme="majorHAnsi" w:cstheme="majorHAnsi"/>
          <w:color w:val="C00000"/>
          <w:sz w:val="20"/>
          <w:szCs w:val="20"/>
        </w:rPr>
        <w:t>i[</w:t>
      </w:r>
      <w:proofErr w:type="gramEnd"/>
      <w:r w:rsidRPr="00F05616">
        <w:rPr>
          <w:rFonts w:asciiTheme="majorHAnsi" w:hAnsiTheme="majorHAnsi" w:cstheme="majorHAnsi"/>
          <w:color w:val="C00000"/>
          <w:sz w:val="18"/>
        </w:rPr>
        <w:t>Kostengruppierung nach ÖNORM B 1801-1</w:t>
      </w:r>
      <w:r w:rsidRPr="00F05616">
        <w:rPr>
          <w:rFonts w:asciiTheme="majorHAnsi" w:hAnsiTheme="majorHAnsi" w:cstheme="majorHAnsi"/>
          <w:color w:val="C00000"/>
          <w:sz w:val="20"/>
          <w:szCs w:val="20"/>
        </w:rPr>
        <w:t>^[</w:t>
      </w:r>
      <w:r w:rsidRPr="00F05616">
        <w:rPr>
          <w:rFonts w:asciiTheme="majorHAnsi" w:hAnsiTheme="majorHAnsi" w:cstheme="majorHAnsi"/>
          <w:color w:val="C00000"/>
          <w:sz w:val="18"/>
        </w:rPr>
        <w:t xml:space="preserve"> ÖNORM B 1801-1:2021-02</w:t>
      </w:r>
      <w:r w:rsidRPr="00F05616">
        <w:rPr>
          <w:rFonts w:asciiTheme="majorHAnsi" w:hAnsiTheme="majorHAnsi" w:cstheme="majorHAnsi"/>
          <w:color w:val="C00000"/>
          <w:sz w:val="20"/>
          <w:szCs w:val="20"/>
        </w:rPr>
        <w:t>]](53.pdf)</w:t>
      </w:r>
    </w:p>
    <w:p w14:paraId="0C304E34" w14:textId="77777777" w:rsidR="008B4367" w:rsidRDefault="008B4367" w:rsidP="008B4367">
      <w:pPr>
        <w:tabs>
          <w:tab w:val="left" w:pos="2310"/>
        </w:tabs>
        <w:rPr>
          <w:rFonts w:asciiTheme="majorHAnsi" w:hAnsiTheme="majorHAnsi" w:cstheme="majorHAnsi"/>
          <w:sz w:val="18"/>
        </w:rPr>
      </w:pPr>
    </w:p>
    <w:p w14:paraId="3434E8F9" w14:textId="77777777" w:rsidR="008B4367" w:rsidRPr="003E7D9E" w:rsidRDefault="008B4367" w:rsidP="008B4367">
      <w:pPr>
        <w:tabs>
          <w:tab w:val="left" w:pos="2310"/>
        </w:tabs>
        <w:rPr>
          <w:rFonts w:asciiTheme="majorHAnsi" w:hAnsiTheme="majorHAnsi" w:cstheme="majorHAnsi"/>
        </w:rPr>
      </w:pPr>
    </w:p>
    <w:p w14:paraId="6CDA6841" w14:textId="77777777" w:rsidR="008B4367" w:rsidRPr="003E7D9E" w:rsidRDefault="008B4367" w:rsidP="008B4367">
      <w:pPr>
        <w:tabs>
          <w:tab w:val="left" w:pos="2310"/>
        </w:tabs>
        <w:spacing w:line="276" w:lineRule="auto"/>
        <w:rPr>
          <w:rFonts w:asciiTheme="majorHAnsi" w:hAnsiTheme="majorHAnsi" w:cstheme="majorHAnsi"/>
          <w:b/>
        </w:rPr>
      </w:pPr>
    </w:p>
    <w:p w14:paraId="11DE709D" w14:textId="77777777" w:rsidR="008B4367" w:rsidRPr="003E7D9E" w:rsidRDefault="008B4367" w:rsidP="008B4367">
      <w:pPr>
        <w:spacing w:after="0"/>
        <w:rPr>
          <w:rFonts w:asciiTheme="majorHAnsi" w:hAnsiTheme="majorHAnsi" w:cstheme="majorHAnsi"/>
        </w:rPr>
      </w:pPr>
      <w:r w:rsidRPr="003E7D9E">
        <w:rPr>
          <w:rFonts w:asciiTheme="majorHAnsi" w:hAnsiTheme="majorHAnsi" w:cstheme="majorHAnsi"/>
        </w:rPr>
        <w:t>Die nachfolgende Übersicht stellt die festgelegten Indizes dar und bildet die Grundlage für die folgenden Berechnungstabellen. Dabei wurden Indexanpassungen zum Baupreis- und Verbraucherpreisindex der Jahre 2022 und 2023 nicht berücksichtigt, da diese aufgrund der herausfordernden wirtschaftlichen Gesamtlage keinen repräsentativen Mittelwert ergeben hätten.</w:t>
      </w:r>
    </w:p>
    <w:p w14:paraId="1D92F933" w14:textId="77777777" w:rsidR="008B4367" w:rsidRPr="003E7D9E" w:rsidRDefault="008B4367" w:rsidP="008B4367">
      <w:pPr>
        <w:spacing w:after="0"/>
        <w:rPr>
          <w:rFonts w:asciiTheme="majorHAnsi" w:hAnsiTheme="majorHAnsi" w:cstheme="majorHAnsi"/>
        </w:rPr>
      </w:pPr>
    </w:p>
    <w:p w14:paraId="2A6EDBEA" w14:textId="77777777" w:rsidR="008B4367" w:rsidRPr="003E7D9E" w:rsidRDefault="008B4367" w:rsidP="008B4367">
      <w:pPr>
        <w:spacing w:after="0"/>
        <w:rPr>
          <w:rFonts w:asciiTheme="majorHAnsi" w:hAnsiTheme="majorHAnsi" w:cstheme="majorHAnsi"/>
          <w:sz w:val="18"/>
        </w:rPr>
      </w:pPr>
    </w:p>
    <w:tbl>
      <w:tblPr>
        <w:tblpPr w:leftFromText="141" w:rightFromText="141" w:vertAnchor="text" w:horzAnchor="margin" w:tblpY="-206"/>
        <w:tblW w:w="4536" w:type="dxa"/>
        <w:tblCellMar>
          <w:left w:w="70" w:type="dxa"/>
          <w:right w:w="70" w:type="dxa"/>
        </w:tblCellMar>
        <w:tblLook w:val="04A0" w:firstRow="1" w:lastRow="0" w:firstColumn="1" w:lastColumn="0" w:noHBand="0" w:noVBand="1"/>
      </w:tblPr>
      <w:tblGrid>
        <w:gridCol w:w="2977"/>
        <w:gridCol w:w="1559"/>
      </w:tblGrid>
      <w:tr w:rsidR="008B4367" w:rsidRPr="0072426F" w14:paraId="25A88FE7" w14:textId="77777777" w:rsidTr="003A774C">
        <w:trPr>
          <w:trHeight w:val="288"/>
        </w:trPr>
        <w:tc>
          <w:tcPr>
            <w:tcW w:w="4536" w:type="dxa"/>
            <w:gridSpan w:val="2"/>
            <w:tcBorders>
              <w:top w:val="single" w:sz="8" w:space="0" w:color="auto"/>
              <w:left w:val="single" w:sz="8" w:space="0" w:color="auto"/>
              <w:bottom w:val="single" w:sz="4" w:space="0" w:color="auto"/>
              <w:right w:val="single" w:sz="8" w:space="0" w:color="000000"/>
            </w:tcBorders>
            <w:shd w:val="clear" w:color="000000" w:fill="D9D9D9"/>
            <w:noWrap/>
            <w:vAlign w:val="bottom"/>
            <w:hideMark/>
          </w:tcPr>
          <w:p w14:paraId="79F7774C" w14:textId="77777777" w:rsidR="008B4367" w:rsidRPr="0072426F" w:rsidRDefault="008B4367" w:rsidP="003A774C">
            <w:pPr>
              <w:spacing w:after="0"/>
              <w:jc w:val="center"/>
              <w:rPr>
                <w:rFonts w:asciiTheme="majorHAnsi" w:hAnsiTheme="majorHAnsi" w:cstheme="majorHAnsi"/>
                <w:b/>
                <w:color w:val="000000"/>
              </w:rPr>
            </w:pPr>
            <w:r w:rsidRPr="0072426F">
              <w:rPr>
                <w:rFonts w:asciiTheme="majorHAnsi" w:hAnsiTheme="majorHAnsi" w:cstheme="majorHAnsi"/>
                <w:b/>
                <w:color w:val="000000"/>
              </w:rPr>
              <w:t>Parameter Rechenmethodik</w:t>
            </w:r>
          </w:p>
        </w:tc>
      </w:tr>
      <w:tr w:rsidR="008B4367" w:rsidRPr="0072426F" w14:paraId="63A87D4F" w14:textId="77777777" w:rsidTr="003A774C">
        <w:trPr>
          <w:trHeight w:val="324"/>
        </w:trPr>
        <w:tc>
          <w:tcPr>
            <w:tcW w:w="2977" w:type="dxa"/>
            <w:tcBorders>
              <w:top w:val="single" w:sz="4" w:space="0" w:color="auto"/>
              <w:left w:val="single" w:sz="8" w:space="0" w:color="auto"/>
              <w:bottom w:val="single" w:sz="4" w:space="0" w:color="auto"/>
              <w:right w:val="single" w:sz="4" w:space="0" w:color="000000"/>
            </w:tcBorders>
            <w:shd w:val="clear" w:color="auto" w:fill="auto"/>
            <w:noWrap/>
            <w:vAlign w:val="bottom"/>
            <w:hideMark/>
          </w:tcPr>
          <w:p w14:paraId="4EA55CF8" w14:textId="77777777" w:rsidR="008B4367" w:rsidRPr="0072426F" w:rsidRDefault="008B4367" w:rsidP="003A774C">
            <w:pPr>
              <w:spacing w:after="0"/>
              <w:rPr>
                <w:rFonts w:asciiTheme="majorHAnsi" w:hAnsiTheme="majorHAnsi" w:cstheme="majorHAnsi"/>
                <w:color w:val="000000"/>
              </w:rPr>
            </w:pPr>
            <w:proofErr w:type="spellStart"/>
            <w:r w:rsidRPr="0072426F">
              <w:rPr>
                <w:rFonts w:asciiTheme="majorHAnsi" w:hAnsiTheme="majorHAnsi" w:cstheme="majorHAnsi"/>
                <w:color w:val="000000"/>
              </w:rPr>
              <w:t>Baupreisindex</w:t>
            </w:r>
            <w:r w:rsidRPr="0072426F">
              <w:rPr>
                <w:rFonts w:asciiTheme="majorHAnsi" w:hAnsiTheme="majorHAnsi" w:cstheme="majorHAnsi"/>
                <w:color w:val="000000"/>
                <w:vertAlign w:val="superscript"/>
              </w:rPr>
              <w:t>a</w:t>
            </w:r>
            <w:proofErr w:type="spellEnd"/>
            <w:r w:rsidRPr="0072426F">
              <w:rPr>
                <w:rFonts w:asciiTheme="majorHAnsi" w:hAnsiTheme="majorHAnsi" w:cstheme="majorHAnsi"/>
                <w:color w:val="000000"/>
              </w:rPr>
              <w:t>:</w:t>
            </w:r>
          </w:p>
        </w:tc>
        <w:tc>
          <w:tcPr>
            <w:tcW w:w="1559" w:type="dxa"/>
            <w:tcBorders>
              <w:top w:val="nil"/>
              <w:left w:val="nil"/>
              <w:bottom w:val="single" w:sz="4" w:space="0" w:color="auto"/>
              <w:right w:val="single" w:sz="8" w:space="0" w:color="auto"/>
            </w:tcBorders>
            <w:shd w:val="clear" w:color="auto" w:fill="auto"/>
            <w:noWrap/>
            <w:vAlign w:val="bottom"/>
            <w:hideMark/>
          </w:tcPr>
          <w:p w14:paraId="38EC7DF2" w14:textId="77777777" w:rsidR="008B4367" w:rsidRPr="0072426F" w:rsidRDefault="008B4367" w:rsidP="003A774C">
            <w:pPr>
              <w:spacing w:after="0"/>
              <w:jc w:val="right"/>
              <w:rPr>
                <w:rFonts w:asciiTheme="majorHAnsi" w:hAnsiTheme="majorHAnsi" w:cstheme="majorHAnsi"/>
                <w:color w:val="000000"/>
              </w:rPr>
            </w:pPr>
            <w:r w:rsidRPr="0072426F">
              <w:rPr>
                <w:rFonts w:asciiTheme="majorHAnsi" w:hAnsiTheme="majorHAnsi" w:cstheme="majorHAnsi"/>
                <w:color w:val="000000"/>
              </w:rPr>
              <w:t>2,90%</w:t>
            </w:r>
          </w:p>
        </w:tc>
      </w:tr>
      <w:tr w:rsidR="008B4367" w:rsidRPr="0072426F" w14:paraId="6F422BD2" w14:textId="77777777" w:rsidTr="003A774C">
        <w:trPr>
          <w:trHeight w:val="324"/>
        </w:trPr>
        <w:tc>
          <w:tcPr>
            <w:tcW w:w="2977" w:type="dxa"/>
            <w:tcBorders>
              <w:top w:val="single" w:sz="4" w:space="0" w:color="auto"/>
              <w:left w:val="single" w:sz="8" w:space="0" w:color="auto"/>
              <w:bottom w:val="single" w:sz="4" w:space="0" w:color="auto"/>
              <w:right w:val="single" w:sz="4" w:space="0" w:color="000000"/>
            </w:tcBorders>
            <w:shd w:val="clear" w:color="auto" w:fill="auto"/>
            <w:noWrap/>
            <w:vAlign w:val="bottom"/>
            <w:hideMark/>
          </w:tcPr>
          <w:p w14:paraId="51DC3C14" w14:textId="77777777" w:rsidR="008B4367" w:rsidRPr="0072426F" w:rsidRDefault="008B4367" w:rsidP="003A774C">
            <w:pPr>
              <w:spacing w:after="0"/>
              <w:rPr>
                <w:rFonts w:asciiTheme="majorHAnsi" w:hAnsiTheme="majorHAnsi" w:cstheme="majorHAnsi"/>
                <w:color w:val="000000"/>
              </w:rPr>
            </w:pPr>
            <w:proofErr w:type="spellStart"/>
            <w:r w:rsidRPr="0072426F">
              <w:rPr>
                <w:rFonts w:asciiTheme="majorHAnsi" w:hAnsiTheme="majorHAnsi" w:cstheme="majorHAnsi"/>
                <w:color w:val="000000"/>
              </w:rPr>
              <w:t>Verbraucherpreisindex</w:t>
            </w:r>
            <w:r w:rsidRPr="0072426F">
              <w:rPr>
                <w:rFonts w:asciiTheme="majorHAnsi" w:hAnsiTheme="majorHAnsi" w:cstheme="majorHAnsi"/>
                <w:color w:val="000000"/>
                <w:vertAlign w:val="superscript"/>
              </w:rPr>
              <w:t>a</w:t>
            </w:r>
            <w:proofErr w:type="spellEnd"/>
            <w:r w:rsidRPr="0072426F">
              <w:rPr>
                <w:rFonts w:asciiTheme="majorHAnsi" w:hAnsiTheme="majorHAnsi" w:cstheme="majorHAnsi"/>
                <w:color w:val="000000"/>
              </w:rPr>
              <w:t>:</w:t>
            </w:r>
          </w:p>
        </w:tc>
        <w:tc>
          <w:tcPr>
            <w:tcW w:w="1559" w:type="dxa"/>
            <w:tcBorders>
              <w:top w:val="nil"/>
              <w:left w:val="nil"/>
              <w:bottom w:val="single" w:sz="4" w:space="0" w:color="auto"/>
              <w:right w:val="single" w:sz="8" w:space="0" w:color="auto"/>
            </w:tcBorders>
            <w:shd w:val="clear" w:color="auto" w:fill="auto"/>
            <w:noWrap/>
            <w:vAlign w:val="bottom"/>
            <w:hideMark/>
          </w:tcPr>
          <w:p w14:paraId="08F9B930" w14:textId="77777777" w:rsidR="008B4367" w:rsidRPr="0072426F" w:rsidRDefault="008B4367" w:rsidP="003A774C">
            <w:pPr>
              <w:spacing w:after="0"/>
              <w:jc w:val="right"/>
              <w:rPr>
                <w:rFonts w:asciiTheme="majorHAnsi" w:hAnsiTheme="majorHAnsi" w:cstheme="majorHAnsi"/>
                <w:color w:val="000000"/>
              </w:rPr>
            </w:pPr>
            <w:r w:rsidRPr="0072426F">
              <w:rPr>
                <w:rFonts w:asciiTheme="majorHAnsi" w:hAnsiTheme="majorHAnsi" w:cstheme="majorHAnsi"/>
                <w:color w:val="000000"/>
              </w:rPr>
              <w:t>2,90%</w:t>
            </w:r>
          </w:p>
        </w:tc>
      </w:tr>
      <w:tr w:rsidR="008B4367" w:rsidRPr="0072426F" w14:paraId="0ED64D81" w14:textId="77777777" w:rsidTr="003A774C">
        <w:trPr>
          <w:trHeight w:val="324"/>
        </w:trPr>
        <w:tc>
          <w:tcPr>
            <w:tcW w:w="2977" w:type="dxa"/>
            <w:tcBorders>
              <w:top w:val="single" w:sz="4" w:space="0" w:color="auto"/>
              <w:left w:val="single" w:sz="8" w:space="0" w:color="auto"/>
              <w:bottom w:val="single" w:sz="4" w:space="0" w:color="auto"/>
              <w:right w:val="single" w:sz="4" w:space="0" w:color="000000"/>
            </w:tcBorders>
            <w:shd w:val="clear" w:color="auto" w:fill="auto"/>
            <w:noWrap/>
            <w:vAlign w:val="bottom"/>
            <w:hideMark/>
          </w:tcPr>
          <w:p w14:paraId="5897F8C5" w14:textId="77777777" w:rsidR="008B4367" w:rsidRPr="0072426F" w:rsidRDefault="008B4367" w:rsidP="003A774C">
            <w:pPr>
              <w:spacing w:after="0"/>
              <w:rPr>
                <w:rFonts w:asciiTheme="majorHAnsi" w:hAnsiTheme="majorHAnsi" w:cstheme="majorHAnsi"/>
                <w:color w:val="000000"/>
              </w:rPr>
            </w:pPr>
            <w:r w:rsidRPr="0072426F">
              <w:rPr>
                <w:rFonts w:asciiTheme="majorHAnsi" w:hAnsiTheme="majorHAnsi" w:cstheme="majorHAnsi"/>
                <w:color w:val="000000"/>
              </w:rPr>
              <w:t>Energiepreisindex</w:t>
            </w:r>
            <w:r w:rsidRPr="0072426F">
              <w:rPr>
                <w:rFonts w:asciiTheme="majorHAnsi" w:hAnsiTheme="majorHAnsi" w:cstheme="majorHAnsi"/>
                <w:color w:val="000000"/>
                <w:vertAlign w:val="superscript"/>
              </w:rPr>
              <w:t>a1</w:t>
            </w:r>
            <w:r w:rsidRPr="0072426F">
              <w:rPr>
                <w:rFonts w:asciiTheme="majorHAnsi" w:hAnsiTheme="majorHAnsi" w:cstheme="majorHAnsi"/>
                <w:color w:val="000000"/>
              </w:rPr>
              <w:t>:</w:t>
            </w:r>
          </w:p>
        </w:tc>
        <w:tc>
          <w:tcPr>
            <w:tcW w:w="1559" w:type="dxa"/>
            <w:tcBorders>
              <w:top w:val="nil"/>
              <w:left w:val="nil"/>
              <w:bottom w:val="single" w:sz="4" w:space="0" w:color="auto"/>
              <w:right w:val="single" w:sz="8" w:space="0" w:color="auto"/>
            </w:tcBorders>
            <w:shd w:val="clear" w:color="auto" w:fill="auto"/>
            <w:noWrap/>
            <w:vAlign w:val="bottom"/>
            <w:hideMark/>
          </w:tcPr>
          <w:p w14:paraId="592F838B" w14:textId="77777777" w:rsidR="008B4367" w:rsidRPr="0072426F" w:rsidRDefault="008B4367" w:rsidP="003A774C">
            <w:pPr>
              <w:spacing w:after="0"/>
              <w:jc w:val="right"/>
              <w:rPr>
                <w:rFonts w:asciiTheme="majorHAnsi" w:hAnsiTheme="majorHAnsi" w:cstheme="majorHAnsi"/>
                <w:color w:val="000000"/>
              </w:rPr>
            </w:pPr>
            <w:r w:rsidRPr="0072426F">
              <w:rPr>
                <w:rFonts w:asciiTheme="majorHAnsi" w:hAnsiTheme="majorHAnsi" w:cstheme="majorHAnsi"/>
                <w:color w:val="000000"/>
              </w:rPr>
              <w:t>5,90%</w:t>
            </w:r>
          </w:p>
        </w:tc>
      </w:tr>
      <w:tr w:rsidR="008B4367" w:rsidRPr="0072426F" w14:paraId="1BE7EC62" w14:textId="77777777" w:rsidTr="003A774C">
        <w:trPr>
          <w:trHeight w:val="324"/>
        </w:trPr>
        <w:tc>
          <w:tcPr>
            <w:tcW w:w="2977" w:type="dxa"/>
            <w:tcBorders>
              <w:top w:val="single" w:sz="4" w:space="0" w:color="auto"/>
              <w:left w:val="single" w:sz="8" w:space="0" w:color="auto"/>
              <w:bottom w:val="single" w:sz="4" w:space="0" w:color="auto"/>
              <w:right w:val="single" w:sz="4" w:space="0" w:color="000000"/>
            </w:tcBorders>
            <w:shd w:val="clear" w:color="auto" w:fill="auto"/>
            <w:noWrap/>
            <w:vAlign w:val="bottom"/>
            <w:hideMark/>
          </w:tcPr>
          <w:p w14:paraId="4E6817D1" w14:textId="77777777" w:rsidR="008B4367" w:rsidRPr="0072426F" w:rsidRDefault="008B4367" w:rsidP="003A774C">
            <w:pPr>
              <w:spacing w:after="0"/>
              <w:rPr>
                <w:rFonts w:asciiTheme="majorHAnsi" w:hAnsiTheme="majorHAnsi" w:cstheme="majorHAnsi"/>
                <w:color w:val="000000"/>
              </w:rPr>
            </w:pPr>
            <w:proofErr w:type="spellStart"/>
            <w:r w:rsidRPr="0072426F">
              <w:rPr>
                <w:rFonts w:asciiTheme="majorHAnsi" w:hAnsiTheme="majorHAnsi" w:cstheme="majorHAnsi"/>
                <w:color w:val="000000"/>
              </w:rPr>
              <w:t>Abzinsungsfaktor</w:t>
            </w:r>
            <w:r w:rsidRPr="0072426F">
              <w:rPr>
                <w:rFonts w:asciiTheme="majorHAnsi" w:hAnsiTheme="majorHAnsi" w:cstheme="majorHAnsi"/>
                <w:color w:val="000000"/>
                <w:vertAlign w:val="superscript"/>
              </w:rPr>
              <w:t>b</w:t>
            </w:r>
            <w:proofErr w:type="spellEnd"/>
            <w:r w:rsidRPr="0072426F">
              <w:rPr>
                <w:rFonts w:asciiTheme="majorHAnsi" w:hAnsiTheme="majorHAnsi" w:cstheme="majorHAnsi"/>
                <w:color w:val="000000"/>
              </w:rPr>
              <w:t>:</w:t>
            </w:r>
          </w:p>
        </w:tc>
        <w:tc>
          <w:tcPr>
            <w:tcW w:w="1559" w:type="dxa"/>
            <w:tcBorders>
              <w:top w:val="nil"/>
              <w:left w:val="nil"/>
              <w:bottom w:val="single" w:sz="4" w:space="0" w:color="auto"/>
              <w:right w:val="single" w:sz="8" w:space="0" w:color="auto"/>
            </w:tcBorders>
            <w:shd w:val="clear" w:color="auto" w:fill="auto"/>
            <w:noWrap/>
            <w:vAlign w:val="bottom"/>
            <w:hideMark/>
          </w:tcPr>
          <w:p w14:paraId="0A66917C" w14:textId="77777777" w:rsidR="008B4367" w:rsidRPr="0072426F" w:rsidRDefault="008B4367" w:rsidP="003A774C">
            <w:pPr>
              <w:spacing w:after="0"/>
              <w:jc w:val="right"/>
              <w:rPr>
                <w:rFonts w:asciiTheme="majorHAnsi" w:hAnsiTheme="majorHAnsi" w:cstheme="majorHAnsi"/>
                <w:color w:val="000000"/>
              </w:rPr>
            </w:pPr>
            <w:r w:rsidRPr="0072426F">
              <w:rPr>
                <w:rFonts w:asciiTheme="majorHAnsi" w:hAnsiTheme="majorHAnsi" w:cstheme="majorHAnsi"/>
                <w:color w:val="000000"/>
              </w:rPr>
              <w:t>1,20%</w:t>
            </w:r>
          </w:p>
        </w:tc>
      </w:tr>
      <w:tr w:rsidR="008B4367" w:rsidRPr="0072426F" w14:paraId="2C997E7B" w14:textId="77777777" w:rsidTr="003A774C">
        <w:trPr>
          <w:trHeight w:val="300"/>
        </w:trPr>
        <w:tc>
          <w:tcPr>
            <w:tcW w:w="2977" w:type="dxa"/>
            <w:tcBorders>
              <w:top w:val="single" w:sz="4" w:space="0" w:color="auto"/>
              <w:left w:val="single" w:sz="8" w:space="0" w:color="auto"/>
              <w:bottom w:val="single" w:sz="4" w:space="0" w:color="auto"/>
              <w:right w:val="single" w:sz="4" w:space="0" w:color="000000"/>
            </w:tcBorders>
            <w:shd w:val="clear" w:color="auto" w:fill="auto"/>
            <w:noWrap/>
            <w:vAlign w:val="bottom"/>
            <w:hideMark/>
          </w:tcPr>
          <w:p w14:paraId="2B643722" w14:textId="77777777" w:rsidR="008B4367" w:rsidRPr="0072426F" w:rsidRDefault="008B4367" w:rsidP="003A774C">
            <w:pPr>
              <w:spacing w:after="0"/>
              <w:rPr>
                <w:rFonts w:asciiTheme="majorHAnsi" w:hAnsiTheme="majorHAnsi" w:cstheme="majorHAnsi"/>
                <w:color w:val="000000"/>
              </w:rPr>
            </w:pPr>
            <w:r w:rsidRPr="0072426F">
              <w:rPr>
                <w:rFonts w:asciiTheme="majorHAnsi" w:hAnsiTheme="majorHAnsi" w:cstheme="majorHAnsi"/>
                <w:color w:val="000000"/>
              </w:rPr>
              <w:t>Lebensdauer:</w:t>
            </w:r>
          </w:p>
        </w:tc>
        <w:tc>
          <w:tcPr>
            <w:tcW w:w="1559" w:type="dxa"/>
            <w:tcBorders>
              <w:top w:val="nil"/>
              <w:left w:val="nil"/>
              <w:bottom w:val="single" w:sz="4" w:space="0" w:color="auto"/>
              <w:right w:val="single" w:sz="8" w:space="0" w:color="auto"/>
            </w:tcBorders>
            <w:shd w:val="clear" w:color="auto" w:fill="auto"/>
            <w:noWrap/>
            <w:vAlign w:val="bottom"/>
            <w:hideMark/>
          </w:tcPr>
          <w:p w14:paraId="3EA3CA6D" w14:textId="77777777" w:rsidR="008B4367" w:rsidRPr="0072426F" w:rsidRDefault="008B4367" w:rsidP="003A774C">
            <w:pPr>
              <w:spacing w:after="0"/>
              <w:rPr>
                <w:rFonts w:asciiTheme="majorHAnsi" w:hAnsiTheme="majorHAnsi" w:cstheme="majorHAnsi"/>
                <w:color w:val="000000"/>
              </w:rPr>
            </w:pPr>
            <w:r w:rsidRPr="0072426F">
              <w:rPr>
                <w:rFonts w:asciiTheme="majorHAnsi" w:hAnsiTheme="majorHAnsi" w:cstheme="majorHAnsi"/>
                <w:color w:val="000000"/>
              </w:rPr>
              <w:t>2026 - 2055</w:t>
            </w:r>
          </w:p>
        </w:tc>
      </w:tr>
      <w:tr w:rsidR="008B4367" w:rsidRPr="0072426F" w14:paraId="2C4342DB" w14:textId="77777777" w:rsidTr="003A774C">
        <w:trPr>
          <w:trHeight w:val="1130"/>
        </w:trPr>
        <w:tc>
          <w:tcPr>
            <w:tcW w:w="4536" w:type="dxa"/>
            <w:gridSpan w:val="2"/>
            <w:tcBorders>
              <w:top w:val="single" w:sz="8" w:space="0" w:color="auto"/>
              <w:left w:val="single" w:sz="8" w:space="0" w:color="auto"/>
              <w:bottom w:val="single" w:sz="8" w:space="0" w:color="auto"/>
              <w:right w:val="single" w:sz="8" w:space="0" w:color="000000"/>
            </w:tcBorders>
            <w:shd w:val="clear" w:color="auto" w:fill="auto"/>
            <w:hideMark/>
          </w:tcPr>
          <w:p w14:paraId="17960815" w14:textId="77777777" w:rsidR="008B4367" w:rsidRPr="003E7D9E" w:rsidRDefault="008B4367" w:rsidP="003A774C">
            <w:pPr>
              <w:spacing w:after="0"/>
              <w:rPr>
                <w:rFonts w:asciiTheme="majorHAnsi" w:hAnsiTheme="majorHAnsi" w:cstheme="majorHAnsi"/>
                <w:color w:val="000000"/>
              </w:rPr>
            </w:pPr>
            <w:r w:rsidRPr="0072426F">
              <w:rPr>
                <w:rFonts w:asciiTheme="majorHAnsi" w:hAnsiTheme="majorHAnsi" w:cstheme="majorHAnsi"/>
                <w:color w:val="000000"/>
                <w:vertAlign w:val="superscript"/>
              </w:rPr>
              <w:t>a</w:t>
            </w:r>
            <w:r w:rsidRPr="0072426F">
              <w:rPr>
                <w:rFonts w:asciiTheme="majorHAnsi" w:hAnsiTheme="majorHAnsi" w:cstheme="majorHAnsi"/>
                <w:color w:val="000000"/>
              </w:rPr>
              <w:t xml:space="preserve"> gemittelte Kennwerte Österreich der letzten 5 Jahre (Ann</w:t>
            </w:r>
            <w:r w:rsidRPr="003E7D9E">
              <w:rPr>
                <w:rFonts w:asciiTheme="majorHAnsi" w:hAnsiTheme="majorHAnsi" w:cstheme="majorHAnsi"/>
                <w:color w:val="000000"/>
              </w:rPr>
              <w:t>.</w:t>
            </w:r>
            <w:r w:rsidRPr="0072426F">
              <w:rPr>
                <w:rFonts w:asciiTheme="majorHAnsi" w:hAnsiTheme="majorHAnsi" w:cstheme="majorHAnsi"/>
                <w:color w:val="000000"/>
              </w:rPr>
              <w:t>:</w:t>
            </w:r>
            <w:r w:rsidRPr="003E7D9E">
              <w:rPr>
                <w:rFonts w:asciiTheme="majorHAnsi" w:hAnsiTheme="majorHAnsi" w:cstheme="majorHAnsi"/>
                <w:color w:val="000000"/>
              </w:rPr>
              <w:t xml:space="preserve"> </w:t>
            </w:r>
            <w:r w:rsidRPr="0072426F">
              <w:rPr>
                <w:rFonts w:asciiTheme="majorHAnsi" w:hAnsiTheme="majorHAnsi" w:cstheme="majorHAnsi"/>
                <w:color w:val="000000"/>
              </w:rPr>
              <w:t xml:space="preserve">ausgen. Jahre 2022 </w:t>
            </w:r>
            <w:r w:rsidRPr="003E7D9E">
              <w:rPr>
                <w:rFonts w:asciiTheme="majorHAnsi" w:hAnsiTheme="majorHAnsi" w:cstheme="majorHAnsi"/>
                <w:color w:val="000000"/>
              </w:rPr>
              <w:t>&amp;</w:t>
            </w:r>
            <w:r w:rsidRPr="0072426F">
              <w:rPr>
                <w:rFonts w:asciiTheme="majorHAnsi" w:hAnsiTheme="majorHAnsi" w:cstheme="majorHAnsi"/>
                <w:color w:val="000000"/>
              </w:rPr>
              <w:t xml:space="preserve"> 2023)</w:t>
            </w:r>
            <w:r w:rsidRPr="0072426F">
              <w:rPr>
                <w:rFonts w:asciiTheme="majorHAnsi" w:hAnsiTheme="majorHAnsi" w:cstheme="majorHAnsi"/>
                <w:color w:val="000000"/>
              </w:rPr>
              <w:br w:type="page"/>
            </w:r>
          </w:p>
          <w:p w14:paraId="71C0C779" w14:textId="77777777" w:rsidR="008B4367" w:rsidRPr="003E7D9E" w:rsidRDefault="008B4367" w:rsidP="003A774C">
            <w:pPr>
              <w:spacing w:after="0"/>
              <w:rPr>
                <w:rFonts w:asciiTheme="majorHAnsi" w:hAnsiTheme="majorHAnsi" w:cstheme="majorHAnsi"/>
                <w:color w:val="000000"/>
              </w:rPr>
            </w:pPr>
            <w:r w:rsidRPr="0072426F">
              <w:rPr>
                <w:rFonts w:asciiTheme="majorHAnsi" w:hAnsiTheme="majorHAnsi" w:cstheme="majorHAnsi"/>
                <w:color w:val="000000"/>
                <w:vertAlign w:val="superscript"/>
              </w:rPr>
              <w:t>a1</w:t>
            </w:r>
            <w:r w:rsidRPr="0072426F">
              <w:rPr>
                <w:rFonts w:asciiTheme="majorHAnsi" w:hAnsiTheme="majorHAnsi" w:cstheme="majorHAnsi"/>
                <w:color w:val="000000"/>
              </w:rPr>
              <w:t xml:space="preserve"> Wert aus 2023-2024</w:t>
            </w:r>
            <w:r w:rsidRPr="0072426F">
              <w:rPr>
                <w:rFonts w:asciiTheme="majorHAnsi" w:hAnsiTheme="majorHAnsi" w:cstheme="majorHAnsi"/>
                <w:color w:val="000000"/>
              </w:rPr>
              <w:br w:type="page"/>
            </w:r>
          </w:p>
          <w:p w14:paraId="0BB14F7E" w14:textId="77777777" w:rsidR="008B4367" w:rsidRPr="0072426F" w:rsidRDefault="008B4367" w:rsidP="003A774C">
            <w:pPr>
              <w:spacing w:after="0"/>
              <w:rPr>
                <w:rFonts w:asciiTheme="majorHAnsi" w:hAnsiTheme="majorHAnsi" w:cstheme="majorHAnsi"/>
                <w:color w:val="000000"/>
              </w:rPr>
            </w:pPr>
            <w:r w:rsidRPr="0072426F">
              <w:rPr>
                <w:rFonts w:asciiTheme="majorHAnsi" w:hAnsiTheme="majorHAnsi" w:cstheme="majorHAnsi"/>
                <w:color w:val="000000"/>
                <w:vertAlign w:val="superscript"/>
              </w:rPr>
              <w:t>b</w:t>
            </w:r>
            <w:r w:rsidRPr="0072426F">
              <w:rPr>
                <w:rFonts w:asciiTheme="majorHAnsi" w:hAnsiTheme="majorHAnsi" w:cstheme="majorHAnsi"/>
                <w:color w:val="000000"/>
              </w:rPr>
              <w:t xml:space="preserve"> Sekundärmarktrendite des Bundes, 10/2013</w:t>
            </w:r>
          </w:p>
        </w:tc>
      </w:tr>
    </w:tbl>
    <w:p w14:paraId="2B689A3C" w14:textId="77777777" w:rsidR="008B4367" w:rsidRPr="003E7D9E" w:rsidRDefault="008B4367" w:rsidP="008B4367">
      <w:pPr>
        <w:spacing w:after="0"/>
        <w:rPr>
          <w:rFonts w:asciiTheme="majorHAnsi" w:hAnsiTheme="majorHAnsi" w:cstheme="majorHAnsi"/>
        </w:rPr>
      </w:pPr>
    </w:p>
    <w:p w14:paraId="66F1BEFE" w14:textId="77777777" w:rsidR="008B4367" w:rsidRPr="003E7D9E" w:rsidRDefault="008B4367" w:rsidP="008B4367">
      <w:pPr>
        <w:spacing w:after="0"/>
        <w:rPr>
          <w:rFonts w:asciiTheme="majorHAnsi" w:hAnsiTheme="majorHAnsi" w:cstheme="majorHAnsi"/>
        </w:rPr>
      </w:pPr>
    </w:p>
    <w:p w14:paraId="63391640" w14:textId="77777777" w:rsidR="008B4367" w:rsidRPr="003E7D9E" w:rsidRDefault="008B4367" w:rsidP="008B4367">
      <w:pPr>
        <w:spacing w:after="0"/>
        <w:rPr>
          <w:rFonts w:asciiTheme="majorHAnsi" w:hAnsiTheme="majorHAnsi" w:cstheme="majorHAnsi"/>
        </w:rPr>
      </w:pPr>
    </w:p>
    <w:p w14:paraId="20177862" w14:textId="77777777" w:rsidR="008B4367" w:rsidRPr="003E7D9E" w:rsidRDefault="008B4367" w:rsidP="008B4367">
      <w:pPr>
        <w:spacing w:after="0"/>
        <w:rPr>
          <w:rFonts w:asciiTheme="majorHAnsi" w:hAnsiTheme="majorHAnsi" w:cstheme="majorHAnsi"/>
        </w:rPr>
      </w:pPr>
    </w:p>
    <w:p w14:paraId="3F7206FE" w14:textId="77777777" w:rsidR="008B4367" w:rsidRPr="003E7D9E" w:rsidRDefault="008B4367" w:rsidP="008B4367">
      <w:pPr>
        <w:spacing w:after="0"/>
        <w:rPr>
          <w:rFonts w:asciiTheme="majorHAnsi" w:hAnsiTheme="majorHAnsi" w:cstheme="majorHAnsi"/>
        </w:rPr>
      </w:pPr>
    </w:p>
    <w:p w14:paraId="14830B61" w14:textId="77777777" w:rsidR="008B4367" w:rsidRPr="003E7D9E" w:rsidRDefault="008B4367" w:rsidP="008B4367">
      <w:pPr>
        <w:spacing w:after="0"/>
        <w:rPr>
          <w:rFonts w:asciiTheme="majorHAnsi" w:hAnsiTheme="majorHAnsi" w:cstheme="majorHAnsi"/>
        </w:rPr>
      </w:pPr>
    </w:p>
    <w:p w14:paraId="02583832" w14:textId="77777777" w:rsidR="008B4367" w:rsidRPr="003E7D9E" w:rsidRDefault="008B4367" w:rsidP="008B4367">
      <w:pPr>
        <w:rPr>
          <w:rFonts w:asciiTheme="majorHAnsi" w:hAnsiTheme="majorHAnsi" w:cstheme="majorHAnsi"/>
        </w:rPr>
      </w:pPr>
    </w:p>
    <w:p w14:paraId="0D70933C" w14:textId="77777777" w:rsidR="008B4367" w:rsidRPr="003E7D9E" w:rsidRDefault="008B4367" w:rsidP="008B4367">
      <w:pPr>
        <w:rPr>
          <w:rFonts w:asciiTheme="majorHAnsi" w:hAnsiTheme="majorHAnsi" w:cstheme="majorHAnsi"/>
        </w:rPr>
      </w:pPr>
    </w:p>
    <w:p w14:paraId="32CD19B3" w14:textId="77777777" w:rsidR="008B4367" w:rsidRDefault="008B4367" w:rsidP="008B4367">
      <w:pPr>
        <w:spacing w:after="0"/>
        <w:rPr>
          <w:rFonts w:asciiTheme="majorHAnsi" w:hAnsiTheme="majorHAnsi" w:cstheme="majorHAnsi"/>
        </w:rPr>
      </w:pPr>
    </w:p>
    <w:p w14:paraId="015FBBA7" w14:textId="77777777" w:rsidR="008B4367" w:rsidRDefault="008B4367" w:rsidP="008B4367">
      <w:pPr>
        <w:spacing w:after="0"/>
        <w:rPr>
          <w:rFonts w:asciiTheme="majorHAnsi" w:hAnsiTheme="majorHAnsi" w:cstheme="majorHAnsi"/>
        </w:rPr>
      </w:pPr>
    </w:p>
    <w:p w14:paraId="50AE9E0E" w14:textId="77777777" w:rsidR="008B4367" w:rsidRPr="00F05616" w:rsidRDefault="008B4367" w:rsidP="008B4367">
      <w:pPr>
        <w:rPr>
          <w:rFonts w:asciiTheme="majorHAnsi" w:hAnsiTheme="majorHAnsi" w:cstheme="majorHAnsi"/>
          <w:color w:val="C00000"/>
          <w:sz w:val="20"/>
          <w:szCs w:val="20"/>
        </w:rPr>
      </w:pPr>
      <w:proofErr w:type="gramStart"/>
      <w:r w:rsidRPr="00F05616">
        <w:rPr>
          <w:rFonts w:asciiTheme="majorHAnsi" w:hAnsiTheme="majorHAnsi" w:cstheme="majorHAnsi"/>
          <w:color w:val="C00000"/>
          <w:sz w:val="20"/>
          <w:szCs w:val="20"/>
        </w:rPr>
        <w:t>i[</w:t>
      </w:r>
      <w:proofErr w:type="gramEnd"/>
      <w:r w:rsidRPr="00F05616">
        <w:rPr>
          <w:rFonts w:asciiTheme="majorHAnsi" w:hAnsiTheme="majorHAnsi" w:cstheme="majorHAnsi"/>
          <w:color w:val="C00000"/>
          <w:sz w:val="20"/>
          <w:szCs w:val="20"/>
        </w:rPr>
        <w:t>def</w:t>
      </w:r>
      <w:r>
        <w:rPr>
          <w:rFonts w:asciiTheme="majorHAnsi" w:hAnsiTheme="majorHAnsi" w:cstheme="majorHAnsi"/>
          <w:color w:val="C00000"/>
          <w:sz w:val="20"/>
          <w:szCs w:val="20"/>
        </w:rPr>
        <w:t>i</w:t>
      </w:r>
      <w:r w:rsidRPr="00F05616">
        <w:rPr>
          <w:rFonts w:asciiTheme="majorHAnsi" w:hAnsiTheme="majorHAnsi" w:cstheme="majorHAnsi"/>
          <w:color w:val="C00000"/>
          <w:sz w:val="20"/>
          <w:szCs w:val="20"/>
        </w:rPr>
        <w:t>nierte Indexanpassungen ^[eigene Darstellung Vgl. ÖNORM B 1801-1:2021-02]](54.pdf)</w:t>
      </w:r>
    </w:p>
    <w:p w14:paraId="55F25541" w14:textId="77777777" w:rsidR="008B4367" w:rsidRPr="003E7D9E" w:rsidRDefault="008B4367" w:rsidP="008B4367">
      <w:pPr>
        <w:spacing w:after="0"/>
        <w:rPr>
          <w:rFonts w:asciiTheme="majorHAnsi" w:hAnsiTheme="majorHAnsi" w:cstheme="majorHAnsi"/>
        </w:rPr>
      </w:pPr>
    </w:p>
    <w:p w14:paraId="4CBD7F92" w14:textId="77777777" w:rsidR="008B4367" w:rsidRPr="003E7D9E" w:rsidRDefault="008B4367" w:rsidP="008B4367">
      <w:pPr>
        <w:tabs>
          <w:tab w:val="left" w:pos="2310"/>
        </w:tabs>
        <w:rPr>
          <w:rFonts w:asciiTheme="majorHAnsi" w:hAnsiTheme="majorHAnsi" w:cstheme="majorHAnsi"/>
        </w:rPr>
      </w:pPr>
    </w:p>
    <w:p w14:paraId="1CD3DF87" w14:textId="77777777" w:rsidR="008B4367" w:rsidRDefault="008B4367">
      <w:pPr>
        <w:spacing w:after="160" w:line="259" w:lineRule="auto"/>
        <w:rPr>
          <w:rFonts w:asciiTheme="majorHAnsi" w:hAnsiTheme="majorHAnsi" w:cstheme="majorHAnsi"/>
          <w:b/>
        </w:rPr>
      </w:pPr>
      <w:r>
        <w:rPr>
          <w:rFonts w:asciiTheme="majorHAnsi" w:hAnsiTheme="majorHAnsi" w:cstheme="majorHAnsi"/>
          <w:b/>
        </w:rPr>
        <w:br w:type="page"/>
      </w:r>
    </w:p>
    <w:p w14:paraId="07330F92" w14:textId="77777777" w:rsidR="008B4367" w:rsidRDefault="008B4367" w:rsidP="008B4367">
      <w:pPr>
        <w:rPr>
          <w:rFonts w:asciiTheme="majorHAnsi" w:hAnsiTheme="majorHAnsi" w:cstheme="majorHAnsi"/>
          <w:b/>
        </w:rPr>
      </w:pPr>
      <w:r>
        <w:rPr>
          <w:rFonts w:asciiTheme="majorHAnsi" w:hAnsiTheme="majorHAnsi" w:cstheme="majorHAnsi"/>
          <w:b/>
        </w:rPr>
        <w:lastRenderedPageBreak/>
        <w:t>8.4 KALKULATORISCHER VERGLEICH DER ERRICHTUNGSKOSTEN</w:t>
      </w:r>
    </w:p>
    <w:p w14:paraId="4CE8F921" w14:textId="77777777" w:rsidR="008B4367" w:rsidRPr="003E7D9E" w:rsidRDefault="008B4367" w:rsidP="008B4367">
      <w:pPr>
        <w:rPr>
          <w:rFonts w:asciiTheme="majorHAnsi" w:hAnsiTheme="majorHAnsi" w:cstheme="majorHAnsi"/>
          <w:sz w:val="18"/>
        </w:rPr>
      </w:pPr>
      <w:r w:rsidRPr="001F1D7E">
        <w:rPr>
          <w:rFonts w:asciiTheme="majorHAnsi" w:eastAsiaTheme="minorHAnsi" w:hAnsiTheme="majorHAnsi" w:cstheme="majorHAnsi"/>
          <w:szCs w:val="22"/>
          <w:lang w:eastAsia="en-US"/>
        </w:rPr>
        <w:t>Die Werte für die Errichtungskosten der mineralischen Bauweise wurden im Rahmen dieser Masterarbeit ermittelt und dienen als Grundlage für den nachfolgenden Vergleich. Zudem wurden auch Preise für Verwaltungshonorare sowie Reinigungs- und Pflegekosten bereitgestellt. Die Parameter der angewandten Rechenmethodik wurden unter Berücksichtigung der entsprechenden Indizes angepasst.</w:t>
      </w:r>
    </w:p>
    <w:p w14:paraId="20AA3D75" w14:textId="77777777" w:rsidR="008B4367" w:rsidRPr="003E7D9E" w:rsidRDefault="008B4367" w:rsidP="008B4367">
      <w:pPr>
        <w:tabs>
          <w:tab w:val="left" w:pos="2310"/>
        </w:tabs>
        <w:spacing w:after="0"/>
        <w:rPr>
          <w:rFonts w:asciiTheme="majorHAnsi" w:hAnsiTheme="majorHAnsi" w:cstheme="majorHAnsi"/>
          <w:sz w:val="18"/>
        </w:rPr>
      </w:pPr>
    </w:p>
    <w:p w14:paraId="3E047C82" w14:textId="77777777" w:rsidR="008B4367" w:rsidRDefault="008B4367" w:rsidP="008B4367">
      <w:pPr>
        <w:tabs>
          <w:tab w:val="left" w:pos="2310"/>
        </w:tabs>
        <w:spacing w:after="0"/>
        <w:rPr>
          <w:rFonts w:asciiTheme="majorHAnsi" w:hAnsiTheme="majorHAnsi" w:cstheme="majorHAnsi"/>
          <w:sz w:val="18"/>
        </w:rPr>
      </w:pPr>
      <w:r w:rsidRPr="003E7D9E">
        <w:rPr>
          <w:rFonts w:asciiTheme="majorHAnsi" w:hAnsiTheme="majorHAnsi" w:cstheme="majorHAnsi"/>
          <w:noProof/>
        </w:rPr>
        <w:drawing>
          <wp:inline distT="0" distB="0" distL="0" distR="0" wp14:anchorId="51A26FC2" wp14:editId="5FA652A5">
            <wp:extent cx="2647950" cy="2954557"/>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4875" cy="2973441"/>
                    </a:xfrm>
                    <a:prstGeom prst="rect">
                      <a:avLst/>
                    </a:prstGeom>
                    <a:noFill/>
                    <a:ln>
                      <a:noFill/>
                    </a:ln>
                  </pic:spPr>
                </pic:pic>
              </a:graphicData>
            </a:graphic>
          </wp:inline>
        </w:drawing>
      </w:r>
      <w:r w:rsidRPr="003E7D9E">
        <w:rPr>
          <w:rFonts w:asciiTheme="majorHAnsi" w:hAnsiTheme="majorHAnsi" w:cstheme="majorHAnsi"/>
          <w:sz w:val="18"/>
        </w:rPr>
        <w:t xml:space="preserve"> </w:t>
      </w:r>
    </w:p>
    <w:p w14:paraId="4D295A3F" w14:textId="77777777" w:rsidR="008B4367" w:rsidRPr="008B4367" w:rsidRDefault="008B4367" w:rsidP="008B4367">
      <w:pPr>
        <w:rPr>
          <w:rFonts w:asciiTheme="majorHAnsi" w:hAnsiTheme="majorHAnsi" w:cstheme="majorHAnsi"/>
          <w:color w:val="C00000"/>
          <w:sz w:val="20"/>
          <w:szCs w:val="20"/>
        </w:rPr>
      </w:pPr>
      <w:proofErr w:type="gramStart"/>
      <w:r w:rsidRPr="00F05616">
        <w:rPr>
          <w:rFonts w:asciiTheme="majorHAnsi" w:hAnsiTheme="majorHAnsi" w:cstheme="majorHAnsi"/>
          <w:color w:val="C00000"/>
          <w:sz w:val="20"/>
          <w:szCs w:val="20"/>
        </w:rPr>
        <w:t>i[</w:t>
      </w:r>
      <w:proofErr w:type="gramEnd"/>
      <w:r w:rsidRPr="00F05616">
        <w:rPr>
          <w:rFonts w:asciiTheme="majorHAnsi" w:hAnsiTheme="majorHAnsi" w:cstheme="majorHAnsi"/>
          <w:color w:val="C00000"/>
          <w:sz w:val="20"/>
          <w:szCs w:val="20"/>
        </w:rPr>
        <w:t>Errichtungskosten (mineralische Bauweise) laut Bauträger Glorit GmbH ^[eigene Darstellung Basis Glorit Vgl. ÖNORM B 1801-1:2021-02]](55.pdf)</w:t>
      </w:r>
    </w:p>
    <w:p w14:paraId="4678069E" w14:textId="77777777" w:rsidR="008B4367" w:rsidRPr="003E7D9E" w:rsidRDefault="008B4367" w:rsidP="008B4367">
      <w:pPr>
        <w:tabs>
          <w:tab w:val="left" w:pos="2310"/>
        </w:tabs>
        <w:spacing w:after="0"/>
        <w:rPr>
          <w:rFonts w:asciiTheme="majorHAnsi" w:hAnsiTheme="majorHAnsi" w:cstheme="majorHAnsi"/>
        </w:rPr>
      </w:pPr>
      <w:r w:rsidRPr="003E7D9E">
        <w:rPr>
          <w:rFonts w:asciiTheme="majorHAnsi" w:hAnsiTheme="majorHAnsi" w:cstheme="majorHAnsi"/>
          <w:noProof/>
        </w:rPr>
        <w:drawing>
          <wp:inline distT="0" distB="0" distL="0" distR="0" wp14:anchorId="0ABD76BC" wp14:editId="2180C844">
            <wp:extent cx="2762250" cy="3208009"/>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2421" cy="3231435"/>
                    </a:xfrm>
                    <a:prstGeom prst="rect">
                      <a:avLst/>
                    </a:prstGeom>
                    <a:noFill/>
                    <a:ln>
                      <a:noFill/>
                    </a:ln>
                  </pic:spPr>
                </pic:pic>
              </a:graphicData>
            </a:graphic>
          </wp:inline>
        </w:drawing>
      </w:r>
    </w:p>
    <w:p w14:paraId="05A2AC2D" w14:textId="77777777" w:rsidR="008B4367" w:rsidRDefault="008B4367" w:rsidP="008B4367">
      <w:pPr>
        <w:rPr>
          <w:rFonts w:asciiTheme="majorHAnsi" w:hAnsiTheme="majorHAnsi" w:cstheme="majorHAnsi"/>
          <w:color w:val="C00000"/>
          <w:sz w:val="20"/>
          <w:szCs w:val="20"/>
        </w:rPr>
      </w:pPr>
      <w:proofErr w:type="gramStart"/>
      <w:r w:rsidRPr="00F05616">
        <w:rPr>
          <w:rFonts w:asciiTheme="majorHAnsi" w:hAnsiTheme="majorHAnsi" w:cstheme="majorHAnsi"/>
          <w:color w:val="C00000"/>
          <w:sz w:val="20"/>
          <w:szCs w:val="20"/>
        </w:rPr>
        <w:t>i[</w:t>
      </w:r>
      <w:proofErr w:type="gramEnd"/>
      <w:r>
        <w:rPr>
          <w:rFonts w:asciiTheme="majorHAnsi" w:hAnsiTheme="majorHAnsi" w:cstheme="majorHAnsi"/>
          <w:color w:val="C00000"/>
          <w:sz w:val="20"/>
          <w:szCs w:val="20"/>
        </w:rPr>
        <w:t xml:space="preserve">Eigenberechnung: </w:t>
      </w:r>
      <w:r w:rsidRPr="00F05616">
        <w:rPr>
          <w:rFonts w:asciiTheme="majorHAnsi" w:hAnsiTheme="majorHAnsi" w:cstheme="majorHAnsi"/>
          <w:color w:val="C00000"/>
          <w:sz w:val="20"/>
          <w:szCs w:val="20"/>
        </w:rPr>
        <w:t xml:space="preserve">Errichtungskosten </w:t>
      </w:r>
      <w:r>
        <w:rPr>
          <w:rFonts w:asciiTheme="majorHAnsi" w:hAnsiTheme="majorHAnsi" w:cstheme="majorHAnsi"/>
          <w:color w:val="C00000"/>
          <w:sz w:val="20"/>
          <w:szCs w:val="20"/>
        </w:rPr>
        <w:t>Holzbauweise</w:t>
      </w:r>
      <w:r w:rsidRPr="00F05616">
        <w:rPr>
          <w:rFonts w:asciiTheme="majorHAnsi" w:hAnsiTheme="majorHAnsi" w:cstheme="majorHAnsi"/>
          <w:color w:val="C00000"/>
          <w:sz w:val="20"/>
          <w:szCs w:val="20"/>
        </w:rPr>
        <w:t xml:space="preserve"> ^[eigene Darstellung Vgl. ÖNORM B 1801-1:2021-02]](5</w:t>
      </w:r>
      <w:r>
        <w:rPr>
          <w:rFonts w:asciiTheme="majorHAnsi" w:hAnsiTheme="majorHAnsi" w:cstheme="majorHAnsi"/>
          <w:color w:val="C00000"/>
          <w:sz w:val="20"/>
          <w:szCs w:val="20"/>
        </w:rPr>
        <w:t>6</w:t>
      </w:r>
      <w:r w:rsidRPr="00F05616">
        <w:rPr>
          <w:rFonts w:asciiTheme="majorHAnsi" w:hAnsiTheme="majorHAnsi" w:cstheme="majorHAnsi"/>
          <w:color w:val="C00000"/>
          <w:sz w:val="20"/>
          <w:szCs w:val="20"/>
        </w:rPr>
        <w:t>.pdf)</w:t>
      </w:r>
    </w:p>
    <w:p w14:paraId="4CB3E67B" w14:textId="77777777" w:rsidR="008B4367" w:rsidRPr="003E7D9E" w:rsidRDefault="008B4367" w:rsidP="008B4367">
      <w:pPr>
        <w:rPr>
          <w:rFonts w:asciiTheme="majorHAnsi" w:hAnsiTheme="majorHAnsi" w:cstheme="majorHAnsi"/>
        </w:rPr>
      </w:pPr>
      <w:r w:rsidRPr="003E7D9E">
        <w:rPr>
          <w:rFonts w:asciiTheme="majorHAnsi" w:hAnsiTheme="majorHAnsi" w:cstheme="majorHAnsi"/>
        </w:rPr>
        <w:t>Das Ergebnis dieses Vergleichs zeigt eindeutig, dass der Neubau in Holzbauweise deutlich höhere Errichtungskosten verursacht. Dabei wurde jedoch die kürzere Bauzeit der Holzbauweise nicht berücksichtigt, die zu erheblichen Kostenvorteilen führen würde.</w:t>
      </w:r>
    </w:p>
    <w:p w14:paraId="2C9DD600" w14:textId="77777777" w:rsidR="008B4367" w:rsidRPr="003E7D9E" w:rsidRDefault="008B4367" w:rsidP="008B4367">
      <w:pPr>
        <w:tabs>
          <w:tab w:val="left" w:pos="2310"/>
        </w:tabs>
        <w:rPr>
          <w:rFonts w:asciiTheme="majorHAnsi" w:hAnsiTheme="majorHAnsi" w:cstheme="majorHAnsi"/>
        </w:rPr>
      </w:pPr>
    </w:p>
    <w:p w14:paraId="3E278542" w14:textId="77777777" w:rsidR="008B4367" w:rsidRPr="003E7D9E" w:rsidRDefault="008B4367" w:rsidP="008B4367">
      <w:pPr>
        <w:tabs>
          <w:tab w:val="left" w:pos="2310"/>
        </w:tabs>
        <w:rPr>
          <w:rFonts w:asciiTheme="majorHAnsi" w:hAnsiTheme="majorHAnsi" w:cstheme="majorHAnsi"/>
          <w:b/>
        </w:rPr>
      </w:pPr>
      <w:r>
        <w:rPr>
          <w:rFonts w:asciiTheme="majorHAnsi" w:hAnsiTheme="majorHAnsi" w:cstheme="majorHAnsi"/>
          <w:b/>
        </w:rPr>
        <w:lastRenderedPageBreak/>
        <w:t xml:space="preserve">8.4 </w:t>
      </w:r>
      <w:r w:rsidRPr="003E7D9E">
        <w:rPr>
          <w:rFonts w:asciiTheme="majorHAnsi" w:hAnsiTheme="majorHAnsi" w:cstheme="majorHAnsi"/>
          <w:b/>
        </w:rPr>
        <w:t>GEGENÜBERSTELLUNG DER KOSTENHAUPTGRUPPEN</w:t>
      </w:r>
    </w:p>
    <w:p w14:paraId="0D3004DB" w14:textId="77777777" w:rsidR="008B4367" w:rsidRPr="003E7D9E" w:rsidRDefault="008B4367" w:rsidP="008B4367">
      <w:pPr>
        <w:tabs>
          <w:tab w:val="left" w:pos="2310"/>
        </w:tabs>
        <w:jc w:val="both"/>
        <w:rPr>
          <w:rFonts w:asciiTheme="majorHAnsi" w:hAnsiTheme="majorHAnsi" w:cstheme="majorHAnsi"/>
        </w:rPr>
      </w:pPr>
      <w:r w:rsidRPr="003E7D9E">
        <w:rPr>
          <w:rFonts w:asciiTheme="majorHAnsi" w:hAnsiTheme="majorHAnsi" w:cstheme="majorHAnsi"/>
        </w:rPr>
        <w:t>Als Grundlage dient die Darstellung der Kostenhauptgruppen gemäß der ÖNORM B 1801-2. Die Werte für die mineralische Bauweise können auf Grundlage eines bereits vergleichbaren und realisierten Referenzobjekts entnommen werden. Die Ausgangslage bildet die vom Bauträger geplante standardisierte mineralische Bauweise, bei der aus Kostengründen weitgehend auf den Einsatz ökologischer Baustoffe verzichtet wird. Im Gegensatz dazu wird eine nachhaltige Ausführungsvariante in Holzbauweise aufgeführt, die durch verschiedene ökologische Aspekte zur Reduktion von Treibhausgasemissionen beitragen soll. Im Idealfall wird die Effektivität so gesteigert, dass das Gebäude als ein Beispiel für Klimaschutz durch klimaneutrales Bauen dient.</w:t>
      </w:r>
    </w:p>
    <w:p w14:paraId="0636EACD" w14:textId="77777777" w:rsidR="008B4367" w:rsidRPr="003E7D9E" w:rsidRDefault="008B4367" w:rsidP="008B4367">
      <w:pPr>
        <w:tabs>
          <w:tab w:val="left" w:pos="2310"/>
        </w:tabs>
        <w:rPr>
          <w:rFonts w:asciiTheme="majorHAnsi" w:hAnsiTheme="majorHAnsi" w:cstheme="majorHAnsi"/>
          <w:u w:val="single"/>
        </w:rPr>
      </w:pPr>
      <w:r w:rsidRPr="003E7D9E">
        <w:rPr>
          <w:rFonts w:asciiTheme="majorHAnsi" w:hAnsiTheme="majorHAnsi" w:cstheme="majorHAnsi"/>
          <w:u w:val="single"/>
        </w:rPr>
        <w:t>Dies soll erreicht werden durch:</w:t>
      </w:r>
    </w:p>
    <w:p w14:paraId="03DA7884" w14:textId="77777777" w:rsidR="008B4367" w:rsidRPr="003E7D9E" w:rsidRDefault="008B4367" w:rsidP="008B4367">
      <w:pPr>
        <w:pStyle w:val="Listenabsatz"/>
        <w:numPr>
          <w:ilvl w:val="0"/>
          <w:numId w:val="1"/>
        </w:numPr>
        <w:spacing w:after="0" w:line="240" w:lineRule="auto"/>
        <w:rPr>
          <w:rFonts w:asciiTheme="majorHAnsi" w:hAnsiTheme="majorHAnsi" w:cstheme="majorHAnsi"/>
        </w:rPr>
      </w:pPr>
      <w:r w:rsidRPr="003E7D9E">
        <w:rPr>
          <w:rFonts w:asciiTheme="majorHAnsi" w:hAnsiTheme="majorHAnsi" w:cstheme="majorHAnsi"/>
        </w:rPr>
        <w:t>Vermeidung von CO2-Emissionen bereits in der Produktionsphase</w:t>
      </w:r>
    </w:p>
    <w:p w14:paraId="6F4E22B6" w14:textId="77777777" w:rsidR="008B4367" w:rsidRPr="003E7D9E" w:rsidRDefault="008B4367" w:rsidP="008B4367">
      <w:pPr>
        <w:pStyle w:val="Listenabsatz"/>
        <w:numPr>
          <w:ilvl w:val="0"/>
          <w:numId w:val="1"/>
        </w:numPr>
        <w:spacing w:after="0" w:line="240" w:lineRule="auto"/>
        <w:rPr>
          <w:rFonts w:asciiTheme="majorHAnsi" w:hAnsiTheme="majorHAnsi" w:cstheme="majorHAnsi"/>
        </w:rPr>
      </w:pPr>
      <w:r w:rsidRPr="003E7D9E">
        <w:rPr>
          <w:rFonts w:asciiTheme="majorHAnsi" w:hAnsiTheme="majorHAnsi" w:cstheme="majorHAnsi"/>
        </w:rPr>
        <w:t>Verwendung möglichst CO2-neutraler Baumaterialien</w:t>
      </w:r>
    </w:p>
    <w:p w14:paraId="23969A41" w14:textId="77777777" w:rsidR="008B4367" w:rsidRPr="003E7D9E" w:rsidRDefault="008B4367" w:rsidP="008B4367">
      <w:pPr>
        <w:pStyle w:val="Listenabsatz"/>
        <w:numPr>
          <w:ilvl w:val="0"/>
          <w:numId w:val="1"/>
        </w:numPr>
        <w:spacing w:after="0" w:line="240" w:lineRule="auto"/>
        <w:rPr>
          <w:rFonts w:asciiTheme="majorHAnsi" w:hAnsiTheme="majorHAnsi" w:cstheme="majorHAnsi"/>
        </w:rPr>
      </w:pPr>
      <w:r w:rsidRPr="003E7D9E">
        <w:rPr>
          <w:rFonts w:asciiTheme="majorHAnsi" w:hAnsiTheme="majorHAnsi" w:cstheme="majorHAnsi"/>
        </w:rPr>
        <w:t>Nutzung nachhaltiger Erdwärme mittels Sole/Wasser-Wärmepumpen</w:t>
      </w:r>
    </w:p>
    <w:p w14:paraId="63A86616" w14:textId="77777777" w:rsidR="008B4367" w:rsidRPr="003E7D9E" w:rsidRDefault="008B4367" w:rsidP="008B4367">
      <w:pPr>
        <w:pStyle w:val="Listenabsatz"/>
        <w:numPr>
          <w:ilvl w:val="0"/>
          <w:numId w:val="1"/>
        </w:numPr>
        <w:spacing w:after="0" w:line="240" w:lineRule="auto"/>
        <w:rPr>
          <w:rFonts w:asciiTheme="majorHAnsi" w:hAnsiTheme="majorHAnsi" w:cstheme="majorHAnsi"/>
        </w:rPr>
      </w:pPr>
      <w:r w:rsidRPr="003E7D9E">
        <w:rPr>
          <w:rFonts w:asciiTheme="majorHAnsi" w:hAnsiTheme="majorHAnsi" w:cstheme="majorHAnsi"/>
        </w:rPr>
        <w:t>Erzeugung von Strom durch Solarthermie</w:t>
      </w:r>
    </w:p>
    <w:p w14:paraId="4E6135DB" w14:textId="77777777" w:rsidR="008B4367" w:rsidRPr="003E7D9E" w:rsidRDefault="008B4367" w:rsidP="008B4367">
      <w:pPr>
        <w:pStyle w:val="Listenabsatz"/>
        <w:numPr>
          <w:ilvl w:val="0"/>
          <w:numId w:val="1"/>
        </w:numPr>
        <w:tabs>
          <w:tab w:val="left" w:pos="2310"/>
        </w:tabs>
        <w:rPr>
          <w:rFonts w:asciiTheme="majorHAnsi" w:hAnsiTheme="majorHAnsi" w:cstheme="majorHAnsi"/>
        </w:rPr>
      </w:pPr>
      <w:r w:rsidRPr="003E7D9E">
        <w:rPr>
          <w:rFonts w:asciiTheme="majorHAnsi" w:hAnsiTheme="majorHAnsi" w:cstheme="majorHAnsi"/>
        </w:rPr>
        <w:t>Kühlung durch Bauteilaktivierung</w:t>
      </w:r>
    </w:p>
    <w:p w14:paraId="025BE090" w14:textId="77777777" w:rsidR="008B4367" w:rsidRPr="003E7D9E" w:rsidRDefault="008B4367" w:rsidP="008B4367">
      <w:pPr>
        <w:pStyle w:val="Listenabsatz"/>
        <w:tabs>
          <w:tab w:val="left" w:pos="2310"/>
        </w:tabs>
        <w:rPr>
          <w:rFonts w:asciiTheme="majorHAnsi" w:hAnsiTheme="majorHAnsi" w:cstheme="majorHAnsi"/>
        </w:rPr>
      </w:pPr>
    </w:p>
    <w:p w14:paraId="19C2AB2A" w14:textId="77777777" w:rsidR="008B4367" w:rsidRPr="003E7D9E" w:rsidRDefault="008B4367" w:rsidP="008B4367">
      <w:pPr>
        <w:pStyle w:val="Listenabsatz"/>
        <w:tabs>
          <w:tab w:val="left" w:pos="2310"/>
        </w:tabs>
        <w:rPr>
          <w:rFonts w:asciiTheme="majorHAnsi" w:hAnsiTheme="majorHAnsi" w:cstheme="majorHAnsi"/>
        </w:rPr>
      </w:pPr>
    </w:p>
    <w:p w14:paraId="5C2D1C3C" w14:textId="77777777" w:rsidR="008B4367" w:rsidRDefault="008B4367" w:rsidP="008B4367">
      <w:pPr>
        <w:tabs>
          <w:tab w:val="left" w:pos="2310"/>
        </w:tabs>
        <w:spacing w:after="0"/>
        <w:rPr>
          <w:rFonts w:asciiTheme="majorHAnsi" w:hAnsiTheme="majorHAnsi" w:cstheme="majorHAnsi"/>
        </w:rPr>
      </w:pPr>
      <w:r w:rsidRPr="003E7D9E">
        <w:rPr>
          <w:rFonts w:asciiTheme="majorHAnsi" w:hAnsiTheme="majorHAnsi" w:cstheme="majorHAnsi"/>
          <w:noProof/>
        </w:rPr>
        <w:drawing>
          <wp:inline distT="0" distB="0" distL="0" distR="0" wp14:anchorId="648F947E" wp14:editId="7340A406">
            <wp:extent cx="2266950" cy="2859377"/>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9096" cy="2887311"/>
                    </a:xfrm>
                    <a:prstGeom prst="rect">
                      <a:avLst/>
                    </a:prstGeom>
                    <a:noFill/>
                    <a:ln>
                      <a:noFill/>
                    </a:ln>
                  </pic:spPr>
                </pic:pic>
              </a:graphicData>
            </a:graphic>
          </wp:inline>
        </w:drawing>
      </w:r>
      <w:r w:rsidRPr="003E7D9E">
        <w:rPr>
          <w:rFonts w:asciiTheme="majorHAnsi" w:hAnsiTheme="majorHAnsi" w:cstheme="majorHAnsi"/>
        </w:rPr>
        <w:t xml:space="preserve">       </w:t>
      </w:r>
    </w:p>
    <w:p w14:paraId="49A1208F" w14:textId="77777777" w:rsidR="008B4367" w:rsidRPr="00F05616" w:rsidRDefault="008B4367" w:rsidP="008B4367">
      <w:pPr>
        <w:rPr>
          <w:rFonts w:asciiTheme="majorHAnsi" w:hAnsiTheme="majorHAnsi" w:cstheme="majorHAnsi"/>
          <w:color w:val="C00000"/>
          <w:sz w:val="20"/>
          <w:szCs w:val="20"/>
        </w:rPr>
      </w:pPr>
      <w:proofErr w:type="gramStart"/>
      <w:r w:rsidRPr="00F05616">
        <w:rPr>
          <w:rFonts w:asciiTheme="majorHAnsi" w:hAnsiTheme="majorHAnsi" w:cstheme="majorHAnsi"/>
          <w:color w:val="C00000"/>
          <w:sz w:val="20"/>
          <w:szCs w:val="20"/>
        </w:rPr>
        <w:t>i[</w:t>
      </w:r>
      <w:proofErr w:type="gramEnd"/>
      <w:r w:rsidRPr="00F05616">
        <w:rPr>
          <w:rFonts w:asciiTheme="majorHAnsi" w:hAnsiTheme="majorHAnsi" w:cstheme="majorHAnsi"/>
          <w:color w:val="C00000"/>
          <w:sz w:val="20"/>
          <w:szCs w:val="20"/>
        </w:rPr>
        <w:t xml:space="preserve">Objektfolgekosten </w:t>
      </w:r>
      <w:r>
        <w:rPr>
          <w:rFonts w:asciiTheme="majorHAnsi" w:hAnsiTheme="majorHAnsi" w:cstheme="majorHAnsi"/>
          <w:color w:val="C00000"/>
          <w:sz w:val="20"/>
          <w:szCs w:val="20"/>
        </w:rPr>
        <w:t>mineralische Bauweise</w:t>
      </w:r>
      <w:r w:rsidRPr="00F05616">
        <w:rPr>
          <w:rFonts w:asciiTheme="majorHAnsi" w:hAnsiTheme="majorHAnsi" w:cstheme="majorHAnsi"/>
          <w:color w:val="C00000"/>
          <w:sz w:val="20"/>
          <w:szCs w:val="20"/>
        </w:rPr>
        <w:t xml:space="preserve"> ^[eigene Darstellung]](5</w:t>
      </w:r>
      <w:r>
        <w:rPr>
          <w:rFonts w:asciiTheme="majorHAnsi" w:hAnsiTheme="majorHAnsi" w:cstheme="majorHAnsi"/>
          <w:color w:val="C00000"/>
          <w:sz w:val="20"/>
          <w:szCs w:val="20"/>
        </w:rPr>
        <w:t>7</w:t>
      </w:r>
      <w:r w:rsidRPr="00F05616">
        <w:rPr>
          <w:rFonts w:asciiTheme="majorHAnsi" w:hAnsiTheme="majorHAnsi" w:cstheme="majorHAnsi"/>
          <w:color w:val="C00000"/>
          <w:sz w:val="20"/>
          <w:szCs w:val="20"/>
        </w:rPr>
        <w:t>.pdf)</w:t>
      </w:r>
    </w:p>
    <w:p w14:paraId="456AE3F8" w14:textId="77777777" w:rsidR="008B4367" w:rsidRDefault="008B4367" w:rsidP="008B4367">
      <w:pPr>
        <w:tabs>
          <w:tab w:val="left" w:pos="2310"/>
        </w:tabs>
        <w:spacing w:after="0"/>
        <w:rPr>
          <w:rFonts w:asciiTheme="majorHAnsi" w:hAnsiTheme="majorHAnsi" w:cstheme="majorHAnsi"/>
        </w:rPr>
      </w:pPr>
    </w:p>
    <w:p w14:paraId="30B868A7" w14:textId="77777777" w:rsidR="008B4367" w:rsidRPr="003E7D9E" w:rsidRDefault="008B4367" w:rsidP="008B4367">
      <w:pPr>
        <w:tabs>
          <w:tab w:val="left" w:pos="2310"/>
        </w:tabs>
        <w:spacing w:after="0"/>
        <w:rPr>
          <w:rFonts w:asciiTheme="majorHAnsi" w:hAnsiTheme="majorHAnsi" w:cstheme="majorHAnsi"/>
        </w:rPr>
      </w:pPr>
      <w:r w:rsidRPr="003E7D9E">
        <w:rPr>
          <w:rFonts w:asciiTheme="majorHAnsi" w:hAnsiTheme="majorHAnsi" w:cstheme="majorHAnsi"/>
        </w:rPr>
        <w:lastRenderedPageBreak/>
        <w:t xml:space="preserve"> </w:t>
      </w:r>
      <w:r w:rsidRPr="003E7D9E">
        <w:rPr>
          <w:rFonts w:asciiTheme="majorHAnsi" w:hAnsiTheme="majorHAnsi" w:cstheme="majorHAnsi"/>
          <w:noProof/>
        </w:rPr>
        <w:drawing>
          <wp:inline distT="0" distB="0" distL="0" distR="0" wp14:anchorId="11E17CDC" wp14:editId="127FAF02">
            <wp:extent cx="2324100" cy="2905314"/>
            <wp:effectExtent l="0" t="0" r="0" b="952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801" cy="2916191"/>
                    </a:xfrm>
                    <a:prstGeom prst="rect">
                      <a:avLst/>
                    </a:prstGeom>
                    <a:noFill/>
                    <a:ln>
                      <a:noFill/>
                    </a:ln>
                  </pic:spPr>
                </pic:pic>
              </a:graphicData>
            </a:graphic>
          </wp:inline>
        </w:drawing>
      </w:r>
    </w:p>
    <w:p w14:paraId="2D93940E" w14:textId="77777777" w:rsidR="008B4367" w:rsidRPr="00F05616" w:rsidRDefault="008B4367" w:rsidP="008B4367">
      <w:pPr>
        <w:rPr>
          <w:rFonts w:asciiTheme="majorHAnsi" w:hAnsiTheme="majorHAnsi" w:cstheme="majorHAnsi"/>
          <w:color w:val="C00000"/>
          <w:sz w:val="20"/>
          <w:szCs w:val="20"/>
        </w:rPr>
      </w:pPr>
      <w:proofErr w:type="gramStart"/>
      <w:r w:rsidRPr="00F05616">
        <w:rPr>
          <w:rFonts w:asciiTheme="majorHAnsi" w:hAnsiTheme="majorHAnsi" w:cstheme="majorHAnsi"/>
          <w:color w:val="C00000"/>
          <w:sz w:val="20"/>
          <w:szCs w:val="20"/>
        </w:rPr>
        <w:t>i[</w:t>
      </w:r>
      <w:proofErr w:type="gramEnd"/>
      <w:r w:rsidRPr="00F05616">
        <w:rPr>
          <w:rFonts w:asciiTheme="majorHAnsi" w:hAnsiTheme="majorHAnsi" w:cstheme="majorHAnsi"/>
          <w:color w:val="C00000"/>
          <w:sz w:val="20"/>
          <w:szCs w:val="20"/>
        </w:rPr>
        <w:t>Objektfolgekosten Holzbauweise ^[eigene Darstellung]](58.pdf)</w:t>
      </w:r>
    </w:p>
    <w:p w14:paraId="11A39835" w14:textId="77777777" w:rsidR="008B4367" w:rsidRPr="003E7D9E" w:rsidRDefault="008B4367" w:rsidP="008B4367">
      <w:pPr>
        <w:tabs>
          <w:tab w:val="left" w:pos="2310"/>
          <w:tab w:val="center" w:pos="4536"/>
        </w:tabs>
        <w:spacing w:after="0"/>
        <w:rPr>
          <w:rFonts w:asciiTheme="majorHAnsi" w:hAnsiTheme="majorHAnsi" w:cstheme="majorHAnsi"/>
          <w:sz w:val="18"/>
        </w:rPr>
      </w:pPr>
    </w:p>
    <w:p w14:paraId="4C12E8CB" w14:textId="77777777" w:rsidR="008B4367" w:rsidRDefault="008B4367">
      <w:pPr>
        <w:spacing w:after="160" w:line="259" w:lineRule="auto"/>
        <w:rPr>
          <w:rFonts w:asciiTheme="majorHAnsi" w:hAnsiTheme="majorHAnsi" w:cstheme="majorHAnsi"/>
          <w:b/>
        </w:rPr>
      </w:pPr>
      <w:r>
        <w:rPr>
          <w:rFonts w:asciiTheme="majorHAnsi" w:hAnsiTheme="majorHAnsi" w:cstheme="majorHAnsi"/>
          <w:b/>
        </w:rPr>
        <w:br w:type="page"/>
      </w:r>
    </w:p>
    <w:p w14:paraId="0C798ECA" w14:textId="77777777" w:rsidR="008B4367" w:rsidRPr="003E7D9E" w:rsidRDefault="008B4367" w:rsidP="008B4367">
      <w:pPr>
        <w:rPr>
          <w:rFonts w:asciiTheme="majorHAnsi" w:hAnsiTheme="majorHAnsi" w:cstheme="majorHAnsi"/>
          <w:b/>
        </w:rPr>
      </w:pPr>
      <w:r>
        <w:rPr>
          <w:rFonts w:asciiTheme="majorHAnsi" w:hAnsiTheme="majorHAnsi" w:cstheme="majorHAnsi"/>
          <w:b/>
        </w:rPr>
        <w:lastRenderedPageBreak/>
        <w:t xml:space="preserve">8.5 </w:t>
      </w:r>
      <w:r w:rsidRPr="003E7D9E">
        <w:rPr>
          <w:rFonts w:asciiTheme="majorHAnsi" w:hAnsiTheme="majorHAnsi" w:cstheme="majorHAnsi"/>
          <w:b/>
        </w:rPr>
        <w:t>LEBENSZYKLUSBERECHNUNG</w:t>
      </w:r>
    </w:p>
    <w:p w14:paraId="2E678319" w14:textId="77777777" w:rsidR="008B4367" w:rsidRPr="003E7D9E" w:rsidRDefault="008B4367" w:rsidP="008B4367">
      <w:pPr>
        <w:jc w:val="both"/>
        <w:rPr>
          <w:rFonts w:asciiTheme="majorHAnsi" w:hAnsiTheme="majorHAnsi" w:cstheme="majorHAnsi"/>
        </w:rPr>
      </w:pPr>
      <w:r w:rsidRPr="003E7D9E">
        <w:rPr>
          <w:rFonts w:asciiTheme="majorHAnsi" w:hAnsiTheme="majorHAnsi" w:cstheme="majorHAnsi"/>
        </w:rPr>
        <w:t xml:space="preserve">Die nachfolgenden Analysetabellen veranschaulichen die Gebäudekosten über einen Lebenszyklus von 30 Jahren. Zu Beginn zeigen sich die höheren Baukosten des nachhaltigen Bauvorhabens in Holzbauweise. Doch aufgrund der geringeren laufenden Folgekosten, die durch eine nahezu autarke Gebäudeplanung erzielt werden, reduziert sich der anfangs erhebliche Kostenunterschied in der Errichtung im Verlauf des Lebenszyklus. Dies führt letztlich zu einer vorteilhafteren Gesamtbilanz zugunsten des Klimaschutzes. </w:t>
      </w:r>
    </w:p>
    <w:p w14:paraId="541D13E6" w14:textId="77777777" w:rsidR="008B4367" w:rsidRPr="00245AA0" w:rsidRDefault="008B4367" w:rsidP="008B4367">
      <w:pPr>
        <w:spacing w:after="0"/>
        <w:rPr>
          <w:rFonts w:asciiTheme="majorHAnsi" w:hAnsiTheme="majorHAnsi" w:cstheme="majorHAnsi"/>
          <w:color w:val="C00000"/>
          <w:sz w:val="20"/>
          <w:szCs w:val="20"/>
        </w:rPr>
      </w:pPr>
      <w:r w:rsidRPr="003E7D9E">
        <w:rPr>
          <w:rFonts w:asciiTheme="majorHAnsi" w:hAnsiTheme="majorHAnsi" w:cstheme="majorHAnsi"/>
          <w:noProof/>
        </w:rPr>
        <w:drawing>
          <wp:anchor distT="0" distB="0" distL="114300" distR="114300" simplePos="0" relativeHeight="251660288" behindDoc="1" locked="0" layoutInCell="1" allowOverlap="1" wp14:anchorId="4769A436" wp14:editId="3ACD8635">
            <wp:simplePos x="0" y="0"/>
            <wp:positionH relativeFrom="column">
              <wp:posOffset>473710</wp:posOffset>
            </wp:positionH>
            <wp:positionV relativeFrom="paragraph">
              <wp:posOffset>2936240</wp:posOffset>
            </wp:positionV>
            <wp:extent cx="7012305" cy="1553845"/>
            <wp:effectExtent l="5080" t="0" r="3175" b="3175"/>
            <wp:wrapTight wrapText="bothSides">
              <wp:wrapPolygon edited="0">
                <wp:start x="21584" y="-71"/>
                <wp:lineTo x="49" y="-71"/>
                <wp:lineTo x="49" y="21379"/>
                <wp:lineTo x="21584" y="21379"/>
                <wp:lineTo x="21584" y="-71"/>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7012305" cy="1553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7D9E">
        <w:rPr>
          <w:rFonts w:asciiTheme="majorHAnsi" w:hAnsiTheme="majorHAnsi" w:cstheme="majorHAnsi"/>
        </w:rPr>
        <w:tab/>
      </w:r>
      <w:r w:rsidRPr="003E7D9E">
        <w:rPr>
          <w:rFonts w:asciiTheme="majorHAnsi" w:hAnsiTheme="majorHAnsi" w:cstheme="majorHAnsi"/>
          <w:noProof/>
        </w:rPr>
        <w:drawing>
          <wp:inline distT="0" distB="0" distL="0" distR="0" wp14:anchorId="79A269E1" wp14:editId="66C4D9A4">
            <wp:extent cx="7238700" cy="1605073"/>
            <wp:effectExtent l="0" t="254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7329233" cy="1625147"/>
                    </a:xfrm>
                    <a:prstGeom prst="rect">
                      <a:avLst/>
                    </a:prstGeom>
                    <a:noFill/>
                    <a:ln>
                      <a:noFill/>
                    </a:ln>
                  </pic:spPr>
                </pic:pic>
              </a:graphicData>
            </a:graphic>
          </wp:inline>
        </w:drawing>
      </w:r>
      <w:proofErr w:type="gramStart"/>
      <w:r w:rsidRPr="00245AA0">
        <w:rPr>
          <w:rFonts w:asciiTheme="majorHAnsi" w:hAnsiTheme="majorHAnsi" w:cstheme="majorHAnsi"/>
          <w:color w:val="C00000"/>
          <w:sz w:val="20"/>
          <w:szCs w:val="20"/>
        </w:rPr>
        <w:t>i[</w:t>
      </w:r>
      <w:proofErr w:type="gramEnd"/>
      <w:r w:rsidRPr="00245AA0">
        <w:rPr>
          <w:rFonts w:asciiTheme="majorHAnsi" w:hAnsiTheme="majorHAnsi" w:cstheme="majorHAnsi"/>
          <w:color w:val="C00000"/>
          <w:sz w:val="20"/>
          <w:szCs w:val="20"/>
        </w:rPr>
        <w:t xml:space="preserve">Eigenberechnung: Lebenszyklusberechnung mineralische Bauweise im Vergleich zur Holzbauweise </w:t>
      </w:r>
    </w:p>
    <w:p w14:paraId="7A9132C5" w14:textId="77777777" w:rsidR="008B4367" w:rsidRPr="00245AA0" w:rsidRDefault="008B4367" w:rsidP="008B4367">
      <w:pPr>
        <w:spacing w:after="0"/>
        <w:rPr>
          <w:rFonts w:asciiTheme="majorHAnsi" w:hAnsiTheme="majorHAnsi" w:cstheme="majorHAnsi"/>
          <w:color w:val="C00000"/>
          <w:sz w:val="20"/>
          <w:szCs w:val="20"/>
        </w:rPr>
      </w:pPr>
      <w:r w:rsidRPr="00245AA0">
        <w:rPr>
          <w:rFonts w:asciiTheme="majorHAnsi" w:hAnsiTheme="majorHAnsi" w:cstheme="majorHAnsi"/>
          <w:color w:val="C00000"/>
          <w:sz w:val="20"/>
          <w:szCs w:val="20"/>
        </w:rPr>
        <w:t xml:space="preserve"> </w:t>
      </w:r>
      <w:proofErr w:type="gramStart"/>
      <w:r w:rsidRPr="00245AA0">
        <w:rPr>
          <w:rFonts w:asciiTheme="majorHAnsi" w:hAnsiTheme="majorHAnsi" w:cstheme="majorHAnsi"/>
          <w:color w:val="C00000"/>
          <w:sz w:val="20"/>
          <w:szCs w:val="20"/>
        </w:rPr>
        <w:t>^[</w:t>
      </w:r>
      <w:proofErr w:type="gramEnd"/>
      <w:r w:rsidRPr="00245AA0">
        <w:rPr>
          <w:rFonts w:asciiTheme="majorHAnsi" w:hAnsiTheme="majorHAnsi" w:cstheme="majorHAnsi"/>
          <w:color w:val="C00000"/>
          <w:sz w:val="20"/>
          <w:szCs w:val="20"/>
        </w:rPr>
        <w:t>eigene Darstellung]](50.pdf)</w:t>
      </w:r>
    </w:p>
    <w:p w14:paraId="2F55B610" w14:textId="77777777" w:rsidR="008B4367" w:rsidRDefault="008B4367" w:rsidP="008B4367">
      <w:pPr>
        <w:spacing w:after="0"/>
        <w:ind w:firstLine="708"/>
        <w:rPr>
          <w:rFonts w:asciiTheme="majorHAnsi" w:hAnsiTheme="majorHAnsi" w:cstheme="majorHAnsi"/>
        </w:rPr>
      </w:pPr>
    </w:p>
    <w:p w14:paraId="06365F74" w14:textId="77777777" w:rsidR="008B4367" w:rsidRPr="00896499" w:rsidRDefault="008B4367" w:rsidP="008B4367">
      <w:pPr>
        <w:spacing w:after="0"/>
        <w:rPr>
          <w:rFonts w:asciiTheme="majorHAnsi" w:hAnsiTheme="majorHAnsi" w:cstheme="majorHAnsi"/>
          <w:b/>
        </w:rPr>
      </w:pPr>
      <w:r>
        <w:rPr>
          <w:rFonts w:asciiTheme="majorHAnsi" w:hAnsiTheme="majorHAnsi" w:cstheme="majorHAnsi"/>
          <w:b/>
        </w:rPr>
        <w:t>8.6</w:t>
      </w:r>
      <w:r w:rsidRPr="00896499">
        <w:rPr>
          <w:rFonts w:asciiTheme="majorHAnsi" w:hAnsiTheme="majorHAnsi" w:cstheme="majorHAnsi"/>
          <w:b/>
        </w:rPr>
        <w:t xml:space="preserve"> ZUSAMMENFASSENDE ANALYSE DER </w:t>
      </w:r>
      <w:commentRangeStart w:id="1"/>
      <w:r w:rsidRPr="00896499">
        <w:rPr>
          <w:rFonts w:asciiTheme="majorHAnsi" w:hAnsiTheme="majorHAnsi" w:cstheme="majorHAnsi"/>
          <w:b/>
        </w:rPr>
        <w:t>LEBENSZYKLUSKOSTEN</w:t>
      </w:r>
      <w:commentRangeEnd w:id="1"/>
      <w:r w:rsidRPr="00896499">
        <w:rPr>
          <w:rStyle w:val="Kommentarzeichen"/>
          <w:b/>
        </w:rPr>
        <w:commentReference w:id="1"/>
      </w:r>
      <w:r w:rsidRPr="00896499">
        <w:rPr>
          <w:rFonts w:asciiTheme="majorHAnsi" w:hAnsiTheme="majorHAnsi" w:cstheme="majorHAnsi"/>
          <w:b/>
        </w:rPr>
        <w:t>:</w:t>
      </w:r>
    </w:p>
    <w:p w14:paraId="6EF89E3C" w14:textId="77777777" w:rsidR="008B4367" w:rsidRDefault="008B4367" w:rsidP="008B4367">
      <w:pPr>
        <w:spacing w:after="0"/>
        <w:rPr>
          <w:rFonts w:asciiTheme="majorHAnsi" w:hAnsiTheme="majorHAnsi" w:cstheme="majorHAnsi"/>
        </w:rPr>
      </w:pPr>
    </w:p>
    <w:p w14:paraId="52DB4D5F" w14:textId="77777777" w:rsidR="008B4367" w:rsidRDefault="008B4367" w:rsidP="008B4367"/>
    <w:p w14:paraId="42340CCE" w14:textId="77777777" w:rsidR="008B4367" w:rsidRPr="00A063C8" w:rsidRDefault="008B4367" w:rsidP="008B4367">
      <w:pPr>
        <w:pStyle w:val="Listenabsatz"/>
        <w:numPr>
          <w:ilvl w:val="0"/>
          <w:numId w:val="1"/>
        </w:numPr>
        <w:spacing w:after="0" w:line="240" w:lineRule="auto"/>
        <w:rPr>
          <w:rFonts w:asciiTheme="majorHAnsi" w:hAnsiTheme="majorHAnsi" w:cstheme="majorHAnsi"/>
        </w:rPr>
      </w:pPr>
      <w:r w:rsidRPr="00A063C8">
        <w:rPr>
          <w:rFonts w:asciiTheme="majorHAnsi" w:hAnsiTheme="majorHAnsi" w:cstheme="majorHAnsi"/>
        </w:rPr>
        <w:t>Die ökologische Vorteilhaftigkeit von Investitionen und baulichen Lösungen wird eingehend bewertet.</w:t>
      </w:r>
    </w:p>
    <w:p w14:paraId="61DC05C3" w14:textId="77777777" w:rsidR="008B4367" w:rsidRPr="00A063C8" w:rsidRDefault="008B4367" w:rsidP="008B4367">
      <w:pPr>
        <w:pStyle w:val="Listenabsatz"/>
        <w:rPr>
          <w:rFonts w:asciiTheme="majorHAnsi" w:hAnsiTheme="majorHAnsi" w:cstheme="majorHAnsi"/>
        </w:rPr>
      </w:pPr>
    </w:p>
    <w:p w14:paraId="50D5FC41" w14:textId="77777777" w:rsidR="008B4367" w:rsidRPr="00A063C8" w:rsidRDefault="008B4367" w:rsidP="008B4367">
      <w:pPr>
        <w:pStyle w:val="Listenabsatz"/>
        <w:numPr>
          <w:ilvl w:val="0"/>
          <w:numId w:val="1"/>
        </w:numPr>
        <w:spacing w:after="0" w:line="240" w:lineRule="auto"/>
        <w:rPr>
          <w:rFonts w:asciiTheme="majorHAnsi" w:hAnsiTheme="majorHAnsi" w:cstheme="majorHAnsi"/>
        </w:rPr>
      </w:pPr>
      <w:r w:rsidRPr="00A063C8">
        <w:rPr>
          <w:rFonts w:asciiTheme="majorHAnsi" w:hAnsiTheme="majorHAnsi" w:cstheme="majorHAnsi"/>
        </w:rPr>
        <w:t>Es erfolgt eine Beurteilung des Verhältnisses zwischen dem erzielten Ertrag und dem dafür eingesetzten Aufwand.</w:t>
      </w:r>
    </w:p>
    <w:p w14:paraId="3C3B3177" w14:textId="77777777" w:rsidR="008B4367" w:rsidRPr="00A063C8" w:rsidRDefault="008B4367" w:rsidP="008B4367">
      <w:pPr>
        <w:pStyle w:val="Listenabsatz"/>
        <w:rPr>
          <w:rFonts w:asciiTheme="majorHAnsi" w:hAnsiTheme="majorHAnsi" w:cstheme="majorHAnsi"/>
        </w:rPr>
      </w:pPr>
    </w:p>
    <w:p w14:paraId="45E572A1" w14:textId="77777777" w:rsidR="008B4367" w:rsidRPr="00A063C8" w:rsidRDefault="008B4367" w:rsidP="008B4367">
      <w:pPr>
        <w:pStyle w:val="Listenabsatz"/>
        <w:numPr>
          <w:ilvl w:val="0"/>
          <w:numId w:val="1"/>
        </w:numPr>
        <w:spacing w:after="0" w:line="240" w:lineRule="auto"/>
        <w:rPr>
          <w:rFonts w:asciiTheme="majorHAnsi" w:hAnsiTheme="majorHAnsi" w:cstheme="majorHAnsi"/>
        </w:rPr>
      </w:pPr>
      <w:r w:rsidRPr="00A063C8">
        <w:rPr>
          <w:rFonts w:asciiTheme="majorHAnsi" w:hAnsiTheme="majorHAnsi" w:cstheme="majorHAnsi"/>
        </w:rPr>
        <w:t>Das übergeordnete Ziel besteht darin, mit einem möglichst geringen Ressourceneinsatz den angestrebten Ertrag zu erzielen.</w:t>
      </w:r>
    </w:p>
    <w:p w14:paraId="0E6B6082" w14:textId="77777777" w:rsidR="008B4367" w:rsidRPr="00A063C8" w:rsidRDefault="008B4367" w:rsidP="008B4367">
      <w:pPr>
        <w:pStyle w:val="Listenabsatz"/>
        <w:rPr>
          <w:rFonts w:asciiTheme="majorHAnsi" w:hAnsiTheme="majorHAnsi" w:cstheme="majorHAnsi"/>
        </w:rPr>
      </w:pPr>
    </w:p>
    <w:p w14:paraId="486222C8" w14:textId="77777777" w:rsidR="008B4367" w:rsidRPr="00A063C8" w:rsidRDefault="008B4367" w:rsidP="008B4367">
      <w:pPr>
        <w:pStyle w:val="Listenabsatz"/>
        <w:numPr>
          <w:ilvl w:val="0"/>
          <w:numId w:val="1"/>
        </w:numPr>
        <w:spacing w:after="0" w:line="240" w:lineRule="auto"/>
        <w:rPr>
          <w:rFonts w:asciiTheme="majorHAnsi" w:hAnsiTheme="majorHAnsi" w:cstheme="majorHAnsi"/>
        </w:rPr>
      </w:pPr>
      <w:r w:rsidRPr="00A063C8">
        <w:rPr>
          <w:rFonts w:asciiTheme="majorHAnsi" w:hAnsiTheme="majorHAnsi" w:cstheme="majorHAnsi"/>
        </w:rPr>
        <w:t>Die Beeinflussbarkeit der Lebenszykluskosten nimmt im Verlauf der Projektdauer ab.</w:t>
      </w:r>
    </w:p>
    <w:p w14:paraId="77DD3E66" w14:textId="77777777" w:rsidR="008B4367" w:rsidRPr="00A063C8" w:rsidRDefault="008B4367" w:rsidP="008B4367">
      <w:pPr>
        <w:pStyle w:val="Listenabsatz"/>
        <w:rPr>
          <w:rFonts w:asciiTheme="majorHAnsi" w:hAnsiTheme="majorHAnsi" w:cstheme="majorHAnsi"/>
        </w:rPr>
      </w:pPr>
    </w:p>
    <w:p w14:paraId="7DAFD6E5" w14:textId="77777777" w:rsidR="008B4367" w:rsidRPr="00A063C8" w:rsidRDefault="008B4367" w:rsidP="008B4367">
      <w:pPr>
        <w:pStyle w:val="Listenabsatz"/>
        <w:numPr>
          <w:ilvl w:val="0"/>
          <w:numId w:val="1"/>
        </w:numPr>
        <w:tabs>
          <w:tab w:val="left" w:pos="972"/>
        </w:tabs>
        <w:rPr>
          <w:rFonts w:asciiTheme="majorHAnsi" w:hAnsiTheme="majorHAnsi" w:cstheme="majorHAnsi"/>
        </w:rPr>
      </w:pPr>
      <w:r w:rsidRPr="00A063C8">
        <w:rPr>
          <w:rFonts w:asciiTheme="majorHAnsi" w:hAnsiTheme="majorHAnsi" w:cstheme="majorHAnsi"/>
        </w:rPr>
        <w:t>Die Rahmenbedingungen zur Anwendung der Lebenszykluskostenberechnung sind in nationalen und internationalen Normen und Richtlinien klar definiert.</w:t>
      </w:r>
    </w:p>
    <w:p w14:paraId="5DD41B88" w14:textId="77777777" w:rsidR="005A48AF" w:rsidRPr="008B4367" w:rsidRDefault="008B4367" w:rsidP="008B4367">
      <w:pPr>
        <w:spacing w:after="160" w:line="259" w:lineRule="auto"/>
        <w:rPr>
          <w:rFonts w:asciiTheme="majorHAnsi" w:hAnsiTheme="majorHAnsi" w:cstheme="majorHAnsi"/>
          <w:sz w:val="28"/>
        </w:rPr>
      </w:pPr>
      <w:bookmarkStart w:id="2" w:name="_GoBack"/>
      <w:bookmarkEnd w:id="2"/>
    </w:p>
    <w:sectPr w:rsidR="005A48AF" w:rsidRPr="008B436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smin Fejzic" w:date="2025-02-10T21:37:00Z" w:initials="FJ">
    <w:p w14:paraId="28DE60FD" w14:textId="77777777" w:rsidR="008B4367" w:rsidRDefault="008B4367" w:rsidP="008B4367">
      <w:pPr>
        <w:pStyle w:val="Kommentartext"/>
      </w:pPr>
      <w:r>
        <w:rPr>
          <w:rStyle w:val="Kommentarzeichen"/>
        </w:rPr>
        <w:annotationRef/>
      </w:r>
      <w:hyperlink r:id="rId1" w:history="1">
        <w:r w:rsidRPr="000232A5">
          <w:rPr>
            <w:rStyle w:val="Hyperlink"/>
          </w:rPr>
          <w:t>https://static.dgnb.de/fileadmin/dgnb-system/de/gebaeude/neubau/kriterien/03_ECO1.1_Gebaeudebezogene-Kosten-im-Lebenszyklus.pdf</w:t>
        </w:r>
      </w:hyperlink>
    </w:p>
    <w:p w14:paraId="763B9FC6" w14:textId="77777777" w:rsidR="008B4367" w:rsidRDefault="008B4367" w:rsidP="008B4367">
      <w:pPr>
        <w:pStyle w:val="Kommentartext"/>
      </w:pPr>
    </w:p>
  </w:comment>
  <w:comment w:id="1" w:author="Jasmin Fejzic" w:date="2025-02-10T21:56:00Z" w:initials="FJ">
    <w:p w14:paraId="686D7546" w14:textId="77777777" w:rsidR="008B4367" w:rsidRDefault="008B4367" w:rsidP="008B4367">
      <w:pPr>
        <w:pStyle w:val="Kommentartext"/>
      </w:pPr>
      <w:r>
        <w:rPr>
          <w:rStyle w:val="Kommentarzeichen"/>
        </w:rPr>
        <w:annotationRef/>
      </w:r>
      <w:hyperlink r:id="rId2" w:history="1">
        <w:r w:rsidRPr="00887470">
          <w:rPr>
            <w:rStyle w:val="Hyperlink"/>
          </w:rPr>
          <w:t>https://www.youtube.com/watch?v=EkT-Uc4qRU4</w:t>
        </w:r>
      </w:hyperlink>
      <w:r>
        <w:t xml:space="preserve"> im Vergleich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3B9FC6" w15:done="0"/>
  <w15:commentEx w15:paraId="686D75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3B9FC6" w16cid:durableId="2B54F025"/>
  <w16cid:commentId w16cid:paraId="686D7546" w16cid:durableId="2B54F4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9F039C"/>
    <w:multiLevelType w:val="hybridMultilevel"/>
    <w:tmpl w:val="29CE2198"/>
    <w:lvl w:ilvl="0" w:tplc="C7BAC122">
      <w:start w:val="166"/>
      <w:numFmt w:val="bullet"/>
      <w:lvlText w:val="-"/>
      <w:lvlJc w:val="left"/>
      <w:pPr>
        <w:ind w:left="720" w:hanging="360"/>
      </w:pPr>
      <w:rPr>
        <w:rFonts w:ascii="Calibri Light" w:eastAsiaTheme="minorHAnsi" w:hAnsi="Calibri Light" w:cs="Calibri Light" w:hint="default"/>
      </w:rPr>
    </w:lvl>
    <w:lvl w:ilvl="1" w:tplc="42529DA2">
      <w:numFmt w:val="bullet"/>
      <w:lvlText w:val=""/>
      <w:lvlJc w:val="left"/>
      <w:pPr>
        <w:ind w:left="1440" w:hanging="360"/>
      </w:pPr>
      <w:rPr>
        <w:rFonts w:ascii="Symbol" w:eastAsia="Times New Roman" w:hAnsi="Symbol" w:cs="Times New Roman"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min Fejzic">
    <w15:presenceInfo w15:providerId="AD" w15:userId="S-1-5-21-3419249824-1901813070-3263212703-26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4B"/>
    <w:rsid w:val="003976D6"/>
    <w:rsid w:val="008B4367"/>
    <w:rsid w:val="009B70EC"/>
    <w:rsid w:val="00D2674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ED0B"/>
  <w15:chartTrackingRefBased/>
  <w15:docId w15:val="{6B972A81-7174-4EA3-87DE-2D2A0394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B4367"/>
    <w:pPr>
      <w:spacing w:after="120" w:line="240" w:lineRule="auto"/>
    </w:pPr>
    <w:rPr>
      <w:rFonts w:ascii="Arial" w:eastAsia="Times New Roman" w:hAnsi="Arial" w:cs="Times New Roman"/>
      <w:szCs w:val="24"/>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B4367"/>
    <w:pPr>
      <w:spacing w:after="160" w:line="259" w:lineRule="auto"/>
      <w:ind w:left="720"/>
      <w:contextualSpacing/>
    </w:pPr>
    <w:rPr>
      <w:rFonts w:asciiTheme="minorHAnsi" w:eastAsiaTheme="minorHAnsi" w:hAnsiTheme="minorHAnsi" w:cstheme="minorBidi"/>
      <w:szCs w:val="22"/>
      <w:lang w:eastAsia="en-US"/>
    </w:rPr>
  </w:style>
  <w:style w:type="paragraph" w:styleId="StandardWeb">
    <w:name w:val="Normal (Web)"/>
    <w:basedOn w:val="Standard"/>
    <w:uiPriority w:val="99"/>
    <w:unhideWhenUsed/>
    <w:rsid w:val="008B4367"/>
    <w:pPr>
      <w:spacing w:before="100" w:beforeAutospacing="1" w:after="100" w:afterAutospacing="1"/>
    </w:pPr>
    <w:rPr>
      <w:rFonts w:ascii="Times New Roman" w:hAnsi="Times New Roman"/>
      <w:sz w:val="24"/>
    </w:rPr>
  </w:style>
  <w:style w:type="character" w:styleId="Kommentarzeichen">
    <w:name w:val="annotation reference"/>
    <w:basedOn w:val="Absatz-Standardschriftart"/>
    <w:uiPriority w:val="99"/>
    <w:semiHidden/>
    <w:unhideWhenUsed/>
    <w:rsid w:val="008B4367"/>
    <w:rPr>
      <w:sz w:val="16"/>
      <w:szCs w:val="16"/>
    </w:rPr>
  </w:style>
  <w:style w:type="paragraph" w:styleId="Kommentartext">
    <w:name w:val="annotation text"/>
    <w:basedOn w:val="Standard"/>
    <w:link w:val="KommentartextZchn"/>
    <w:uiPriority w:val="99"/>
    <w:semiHidden/>
    <w:unhideWhenUsed/>
    <w:rsid w:val="008B4367"/>
    <w:pPr>
      <w:spacing w:after="160"/>
    </w:pPr>
    <w:rPr>
      <w:rFonts w:asciiTheme="minorHAnsi" w:eastAsiaTheme="minorHAnsi" w:hAnsiTheme="minorHAnsi" w:cstheme="minorBidi"/>
      <w:sz w:val="20"/>
      <w:szCs w:val="20"/>
      <w:lang w:eastAsia="en-US"/>
    </w:rPr>
  </w:style>
  <w:style w:type="character" w:customStyle="1" w:styleId="KommentartextZchn">
    <w:name w:val="Kommentartext Zchn"/>
    <w:basedOn w:val="Absatz-Standardschriftart"/>
    <w:link w:val="Kommentartext"/>
    <w:uiPriority w:val="99"/>
    <w:semiHidden/>
    <w:rsid w:val="008B4367"/>
    <w:rPr>
      <w:sz w:val="20"/>
      <w:szCs w:val="20"/>
    </w:rPr>
  </w:style>
  <w:style w:type="character" w:styleId="Hyperlink">
    <w:name w:val="Hyperlink"/>
    <w:basedOn w:val="Absatz-Standardschriftart"/>
    <w:uiPriority w:val="99"/>
    <w:unhideWhenUsed/>
    <w:rsid w:val="008B43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EkT-Uc4qRU4" TargetMode="External"/><Relationship Id="rId1" Type="http://schemas.openxmlformats.org/officeDocument/2006/relationships/hyperlink" Target="https://static.dgnb.de/fileadmin/dgnb-system/de/gebaeude/neubau/kriterien/03_ECO1.1_Gebaeudebezogene-Kosten-im-Lebenszyklus.pdf"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5.emf"/><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emf"/><Relationship Id="rId5" Type="http://schemas.openxmlformats.org/officeDocument/2006/relationships/image" Target="media/image1.gif"/><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983</Words>
  <Characters>6197</Characters>
  <Application>Microsoft Office Word</Application>
  <DocSecurity>0</DocSecurity>
  <Lines>51</Lines>
  <Paragraphs>14</Paragraphs>
  <ScaleCrop>false</ScaleCrop>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Fejzic Jasmin</dc:creator>
  <cp:keywords/>
  <dc:description/>
  <cp:lastModifiedBy>Fejzic Jasmin</cp:lastModifiedBy>
  <cp:revision>2</cp:revision>
  <dcterms:created xsi:type="dcterms:W3CDTF">2025-02-12T20:43:00Z</dcterms:created>
  <dcterms:modified xsi:type="dcterms:W3CDTF">2025-02-12T21:05:00Z</dcterms:modified>
</cp:coreProperties>
</file>