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realistic-timber-face-generator"/>
    <w:p>
      <w:pPr>
        <w:pStyle w:val="Heading1"/>
      </w:pPr>
      <w:r>
        <w:t xml:space="preserve">6. Realistic timber face generator</w:t>
      </w:r>
    </w:p>
    <w:p>
      <w:pPr>
        <w:pStyle w:val="FirstParagraph"/>
      </w:pPr>
      <w:r>
        <w:t xml:space="preserve">The knot, growth-layer, and fiber-orientation models described in the previous sections generate a geometrically consistent representation of the internal structure of a board. However, these outputs are still structural maps rather than realistic color images. The final step in the proposed pipeline is therefore to convert the generated ring and fiber maps on the four side faces of the board into realistic RGB timber-face images. This was done using a conditional latent diffusion model based on Stable Diffusion XL (SDXL) [x].</w:t>
      </w:r>
    </w:p>
    <w:p>
      <w:pPr>
        <w:pStyle w:val="BodyText"/>
      </w:pPr>
      <w:r>
        <w:t xml:space="preserve">Diffusion models have become one of the most widely used approaches for high-quality image generation. In contrast to generative adversarial networks (GANs), which train a generator and discriminator in a competitive game, diffusion models are trained to reverse a gradual noising process. During training, clean images are corrupted with known amounts of random noise, and the model learns to predict the noise or the corresponding clean image representation. During generation, the process is run in reverse: the model starts from random noise and progressively denoises it until a realistic image is obtained.</w:t>
      </w:r>
    </w:p>
    <w:p>
      <w:pPr>
        <w:pStyle w:val="BodyText"/>
      </w:pPr>
      <w:r>
        <w:t xml:space="preserve">This formulation has several practical advantages. GANs can generate images quickly, but their training is often sensitive to the balance between the generator and discriminator, and they may suffer from mode collapse, where the generator produces a limited range of outputs. Diffusion models are usually more stable to train because the training objective is a supervised denoising problem rather than an adversarial objective. They also tend to provide good coverage of the training distribution and are well suited to conditional generation, where the goal is not only to generate a realistic image, but also to make the image consistent with a prescribed structure.</w:t>
      </w:r>
    </w:p>
    <w:p>
      <w:pPr>
        <w:pStyle w:val="BodyText"/>
      </w:pPr>
      <w:r>
        <w:t xml:space="preserve">In the present application, the prescribed structure is given by the synthetic ring and fiber maps generated by the board model. The task is therefore not unconditional image generation. Instead, the model should produce a timber face that looks realistic while preserving the positions of annual rings, fiber deviations, and knot-related disturbances implied by the structural maps.</w:t>
      </w:r>
    </w:p>
    <w:bookmarkStart w:id="9" w:name="conditional-latent-diffusion"/>
    <w:p>
      <w:pPr>
        <w:pStyle w:val="Heading2"/>
      </w:pPr>
      <w:r>
        <w:t xml:space="preserve">6.1 Conditional latent diffusion</w:t>
      </w:r>
    </w:p>
    <w:p>
      <w:pPr>
        <w:pStyle w:val="FirstParagraph"/>
      </w:pPr>
      <w:r>
        <w:t xml:space="preserve">Let</w:t>
      </w:r>
      <w:r>
        <w:t xml:space="preserve"> </w:t>
      </w:r>
      <m:oMath>
        <m:sSub>
          <m:e>
            <m:r>
              <m:rPr>
                <m:sty m:val="bi"/>
              </m:rPr>
              <m:t>I</m:t>
            </m:r>
          </m:e>
          <m:sub>
            <m:r>
              <m:t>r</m:t>
            </m:r>
            <m:r>
              <m:t>g</m:t>
            </m:r>
            <m:r>
              <m:t>b</m:t>
            </m:r>
          </m:sub>
        </m:sSub>
      </m:oMath>
      <w:r>
        <w:t xml:space="preserve"> </w:t>
      </w:r>
      <w:r>
        <w:t xml:space="preserve">denote a target RGB timber-face image and let</w:t>
      </w:r>
      <w:r>
        <w:t xml:space="preserve"> </w:t>
      </w:r>
      <m:oMath>
        <m:sSub>
          <m:e>
            <m:r>
              <m:rPr>
                <m:sty m:val="bi"/>
              </m:rPr>
              <m:t>I</m:t>
            </m:r>
          </m:e>
          <m:sub>
            <m:r>
              <m:t>c</m:t>
            </m:r>
            <m:r>
              <m:t>o</m:t>
            </m:r>
            <m:r>
              <m:t>n</m:t>
            </m:r>
            <m:r>
              <m:t>d</m:t>
            </m:r>
          </m:sub>
        </m:sSub>
      </m:oMath>
      <w:r>
        <w:t xml:space="preserve"> </w:t>
      </w:r>
      <w:r>
        <w:t xml:space="preserve">denote the corresponding conditioning image constructed from the ring and fiber maps. The equations in this section describe one board face; during training the four faces of each board are later flattened into the face-level batch. In the implemented model, all face images are resized to 512 by 512 pixels. Therefore,</w:t>
      </w:r>
      <w:r>
        <w:t xml:space="preserve"> </w:t>
      </w:r>
      <m:oMath>
        <m:sSub>
          <m:e>
            <m:r>
              <m:rPr>
                <m:sty m:val="bi"/>
              </m:rPr>
              <m:t>I</m:t>
            </m:r>
          </m:e>
          <m:sub>
            <m:r>
              <m:t>r</m:t>
            </m:r>
            <m:r>
              <m:t>g</m:t>
            </m:r>
            <m:r>
              <m:t>b</m:t>
            </m:r>
          </m:sub>
        </m:sSub>
      </m:oMath>
      <w:r>
        <w:t xml:space="preserve"> </w:t>
      </w:r>
      <w:r>
        <w:t xml:space="preserve">has size</w:t>
      </w:r>
      <w:r>
        <w:t xml:space="preserve"> </w:t>
      </w:r>
      <m:oMath>
        <m:r>
          <m:t>3</m:t>
        </m:r>
        <m:r>
          <m:rPr>
            <m:sty m:val="p"/>
          </m:rPr>
          <m:t>×</m:t>
        </m:r>
        <m:r>
          <m:t>512</m:t>
        </m:r>
        <m:r>
          <m:rPr>
            <m:sty m:val="p"/>
          </m:rPr>
          <m:t>×</m:t>
        </m:r>
        <m:r>
          <m:t>512</m:t>
        </m:r>
      </m:oMath>
      <w:r>
        <w:t xml:space="preserve">, and</w:t>
      </w:r>
      <w:r>
        <w:t xml:space="preserve"> </w:t>
      </w:r>
      <m:oMath>
        <m:sSub>
          <m:e>
            <m:r>
              <m:rPr>
                <m:sty m:val="bi"/>
              </m:rPr>
              <m:t>I</m:t>
            </m:r>
          </m:e>
          <m:sub>
            <m:r>
              <m:t>c</m:t>
            </m:r>
            <m:r>
              <m:t>o</m:t>
            </m:r>
            <m:r>
              <m:t>n</m:t>
            </m:r>
            <m:r>
              <m:t>d</m:t>
            </m:r>
          </m:sub>
        </m:sSub>
      </m:oMath>
      <w:r>
        <w:t xml:space="preserve"> </w:t>
      </w:r>
      <w:r>
        <w:t xml:space="preserve">is represented as a three-channel image of the same size before it is passed to the VAE.</w:t>
      </w:r>
    </w:p>
    <w:p>
      <w:pPr>
        <w:pStyle w:val="BodyText"/>
      </w:pPr>
      <w:r>
        <w:t xml:space="preserve">In a latent diffusion model, the diffusion process is not applied directly to the RGB pixels. Instead, a variational autoencoder (VAE) first maps the image to a lower-dimensional latent representation. For the SDXL VAE used here, this converts each</w:t>
      </w:r>
      <w:r>
        <w:t xml:space="preserve"> </w:t>
      </w:r>
      <m:oMath>
        <m:r>
          <m:t>3</m:t>
        </m:r>
        <m:r>
          <m:rPr>
            <m:sty m:val="p"/>
          </m:rPr>
          <m:t>×</m:t>
        </m:r>
        <m:r>
          <m:t>512</m:t>
        </m:r>
        <m:r>
          <m:rPr>
            <m:sty m:val="p"/>
          </m:rPr>
          <m:t>×</m:t>
        </m:r>
        <m:r>
          <m:t>512</m:t>
        </m:r>
      </m:oMath>
      <w:r>
        <w:t xml:space="preserve"> </w:t>
      </w:r>
      <w:r>
        <w:t xml:space="preserve">image into a four-channel latent with spatial size</w:t>
      </w:r>
      <w:r>
        <w:t xml:space="preserve"> </w:t>
      </w:r>
      <m:oMath>
        <m:r>
          <m:t>64</m:t>
        </m:r>
        <m:r>
          <m:rPr>
            <m:sty m:val="p"/>
          </m:rPr>
          <m:t>×</m:t>
        </m:r>
        <m:r>
          <m:t>64</m:t>
        </m:r>
      </m:oMath>
      <w:r>
        <w:t xml:space="preserve">. Thus, the target latent</w:t>
      </w:r>
      <w:r>
        <w:t xml:space="preserve"> </w:t>
      </w:r>
      <m:oMath>
        <m:sSub>
          <m:e>
            <m:r>
              <m:rPr>
                <m:sty m:val="bi"/>
              </m:rPr>
              <m:t>l</m:t>
            </m:r>
          </m:e>
          <m:sub>
            <m:r>
              <m:t>0</m:t>
            </m:r>
          </m:sub>
        </m:sSub>
      </m:oMath>
      <w:r>
        <w:t xml:space="preserve"> </w:t>
      </w:r>
      <w:r>
        <w:t xml:space="preserve">has size</w:t>
      </w:r>
      <w:r>
        <w:t xml:space="preserve"> </w:t>
      </w:r>
      <m:oMath>
        <m:r>
          <m:t>4</m:t>
        </m:r>
        <m:r>
          <m:rPr>
            <m:sty m:val="p"/>
          </m:rPr>
          <m:t>×</m:t>
        </m:r>
        <m:r>
          <m:t>64</m:t>
        </m:r>
        <m:r>
          <m:rPr>
            <m:sty m:val="p"/>
          </m:rPr>
          <m:t>×</m:t>
        </m:r>
        <m:r>
          <m:t>64</m:t>
        </m:r>
      </m:oMath>
      <w:r>
        <w:t xml:space="preserve">. Denoting this latent representation of the target image by</w:t>
      </w:r>
      <w:r>
        <w:t xml:space="preserve"> </w:t>
      </w:r>
      <m:oMath>
        <m:sSub>
          <m:e>
            <m:r>
              <m:rPr>
                <m:sty m:val="bi"/>
              </m:rPr>
              <m:t>l</m:t>
            </m:r>
          </m:e>
          <m:sub>
            <m:r>
              <m:t>0</m:t>
            </m:r>
          </m:sub>
        </m:sSub>
      </m:oMath>
      <w:r>
        <w:t xml:space="preserve">, the forward noising process can be written as:</w:t>
      </w:r>
    </w:p>
    <w:p>
      <w:pPr>
        <w:pStyle w:val="BodyText"/>
      </w:pPr>
      <m:oMathPara>
        <m:oMathParaPr>
          <m:jc m:val="center"/>
        </m:oMathParaPr>
        <m:oMath>
          <m:sSub>
            <m:e>
              <m:r>
                <m:rPr>
                  <m:sty m:val="bi"/>
                </m:rPr>
                <m:t>l</m:t>
              </m:r>
            </m:e>
            <m:sub>
              <m:r>
                <m:t>t</m:t>
              </m:r>
            </m:sub>
          </m:sSub>
          <m:r>
            <m:rPr>
              <m:sty m:val="p"/>
            </m:rPr>
            <m:t>=</m:t>
          </m:r>
          <m:rad>
            <m:radPr>
              <m:degHide m:val="on"/>
            </m:radPr>
            <m:deg/>
            <m:e>
              <m:sSub>
                <m:e>
                  <m:acc>
                    <m:accPr>
                      <m:chr m:val="‾"/>
                    </m:accPr>
                    <m:e>
                      <m:r>
                        <m:t>α</m:t>
                      </m:r>
                    </m:e>
                  </m:acc>
                </m:e>
                <m:sub>
                  <m:r>
                    <m:t>t</m:t>
                  </m:r>
                </m:sub>
              </m:sSub>
            </m:e>
          </m:rad>
          <m:r>
            <m:t> </m:t>
          </m:r>
          <m:sSub>
            <m:e>
              <m:r>
                <m:rPr>
                  <m:sty m:val="bi"/>
                </m:rPr>
                <m:t>l</m:t>
              </m:r>
            </m:e>
            <m:sub>
              <m:r>
                <m:t>0</m:t>
              </m:r>
            </m:sub>
          </m:sSub>
          <m:r>
            <m:rPr>
              <m:sty m:val="p"/>
            </m:rPr>
            <m:t>+</m:t>
          </m:r>
          <m:rad>
            <m:radPr>
              <m:degHide m:val="on"/>
            </m:radPr>
            <m:deg/>
            <m:e>
              <m:r>
                <m:t>1</m:t>
              </m:r>
              <m:r>
                <m:rPr>
                  <m:sty m:val="p"/>
                </m:rPr>
                <m:t>−</m:t>
              </m:r>
              <m:sSub>
                <m:e>
                  <m:acc>
                    <m:accPr>
                      <m:chr m:val="‾"/>
                    </m:accPr>
                    <m:e>
                      <m:r>
                        <m:t>α</m:t>
                      </m:r>
                    </m:e>
                  </m:acc>
                </m:e>
                <m:sub>
                  <m:r>
                    <m:t>t</m:t>
                  </m:r>
                </m:sub>
              </m:sSub>
            </m:e>
          </m:rad>
          <m:r>
            <m:t> </m:t>
          </m:r>
          <m:r>
            <m:rPr>
              <m:sty m:val="bi"/>
            </m:rPr>
            <m:t>ϵ</m:t>
          </m:r>
          <m:r>
            <m:rPr>
              <m:sty m:val="p"/>
            </m:rPr>
            <m:t>,</m:t>
          </m:r>
          <m:r>
            <m:t>  </m:t>
          </m:r>
          <m:r>
            <m:rPr>
              <m:sty m:val="bi"/>
            </m:rPr>
            <m:t>ϵ</m:t>
          </m:r>
          <m:r>
            <m:rPr>
              <m:sty m:val="p"/>
            </m:rPr>
            <m:t>∼</m:t>
          </m:r>
          <m:r>
            <m:rPr>
              <m:scr m:val="script"/>
              <m:sty m:val="p"/>
            </m:rPr>
            <m:t>N</m:t>
          </m:r>
          <m:r>
            <m:rPr>
              <m:sty m:val="p"/>
            </m:rPr>
            <m:t>(</m:t>
          </m:r>
          <m:r>
            <m:t>0</m:t>
          </m:r>
          <m:r>
            <m:rPr>
              <m:sty m:val="p"/>
            </m:rPr>
            <m:t>,</m:t>
          </m:r>
          <m:r>
            <m:rPr>
              <m:sty m:val="bi"/>
            </m:rPr>
            <m:t>I</m:t>
          </m:r>
          <m:r>
            <m:rPr>
              <m:sty m:val="p"/>
            </m:rPr>
            <m:t>)</m:t>
          </m:r>
          <m:r>
            <m:t>  </m:t>
          </m:r>
          <m:r>
            <m:rPr>
              <m:nor/>
              <m:sty m:val="p"/>
            </m:rPr>
            <m:t>(40)</m:t>
          </m:r>
        </m:oMath>
      </m:oMathPara>
    </w:p>
    <w:p>
      <w:pPr>
        <w:pStyle w:val="FirstParagraph"/>
      </w:pPr>
      <w:r>
        <w:t xml:space="preserve">where</w:t>
      </w:r>
      <w:r>
        <w:t xml:space="preserve"> </w:t>
      </w:r>
      <m:oMath>
        <m:r>
          <m:t>t</m:t>
        </m:r>
      </m:oMath>
      <w:r>
        <w:t xml:space="preserve"> </w:t>
      </w:r>
      <w:r>
        <w:t xml:space="preserve">is the diffusion timestep,</w:t>
      </w:r>
      <w:r>
        <w:t xml:space="preserve"> </w:t>
      </w:r>
      <m:oMath>
        <m:sSub>
          <m:e>
            <m:acc>
              <m:accPr>
                <m:chr m:val="‾"/>
              </m:accPr>
              <m:e>
                <m:r>
                  <m:t>α</m:t>
                </m:r>
              </m:e>
            </m:acc>
          </m:e>
          <m:sub>
            <m:r>
              <m:t>t</m:t>
            </m:r>
          </m:sub>
        </m:sSub>
      </m:oMath>
      <w:r>
        <w:t xml:space="preserve"> </w:t>
      </w:r>
      <w:r>
        <w:t xml:space="preserve">is determined by the noise schedule, and</w:t>
      </w:r>
      <w:r>
        <w:t xml:space="preserve"> </w:t>
      </w:r>
      <m:oMath>
        <m:r>
          <m:rPr>
            <m:sty m:val="bi"/>
          </m:rPr>
          <m:t>ϵ</m:t>
        </m:r>
      </m:oMath>
      <w:r>
        <w:t xml:space="preserve"> </w:t>
      </w:r>
      <w:r>
        <w:t xml:space="preserve">is Gaussian noise. The role of the denoising network is to estimate the noise component, or an equivalent velocity parameterization, from the noisy latent</w:t>
      </w:r>
      <w:r>
        <w:t xml:space="preserve"> </w:t>
      </w:r>
      <m:oMath>
        <m:sSub>
          <m:e>
            <m:r>
              <m:rPr>
                <m:sty m:val="bi"/>
              </m:rPr>
              <m:t>l</m:t>
            </m:r>
          </m:e>
          <m:sub>
            <m:r>
              <m:t>t</m:t>
            </m:r>
          </m:sub>
        </m:sSub>
      </m:oMath>
      <w:r>
        <w:t xml:space="preserve"> </w:t>
      </w:r>
      <w:r>
        <w:t xml:space="preserve">and the condition</w:t>
      </w:r>
      <w:r>
        <w:t xml:space="preserve"> </w:t>
      </w:r>
      <m:oMath>
        <m:sSub>
          <m:e>
            <m:r>
              <m:rPr>
                <m:sty m:val="bi"/>
              </m:rPr>
              <m:t>I</m:t>
            </m:r>
          </m:e>
          <m:sub>
            <m:r>
              <m:t>c</m:t>
            </m:r>
            <m:r>
              <m:t>o</m:t>
            </m:r>
            <m:r>
              <m:t>n</m:t>
            </m:r>
            <m:r>
              <m:t>d</m:t>
            </m:r>
          </m:sub>
        </m:sSub>
      </m:oMath>
      <w:r>
        <w:t xml:space="preserve">.</w:t>
      </w:r>
    </w:p>
    <w:p>
      <w:pPr>
        <w:pStyle w:val="BodyText"/>
      </w:pPr>
      <w:r>
        <w:t xml:space="preserve">The use of a latent space is important for this application because the side-face images are relatively large. Operating in the latent space reduces the computational cost while retaining the main visual content needed to reconstruct realistic textures. At inference time, the model starts from a random latent and repeatedly applies the learned denoising operation. The final latent is then decoded by the VAE to obtain the RGB timber face.</w:t>
      </w:r>
    </w:p>
    <w:p>
      <w:pPr>
        <w:pStyle w:val="BodyText"/>
      </w:pPr>
      <w:r>
        <w:t xml:space="preserve">Conditional diffusion models introduce additional information that guides the denoising process. In text-to-image models, this information is usually a text prompt. In the present work, the condition is instead an image-based description of the board structure. The conditioning image is encoded by the same VAE and concatenated with the noisy image latent before being passed to the denoising network:</w:t>
      </w:r>
    </w:p>
    <w:p>
      <w:pPr>
        <w:pStyle w:val="BodyText"/>
      </w:pPr>
      <m:oMathPara>
        <m:oMathParaPr>
          <m:jc m:val="center"/>
        </m:oMathParaPr>
        <m:oMath>
          <m:sSub>
            <m:e>
              <m:r>
                <m:rPr>
                  <m:sty m:val="bi"/>
                </m:rPr>
                <m:t>h</m:t>
              </m:r>
            </m:e>
            <m:sub>
              <m:r>
                <m:t>t</m:t>
              </m:r>
            </m:sub>
          </m:sSub>
          <m:r>
            <m:rPr>
              <m:sty m:val="p"/>
            </m:rPr>
            <m:t>=</m:t>
          </m:r>
          <m:d>
            <m:dPr>
              <m:begChr m:val="["/>
              <m:sepChr m:val=""/>
              <m:endChr m:val="]"/>
              <m:grow/>
            </m:dPr>
            <m:e>
              <m:sSub>
                <m:e>
                  <m:r>
                    <m:rPr>
                      <m:sty m:val="bi"/>
                    </m:rPr>
                    <m:t>l</m:t>
                  </m:r>
                </m:e>
                <m:sub>
                  <m:r>
                    <m:t>t</m:t>
                  </m:r>
                </m:sub>
              </m:sSub>
              <m:r>
                <m:rPr>
                  <m:sty m:val="p"/>
                </m:rPr>
                <m:t>,</m:t>
              </m:r>
              <m:r>
                <m:rPr>
                  <m:sty m:val="bi"/>
                </m:rPr>
                <m:t>c</m:t>
              </m:r>
            </m:e>
          </m:d>
          <m:r>
            <m:t>  </m:t>
          </m:r>
          <m:r>
            <m:rPr>
              <m:nor/>
              <m:sty m:val="p"/>
            </m:rPr>
            <m:t>(41)</m:t>
          </m:r>
        </m:oMath>
      </m:oMathPara>
    </w:p>
    <w:p>
      <w:pPr>
        <w:pStyle w:val="FirstParagraph"/>
      </w:pPr>
      <w:r>
        <w:t xml:space="preserve">where</w:t>
      </w:r>
      <w:r>
        <w:t xml:space="preserve"> </w:t>
      </w:r>
      <m:oMath>
        <m:r>
          <m:rPr>
            <m:sty m:val="bi"/>
          </m:rPr>
          <m:t>c</m:t>
        </m:r>
      </m:oMath>
      <w:r>
        <w:t xml:space="preserve"> </w:t>
      </w:r>
      <w:r>
        <w:t xml:space="preserve">is the latent representation of the conditioning image and</w:t>
      </w:r>
      <w:r>
        <w:t xml:space="preserve"> </w:t>
      </w:r>
      <m:oMath>
        <m:r>
          <m:rPr>
            <m:sty m:val="p"/>
          </m:rPr>
          <m:t>[</m:t>
        </m:r>
        <m:r>
          <m:rPr>
            <m:sty m:val="p"/>
          </m:rPr>
          <m:t>⋅</m:t>
        </m:r>
        <m:r>
          <m:rPr>
            <m:sty m:val="p"/>
          </m:rPr>
          <m:t>,</m:t>
        </m:r>
        <m:r>
          <m:rPr>
            <m:sty m:val="p"/>
          </m:rPr>
          <m:t>⋅</m:t>
        </m:r>
        <m:r>
          <m:rPr>
            <m:sty m:val="p"/>
          </m:rPr>
          <m:t>]</m:t>
        </m:r>
      </m:oMath>
      <w:r>
        <w:t xml:space="preserve"> </w:t>
      </w:r>
      <w:r>
        <w:t xml:space="preserve">denotes channel-wise concatenation. This gives the denoising network direct access to the board structure at every denoising step.</w:t>
      </w:r>
    </w:p>
    <w:p>
      <w:pPr>
        <w:pStyle w:val="BodyText"/>
      </w:pPr>
      <w:r>
        <w:t xml:space="preserve">The conditioning latent</w:t>
      </w:r>
      <w:r>
        <w:t xml:space="preserve"> </w:t>
      </w:r>
      <m:oMath>
        <m:r>
          <m:rPr>
            <m:sty m:val="bi"/>
          </m:rPr>
          <m:t>c</m:t>
        </m:r>
      </m:oMath>
      <w:r>
        <w:t xml:space="preserve"> </w:t>
      </w:r>
      <w:r>
        <w:t xml:space="preserve">has the same size as the target latent, namely</w:t>
      </w:r>
      <w:r>
        <w:t xml:space="preserve"> </w:t>
      </w:r>
      <m:oMath>
        <m:r>
          <m:t>4</m:t>
        </m:r>
        <m:r>
          <m:rPr>
            <m:sty m:val="p"/>
          </m:rPr>
          <m:t>×</m:t>
        </m:r>
        <m:r>
          <m:t>64</m:t>
        </m:r>
        <m:r>
          <m:rPr>
            <m:sty m:val="p"/>
          </m:rPr>
          <m:t>×</m:t>
        </m:r>
        <m:r>
          <m:t>64</m:t>
        </m:r>
      </m:oMath>
      <w:r>
        <w:t xml:space="preserve"> </w:t>
      </w:r>
      <w:r>
        <w:t xml:space="preserve">for one face. Consequently, the concatenated UNet input</w:t>
      </w:r>
      <w:r>
        <w:t xml:space="preserve"> </w:t>
      </w:r>
      <m:oMath>
        <m:sSub>
          <m:e>
            <m:r>
              <m:rPr>
                <m:sty m:val="bi"/>
              </m:rPr>
              <m:t>h</m:t>
            </m:r>
          </m:e>
          <m:sub>
            <m:r>
              <m:t>t</m:t>
            </m:r>
          </m:sub>
        </m:sSub>
      </m:oMath>
      <w:r>
        <w:t xml:space="preserve"> </w:t>
      </w:r>
      <w:r>
        <w:t xml:space="preserve">has size</w:t>
      </w:r>
      <w:r>
        <w:t xml:space="preserve"> </w:t>
      </w:r>
      <m:oMath>
        <m:r>
          <m:t>8</m:t>
        </m:r>
        <m:r>
          <m:rPr>
            <m:sty m:val="p"/>
          </m:rPr>
          <m:t>×</m:t>
        </m:r>
        <m:r>
          <m:t>64</m:t>
        </m:r>
        <m:r>
          <m:rPr>
            <m:sty m:val="p"/>
          </m:rPr>
          <m:t>×</m:t>
        </m:r>
        <m:r>
          <m:t>64</m:t>
        </m:r>
      </m:oMath>
      <w:r>
        <w:t xml:space="preserve">. The UNet output returns to the target-latent size,</w:t>
      </w:r>
      <w:r>
        <w:t xml:space="preserve"> </w:t>
      </w:r>
      <m:oMath>
        <m:r>
          <m:t>4</m:t>
        </m:r>
        <m:r>
          <m:rPr>
            <m:sty m:val="p"/>
          </m:rPr>
          <m:t>×</m:t>
        </m:r>
        <m:r>
          <m:t>64</m:t>
        </m:r>
        <m:r>
          <m:rPr>
            <m:sty m:val="p"/>
          </m:rPr>
          <m:t>×</m:t>
        </m:r>
        <m:r>
          <m:t>64</m:t>
        </m:r>
      </m:oMath>
      <w:r>
        <w:t xml:space="preserve">, because it predicts the noise, or the equivalent velocity, associated with the noisy target latent only.</w:t>
      </w:r>
    </w:p>
    <w:bookmarkEnd w:id="9"/>
    <w:bookmarkStart w:id="10" w:name="sdxl-components-used-in-the-model"/>
    <w:p>
      <w:pPr>
        <w:pStyle w:val="Heading2"/>
      </w:pPr>
      <w:r>
        <w:t xml:space="preserve">6.2 SDXL components used in the model</w:t>
      </w:r>
    </w:p>
    <w:p>
      <w:pPr>
        <w:pStyle w:val="FirstParagraph"/>
      </w:pPr>
      <w:r>
        <w:t xml:space="preserve">The implementation uses the main components of SDXL, but adapts them to the board-generation task. The VAE is used as the encoder and decoder between image space and latent space. With a face-level batch size</w:t>
      </w:r>
      <w:r>
        <w:t xml:space="preserve"> </w:t>
      </w:r>
      <m:oMath>
        <m:r>
          <m:t>N</m:t>
        </m:r>
      </m:oMath>
      <w:r>
        <w:t xml:space="preserve">, the encoder maps tensors of size</w:t>
      </w:r>
      <w:r>
        <w:t xml:space="preserve"> </w:t>
      </w:r>
      <m:oMath>
        <m:r>
          <m:t>N</m:t>
        </m:r>
        <m:r>
          <m:rPr>
            <m:sty m:val="p"/>
          </m:rPr>
          <m:t>×</m:t>
        </m:r>
        <m:r>
          <m:t>3</m:t>
        </m:r>
        <m:r>
          <m:rPr>
            <m:sty m:val="p"/>
          </m:rPr>
          <m:t>×</m:t>
        </m:r>
        <m:r>
          <m:t>512</m:t>
        </m:r>
        <m:r>
          <m:rPr>
            <m:sty m:val="p"/>
          </m:rPr>
          <m:t>×</m:t>
        </m:r>
        <m:r>
          <m:t>512</m:t>
        </m:r>
      </m:oMath>
      <w:r>
        <w:t xml:space="preserve"> </w:t>
      </w:r>
      <w:r>
        <w:t xml:space="preserve">to latent tensors of size</w:t>
      </w:r>
      <w:r>
        <w:t xml:space="preserve"> </w:t>
      </w:r>
      <m:oMath>
        <m:r>
          <m:t>N</m:t>
        </m:r>
        <m:r>
          <m:rPr>
            <m:sty m:val="p"/>
          </m:rPr>
          <m:t>×</m:t>
        </m:r>
        <m:r>
          <m:t>4</m:t>
        </m:r>
        <m:r>
          <m:rPr>
            <m:sty m:val="p"/>
          </m:rPr>
          <m:t>×</m:t>
        </m:r>
        <m:r>
          <m:t>64</m:t>
        </m:r>
        <m:r>
          <m:rPr>
            <m:sty m:val="p"/>
          </m:rPr>
          <m:t>×</m:t>
        </m:r>
        <m:r>
          <m:t>64</m:t>
        </m:r>
      </m:oMath>
      <w:r>
        <w:t xml:space="preserve">. It is applied both to the target RGB timber images and to the three-channel conditioning images. The decoder performs the reverse operation, mapping the final generated latent from</w:t>
      </w:r>
      <w:r>
        <w:t xml:space="preserve"> </w:t>
      </w:r>
      <m:oMath>
        <m:r>
          <m:t>N</m:t>
        </m:r>
        <m:r>
          <m:rPr>
            <m:sty m:val="p"/>
          </m:rPr>
          <m:t>×</m:t>
        </m:r>
        <m:r>
          <m:t>4</m:t>
        </m:r>
        <m:r>
          <m:rPr>
            <m:sty m:val="p"/>
          </m:rPr>
          <m:t>×</m:t>
        </m:r>
        <m:r>
          <m:t>64</m:t>
        </m:r>
        <m:r>
          <m:rPr>
            <m:sty m:val="p"/>
          </m:rPr>
          <m:t>×</m:t>
        </m:r>
        <m:r>
          <m:t>64</m:t>
        </m:r>
      </m:oMath>
      <w:r>
        <w:t xml:space="preserve"> </w:t>
      </w:r>
      <w:r>
        <w:t xml:space="preserve">back to</w:t>
      </w:r>
      <w:r>
        <w:t xml:space="preserve"> </w:t>
      </w:r>
      <m:oMath>
        <m:r>
          <m:t>N</m:t>
        </m:r>
        <m:r>
          <m:rPr>
            <m:sty m:val="p"/>
          </m:rPr>
          <m:t>×</m:t>
        </m:r>
        <m:r>
          <m:t>3</m:t>
        </m:r>
        <m:r>
          <m:rPr>
            <m:sty m:val="p"/>
          </m:rPr>
          <m:t>×</m:t>
        </m:r>
        <m:r>
          <m:t>512</m:t>
        </m:r>
        <m:r>
          <m:rPr>
            <m:sty m:val="p"/>
          </m:rPr>
          <m:t>×</m:t>
        </m:r>
        <m:r>
          <m:t>512</m:t>
        </m:r>
      </m:oMath>
      <w:r>
        <w:t xml:space="preserve">. In this work, the VAE was kept fixed during training.</w:t>
      </w:r>
    </w:p>
    <w:p>
      <w:pPr>
        <w:pStyle w:val="BodyText"/>
      </w:pPr>
      <w:r>
        <w:t xml:space="preserve">The main trainable component is the SDXL UNet. The UNet is the denoising network that receives the current noisy latent, the timestep, and the conditioning information, and predicts the noise to be removed. After the modification described below, its image-like input tensor has size</w:t>
      </w:r>
      <w:r>
        <w:t xml:space="preserve"> </w:t>
      </w:r>
      <m:oMath>
        <m:r>
          <m:t>N</m:t>
        </m:r>
        <m:r>
          <m:rPr>
            <m:sty m:val="p"/>
          </m:rPr>
          <m:t>×</m:t>
        </m:r>
        <m:r>
          <m:t>8</m:t>
        </m:r>
        <m:r>
          <m:rPr>
            <m:sty m:val="p"/>
          </m:rPr>
          <m:t>×</m:t>
        </m:r>
        <m:r>
          <m:t>64</m:t>
        </m:r>
        <m:r>
          <m:rPr>
            <m:sty m:val="p"/>
          </m:rPr>
          <m:t>×</m:t>
        </m:r>
        <m:r>
          <m:t>64</m:t>
        </m:r>
      </m:oMath>
      <w:r>
        <w:t xml:space="preserve">, while its output has size</w:t>
      </w:r>
      <w:r>
        <w:t xml:space="preserve"> </w:t>
      </w:r>
      <m:oMath>
        <m:r>
          <m:t>N</m:t>
        </m:r>
        <m:r>
          <m:rPr>
            <m:sty m:val="p"/>
          </m:rPr>
          <m:t>×</m:t>
        </m:r>
        <m:r>
          <m:t>4</m:t>
        </m:r>
        <m:r>
          <m:rPr>
            <m:sty m:val="p"/>
          </m:rPr>
          <m:t>×</m:t>
        </m:r>
        <m:r>
          <m:t>64</m:t>
        </m:r>
        <m:r>
          <m:rPr>
            <m:sty m:val="p"/>
          </m:rPr>
          <m:t>×</m:t>
        </m:r>
        <m:r>
          <m:t>64</m:t>
        </m:r>
      </m:oMath>
      <w:r>
        <w:t xml:space="preserve">. The same UNet is applied repeatedly over the denoising timesteps. This repeated application is one of the main differences between diffusion models and ordinary single-pass image-to-image networks.</w:t>
      </w:r>
    </w:p>
    <w:p>
      <w:pPr>
        <w:pStyle w:val="BodyText"/>
      </w:pPr>
      <w:r>
        <w:t xml:space="preserve">The scheduler is not a neural network. It defines the noise levels used during training and the update rule used during sampling. During training, a DDPM-style scheduler is used to add noise according to equation (40). During inference and validation, a DDIM scheduler is used to step from a noisy latent toward a clean latent using the UNet predictions. The scheduler therefore controls how the denoising trajectory is traversed, while the UNet provides the learned estimate of the noise at each step.</w:t>
      </w:r>
    </w:p>
    <w:p>
      <w:pPr>
        <w:pStyle w:val="BodyText"/>
      </w:pPr>
      <w:r>
        <w:t xml:space="preserve">Standard SDXL also includes text tokenization and text encoders, which convert a text prompt into embeddings used by the UNet. In this implementation, text prompts are not the source of information. The structural conditioning comes from the ring and fiber maps. Therefore, the tokenizer is not an important part of the model. Instead, the SDXL text-conditioning interface is satisfied using a learned null-context embedding. This embedding has the same sequence format expected by the SDXL UNet, but it does not describe a linguistic prompt. For SDXL-specific conditioning inputs, zero-valued pooled text embeddings and fixed image-size time identifiers are provided so that the original SDXL UNet interface can be used without relying on a text prompt.</w:t>
      </w:r>
    </w:p>
    <w:bookmarkEnd w:id="10"/>
    <w:bookmarkStart w:id="11" w:name="X5b91cfb91799a376169cf4e944bbd105d67ab69"/>
    <w:p>
      <w:pPr>
        <w:pStyle w:val="Heading2"/>
      </w:pPr>
      <w:r>
        <w:t xml:space="preserve">6.3 Modification of SDXL for board-face generation</w:t>
      </w:r>
    </w:p>
    <w:p>
      <w:pPr>
        <w:pStyle w:val="FirstParagraph"/>
      </w:pPr>
      <w:r>
        <w:t xml:space="preserve">The standard SDXL UNet expects a four-channel latent input corresponding to the noisy image latent. In the proposed model, the UNet input was expanded to eight channels so that the noisy target latent and the conditioning latent could be processed together. At the face level, the first four channels contain</w:t>
      </w:r>
      <w:r>
        <w:t xml:space="preserve"> </w:t>
      </w:r>
      <m:oMath>
        <m:sSub>
          <m:e>
            <m:r>
              <m:rPr>
                <m:sty m:val="bi"/>
              </m:rPr>
              <m:t>l</m:t>
            </m:r>
          </m:e>
          <m:sub>
            <m:r>
              <m:t>t</m:t>
            </m:r>
          </m:sub>
        </m:sSub>
        <m:r>
          <m:rPr>
            <m:sty m:val="p"/>
          </m:rPr>
          <m:t>∈</m:t>
        </m:r>
        <m:sSup>
          <m:e>
            <m:r>
              <m:rPr>
                <m:scr m:val="double-struck"/>
                <m:sty m:val="p"/>
              </m:rPr>
              <m:t>R</m:t>
            </m:r>
          </m:e>
          <m:sup>
            <m:r>
              <m:t>4</m:t>
            </m:r>
            <m:r>
              <m:rPr>
                <m:sty m:val="p"/>
              </m:rPr>
              <m:t>×</m:t>
            </m:r>
            <m:r>
              <m:t>64</m:t>
            </m:r>
            <m:r>
              <m:rPr>
                <m:sty m:val="p"/>
              </m:rPr>
              <m:t>×</m:t>
            </m:r>
            <m:r>
              <m:t>64</m:t>
            </m:r>
          </m:sup>
        </m:sSup>
      </m:oMath>
      <w:r>
        <w:t xml:space="preserve">, and the additional four channels contain</w:t>
      </w:r>
      <w:r>
        <w:t xml:space="preserve"> </w:t>
      </w:r>
      <m:oMath>
        <m:r>
          <m:rPr>
            <m:sty m:val="bi"/>
          </m:rPr>
          <m:t>c</m:t>
        </m:r>
        <m:r>
          <m:rPr>
            <m:sty m:val="p"/>
          </m:rPr>
          <m:t>∈</m:t>
        </m:r>
        <m:sSup>
          <m:e>
            <m:r>
              <m:rPr>
                <m:scr m:val="double-struck"/>
                <m:sty m:val="p"/>
              </m:rPr>
              <m:t>R</m:t>
            </m:r>
          </m:e>
          <m:sup>
            <m:r>
              <m:t>4</m:t>
            </m:r>
            <m:r>
              <m:rPr>
                <m:sty m:val="p"/>
              </m:rPr>
              <m:t>×</m:t>
            </m:r>
            <m:r>
              <m:t>64</m:t>
            </m:r>
            <m:r>
              <m:rPr>
                <m:sty m:val="p"/>
              </m:rPr>
              <m:t>×</m:t>
            </m:r>
            <m:r>
              <m:t>64</m:t>
            </m:r>
          </m:sup>
        </m:sSup>
      </m:oMath>
      <w:r>
        <w:t xml:space="preserve">. The resulting input to the first UNet convolution is therefore</w:t>
      </w:r>
      <w:r>
        <w:t xml:space="preserve"> </w:t>
      </w:r>
      <m:oMath>
        <m:r>
          <m:t>8</m:t>
        </m:r>
        <m:r>
          <m:rPr>
            <m:sty m:val="p"/>
          </m:rPr>
          <m:t>×</m:t>
        </m:r>
        <m:r>
          <m:t>64</m:t>
        </m:r>
        <m:r>
          <m:rPr>
            <m:sty m:val="p"/>
          </m:rPr>
          <m:t>×</m:t>
        </m:r>
        <m:r>
          <m:t>64</m:t>
        </m:r>
      </m:oMath>
      <w:r>
        <w:t xml:space="preserve"> </w:t>
      </w:r>
      <w:r>
        <w:t xml:space="preserve">for each face. The weights of the original four input channels were initialized from the pretrained SDXL UNet, while the added conditioning channels were initialized to zero. This preserves the pretrained denoising behavior at the start of training while allowing the model to learn how to use the board-structure condition.</w:t>
      </w:r>
    </w:p>
    <w:p>
      <w:pPr>
        <w:pStyle w:val="BodyText"/>
      </w:pPr>
      <w:r>
        <w:t xml:space="preserve">The VAE and scheduler were taken from the pretrained SDXL model. The UNet and the learned null-context embedding were optimized during training. Thus, the model retains the generative capacity of SDXL, but the information that controls the output is changed from a text prompt to the structural maps generated by the board model.</w:t>
      </w:r>
    </w:p>
    <w:p>
      <w:pPr>
        <w:pStyle w:val="BodyText"/>
      </w:pPr>
      <w:r>
        <w:t xml:space="preserve">Classifier-free guidance was also adapted to the image-conditioned setting. During training, the condition latent was randomly dropped for a fraction of the training examples. This teaches the UNet both a conditioned and a less conditioned denoising behavior. During inference, the model is evaluated with and without the condition latent, and the two predictions are combined as:</w:t>
      </w:r>
    </w:p>
    <w:p>
      <w:pPr>
        <w:pStyle w:val="BodyText"/>
      </w:pPr>
      <m:oMathPara>
        <m:oMathParaPr>
          <m:jc m:val="center"/>
        </m:oMathParaPr>
        <m:oMath>
          <m:acc>
            <m:accPr>
              <m:chr m:val="̂"/>
            </m:accPr>
            <m:e>
              <m:r>
                <m:rPr>
                  <m:sty m:val="bi"/>
                </m:rPr>
                <m:t>ϵ</m:t>
              </m:r>
            </m:e>
          </m:acc>
          <m:r>
            <m:rPr>
              <m:sty m:val="p"/>
            </m:rPr>
            <m:t>=</m:t>
          </m:r>
          <m:sSub>
            <m:e>
              <m:r>
                <m:rPr>
                  <m:sty m:val="bi"/>
                </m:rPr>
                <m:t>ϵ</m:t>
              </m:r>
            </m:e>
            <m:sub>
              <m:r>
                <m:t>u</m:t>
              </m:r>
              <m:r>
                <m:t>n</m:t>
              </m:r>
              <m:r>
                <m:t>c</m:t>
              </m:r>
              <m:r>
                <m:t>o</m:t>
              </m:r>
              <m:r>
                <m:t>n</m:t>
              </m:r>
              <m:r>
                <m:t>d</m:t>
              </m:r>
            </m:sub>
          </m:sSub>
          <m:r>
            <m:rPr>
              <m:sty m:val="p"/>
            </m:rPr>
            <m:t>+</m:t>
          </m:r>
          <m:r>
            <m:t>s</m:t>
          </m:r>
          <m:d>
            <m:dPr>
              <m:begChr m:val="("/>
              <m:sepChr m:val=""/>
              <m:endChr m:val=")"/>
              <m:grow/>
            </m:dPr>
            <m:e>
              <m:sSub>
                <m:e>
                  <m:r>
                    <m:rPr>
                      <m:sty m:val="bi"/>
                    </m:rPr>
                    <m:t>ϵ</m:t>
                  </m:r>
                </m:e>
                <m:sub>
                  <m:r>
                    <m:t>c</m:t>
                  </m:r>
                  <m:r>
                    <m:t>o</m:t>
                  </m:r>
                  <m:r>
                    <m:t>n</m:t>
                  </m:r>
                  <m:r>
                    <m:t>d</m:t>
                  </m:r>
                </m:sub>
              </m:sSub>
              <m:r>
                <m:rPr>
                  <m:sty m:val="p"/>
                </m:rPr>
                <m:t>−</m:t>
              </m:r>
              <m:sSub>
                <m:e>
                  <m:r>
                    <m:rPr>
                      <m:sty m:val="bi"/>
                    </m:rPr>
                    <m:t>ϵ</m:t>
                  </m:r>
                </m:e>
                <m:sub>
                  <m:r>
                    <m:t>u</m:t>
                  </m:r>
                  <m:r>
                    <m:t>n</m:t>
                  </m:r>
                  <m:r>
                    <m:t>c</m:t>
                  </m:r>
                  <m:r>
                    <m:t>o</m:t>
                  </m:r>
                  <m:r>
                    <m:t>n</m:t>
                  </m:r>
                  <m:r>
                    <m:t>d</m:t>
                  </m:r>
                </m:sub>
              </m:sSub>
            </m:e>
          </m:d>
          <m:r>
            <m:t>  </m:t>
          </m:r>
          <m:r>
            <m:rPr>
              <m:nor/>
              <m:sty m:val="p"/>
            </m:rPr>
            <m:t>(42)</m:t>
          </m:r>
        </m:oMath>
      </m:oMathPara>
    </w:p>
    <w:p>
      <w:pPr>
        <w:pStyle w:val="FirstParagraph"/>
      </w:pPr>
      <w:r>
        <w:t xml:space="preserve">where</w:t>
      </w:r>
      <w:r>
        <w:t xml:space="preserve"> </w:t>
      </w:r>
      <m:oMath>
        <m:r>
          <m:t>s</m:t>
        </m:r>
      </m:oMath>
      <w:r>
        <w:t xml:space="preserve"> </w:t>
      </w:r>
      <w:r>
        <w:t xml:space="preserve">is the guidance scale. Larger values of</w:t>
      </w:r>
      <w:r>
        <w:t xml:space="preserve"> </w:t>
      </w:r>
      <m:oMath>
        <m:r>
          <m:t>s</m:t>
        </m:r>
      </m:oMath>
      <w:r>
        <w:t xml:space="preserve"> </w:t>
      </w:r>
      <w:r>
        <w:t xml:space="preserve">force the generated image to follow the ring and fiber maps more strongly, while smaller values allow more freedom in color and texture generation.</w:t>
      </w:r>
    </w:p>
    <w:bookmarkEnd w:id="11"/>
    <w:bookmarkStart w:id="12" w:name="training-data-representation"/>
    <w:p>
      <w:pPr>
        <w:pStyle w:val="Heading2"/>
      </w:pPr>
      <w:r>
        <w:t xml:space="preserve">6.4 Training data representation</w:t>
      </w:r>
    </w:p>
    <w:p>
      <w:pPr>
        <w:pStyle w:val="FirstParagraph"/>
      </w:pPr>
      <w:r>
        <w:t xml:space="preserve">The photorealistic model was trained on paired structural and RGB face images. Each training item represents one board and contains four side faces. For each face, the training data include a grayscale ring map, a grayscale fiber map, and a corresponding RGB timber-face target image. The dataset is organized in matching folders for the four faces:</w:t>
      </w:r>
      <w:r>
        <w:t xml:space="preserve"> </w:t>
      </w:r>
      <w:r>
        <w:rPr>
          <w:rStyle w:val="VerbatimChar"/>
        </w:rPr>
        <w:t xml:space="preserve">ring_pred_new_1</w:t>
      </w:r>
      <w:r>
        <w:t xml:space="preserve"> </w:t>
      </w:r>
      <w:r>
        <w:t xml:space="preserve">to</w:t>
      </w:r>
      <w:r>
        <w:t xml:space="preserve"> </w:t>
      </w:r>
      <w:r>
        <w:rPr>
          <w:rStyle w:val="VerbatimChar"/>
        </w:rPr>
        <w:t xml:space="preserve">ring_pred_new_4</w:t>
      </w:r>
      <w:r>
        <w:t xml:space="preserve">,</w:t>
      </w:r>
      <w:r>
        <w:t xml:space="preserve"> </w:t>
      </w:r>
      <w:r>
        <w:rPr>
          <w:rStyle w:val="VerbatimChar"/>
        </w:rPr>
        <w:t xml:space="preserve">fiber_1</w:t>
      </w:r>
      <w:r>
        <w:t xml:space="preserve"> </w:t>
      </w:r>
      <w:r>
        <w:t xml:space="preserve">to</w:t>
      </w:r>
      <w:r>
        <w:t xml:space="preserve"> </w:t>
      </w:r>
      <w:r>
        <w:rPr>
          <w:rStyle w:val="VerbatimChar"/>
        </w:rPr>
        <w:t xml:space="preserve">fiber_4</w:t>
      </w:r>
      <w:r>
        <w:t xml:space="preserve">, and</w:t>
      </w:r>
      <w:r>
        <w:t xml:space="preserve"> </w:t>
      </w:r>
      <w:r>
        <w:rPr>
          <w:rStyle w:val="VerbatimChar"/>
        </w:rPr>
        <w:t xml:space="preserve">color_1</w:t>
      </w:r>
      <w:r>
        <w:t xml:space="preserve"> </w:t>
      </w:r>
      <w:r>
        <w:t xml:space="preserve">to</w:t>
      </w:r>
      <w:r>
        <w:t xml:space="preserve"> </w:t>
      </w:r>
      <w:r>
        <w:rPr>
          <w:rStyle w:val="VerbatimChar"/>
        </w:rPr>
        <w:t xml:space="preserve">color_4</w:t>
      </w:r>
      <w:r>
        <w:t xml:space="preserve">. Files are matched by filename stem so that the four structural maps and four RGB targets belong to the same board.</w:t>
      </w:r>
    </w:p>
    <w:p>
      <w:pPr>
        <w:pStyle w:val="BodyText"/>
      </w:pPr>
      <w:r>
        <w:t xml:space="preserve">For each side face, the conditioning image was formed by stacking the ring and fiber maps into a multi-channel image. In the default setting, the first channel contains the ring map, the second channel contains the fiber map, and the third channel is set to zero:</w:t>
      </w:r>
    </w:p>
    <w:p>
      <w:pPr>
        <w:pStyle w:val="BodyText"/>
      </w:pPr>
      <m:oMathPara>
        <m:oMathParaPr>
          <m:jc m:val="center"/>
        </m:oMathParaPr>
        <m:oMath>
          <m:sSub>
            <m:e>
              <m:r>
                <m:rPr>
                  <m:sty m:val="bi"/>
                </m:rPr>
                <m:t>I</m:t>
              </m:r>
            </m:e>
            <m:sub>
              <m:r>
                <m:t>c</m:t>
              </m:r>
              <m:r>
                <m:t>o</m:t>
              </m:r>
              <m:r>
                <m:t>n</m:t>
              </m:r>
              <m:r>
                <m:t>d</m:t>
              </m:r>
            </m:sub>
          </m:sSub>
          <m:r>
            <m:rPr>
              <m:sty m:val="p"/>
            </m:rPr>
            <m:t>=</m:t>
          </m:r>
          <m:d>
            <m:dPr>
              <m:begChr m:val="["/>
              <m:sepChr m:val=""/>
              <m:endChr m:val="]"/>
              <m:grow/>
            </m:dPr>
            <m:e>
              <m:sSub>
                <m:e>
                  <m:r>
                    <m:rPr>
                      <m:sty m:val="bi"/>
                    </m:rPr>
                    <m:t>I</m:t>
                  </m:r>
                </m:e>
                <m:sub>
                  <m:r>
                    <m:t>r</m:t>
                  </m:r>
                  <m:r>
                    <m:t>i</m:t>
                  </m:r>
                  <m:r>
                    <m:t>n</m:t>
                  </m:r>
                  <m:r>
                    <m:t>g</m:t>
                  </m:r>
                </m:sub>
              </m:sSub>
              <m:r>
                <m:rPr>
                  <m:sty m:val="p"/>
                </m:rPr>
                <m:t>,</m:t>
              </m:r>
              <m:sSub>
                <m:e>
                  <m:r>
                    <m:rPr>
                      <m:sty m:val="bi"/>
                    </m:rPr>
                    <m:t>I</m:t>
                  </m:r>
                </m:e>
                <m:sub>
                  <m:r>
                    <m:t>f</m:t>
                  </m:r>
                  <m:r>
                    <m:t>i</m:t>
                  </m:r>
                  <m:r>
                    <m:t>b</m:t>
                  </m:r>
                  <m:r>
                    <m:t>e</m:t>
                  </m:r>
                  <m:r>
                    <m:t>r</m:t>
                  </m:r>
                </m:sub>
              </m:sSub>
              <m:r>
                <m:rPr>
                  <m:sty m:val="p"/>
                </m:rPr>
                <m:t>,</m:t>
              </m:r>
              <m:r>
                <m:rPr>
                  <m:sty m:val="b"/>
                </m:rPr>
                <m:t>0</m:t>
              </m:r>
            </m:e>
          </m:d>
          <m:r>
            <m:t>  </m:t>
          </m:r>
          <m:r>
            <m:rPr>
              <m:nor/>
              <m:sty m:val="p"/>
            </m:rPr>
            <m:t>(43)</m:t>
          </m:r>
        </m:oMath>
      </m:oMathPara>
    </w:p>
    <w:p>
      <w:pPr>
        <w:pStyle w:val="FirstParagraph"/>
      </w:pPr>
      <w:r>
        <w:t xml:space="preserve">Thus, in the default setting, each face has a conditioning tensor of size</w:t>
      </w:r>
      <w:r>
        <w:t xml:space="preserve"> </w:t>
      </w:r>
      <m:oMath>
        <m:r>
          <m:t>3</m:t>
        </m:r>
        <m:r>
          <m:rPr>
            <m:sty m:val="p"/>
          </m:rPr>
          <m:t>×</m:t>
        </m:r>
        <m:r>
          <m:t>512</m:t>
        </m:r>
        <m:r>
          <m:rPr>
            <m:sty m:val="p"/>
          </m:rPr>
          <m:t>×</m:t>
        </m:r>
        <m:r>
          <m:t>512</m:t>
        </m:r>
      </m:oMath>
      <w:r>
        <w:t xml:space="preserve">. The implementation also supports a third conditioning channel containing a knot map derived from the fiber map, in which case the three channels are ring, fiber, and knot maps. It also supports a ring-only mode, where the available ring channel is placed in the first channel and the remaining channels passed to the VAE are zero-filled. All conditioning and target images are resized to the model resolution, which was 512 by 512 pixels in the present implementation, and scaled to the numerical range expected by the neural network.</w:t>
      </w:r>
    </w:p>
    <w:p>
      <w:pPr>
        <w:pStyle w:val="BodyText"/>
      </w:pPr>
      <w:r>
        <w:t xml:space="preserve">Training at the board level is important because the four side faces are not independent. They are different visible surfaces of the same board and should have compatible color, contrast, and texture characteristics. Before flattening, one board contributes four conditioning images and four target images, so a board-level training item has sizes</w:t>
      </w:r>
      <w:r>
        <w:t xml:space="preserve"> </w:t>
      </w:r>
      <m:oMath>
        <m:r>
          <m:t>4</m:t>
        </m:r>
        <m:r>
          <m:rPr>
            <m:sty m:val="p"/>
          </m:rPr>
          <m:t>×</m:t>
        </m:r>
        <m:r>
          <m:t>3</m:t>
        </m:r>
        <m:r>
          <m:rPr>
            <m:sty m:val="p"/>
          </m:rPr>
          <m:t>×</m:t>
        </m:r>
        <m:r>
          <m:t>512</m:t>
        </m:r>
        <m:r>
          <m:rPr>
            <m:sty m:val="p"/>
          </m:rPr>
          <m:t>×</m:t>
        </m:r>
        <m:r>
          <m:t>512</m:t>
        </m:r>
      </m:oMath>
      <w:r>
        <w:t xml:space="preserve"> </w:t>
      </w:r>
      <w:r>
        <w:t xml:space="preserve">for the conditioning images and</w:t>
      </w:r>
      <w:r>
        <w:t xml:space="preserve"> </w:t>
      </w:r>
      <m:oMath>
        <m:r>
          <m:t>4</m:t>
        </m:r>
        <m:r>
          <m:rPr>
            <m:sty m:val="p"/>
          </m:rPr>
          <m:t>×</m:t>
        </m:r>
        <m:r>
          <m:t>3</m:t>
        </m:r>
        <m:r>
          <m:rPr>
            <m:sty m:val="p"/>
          </m:rPr>
          <m:t>×</m:t>
        </m:r>
        <m:r>
          <m:t>512</m:t>
        </m:r>
        <m:r>
          <m:rPr>
            <m:sty m:val="p"/>
          </m:rPr>
          <m:t>×</m:t>
        </m:r>
        <m:r>
          <m:t>512</m:t>
        </m:r>
      </m:oMath>
      <w:r>
        <w:t xml:space="preserve"> </w:t>
      </w:r>
      <w:r>
        <w:t xml:space="preserve">for the RGB targets. A training batch of</w:t>
      </w:r>
      <w:r>
        <w:t xml:space="preserve"> </w:t>
      </w:r>
      <m:oMath>
        <m:r>
          <m:t>B</m:t>
        </m:r>
      </m:oMath>
      <w:r>
        <w:t xml:space="preserve"> </w:t>
      </w:r>
      <w:r>
        <w:t xml:space="preserve">boards is then flattened to</w:t>
      </w:r>
      <w:r>
        <w:t xml:space="preserve"> </w:t>
      </w:r>
      <m:oMath>
        <m:r>
          <m:t>4</m:t>
        </m:r>
        <m:r>
          <m:t>B</m:t>
        </m:r>
      </m:oMath>
      <w:r>
        <w:t xml:space="preserve"> </w:t>
      </w:r>
      <w:r>
        <w:t xml:space="preserve">faces before VAE encoding and UNet denoising. Although the UNet operates on these individual faces, the training batch retains the board grouping so that additional consistency losses can be applied across the four faces.</w:t>
      </w:r>
    </w:p>
    <w:bookmarkEnd w:id="12"/>
    <w:bookmarkStart w:id="13" w:name="training-objective"/>
    <w:p>
      <w:pPr>
        <w:pStyle w:val="Heading2"/>
      </w:pPr>
      <w:r>
        <w:t xml:space="preserve">6.5 Training objective</w:t>
      </w:r>
    </w:p>
    <w:p>
      <w:pPr>
        <w:pStyle w:val="FirstParagraph"/>
      </w:pPr>
      <w:r>
        <w:t xml:space="preserve">The main training objective is the diffusion noise-prediction loss. For a sampled timestep</w:t>
      </w:r>
      <w:r>
        <w:t xml:space="preserve"> </w:t>
      </w:r>
      <m:oMath>
        <m:r>
          <m:t>t</m:t>
        </m:r>
      </m:oMath>
      <w:r>
        <w:t xml:space="preserve">, noise</w:t>
      </w:r>
      <w:r>
        <w:t xml:space="preserve"> </w:t>
      </w:r>
      <m:oMath>
        <m:r>
          <m:rPr>
            <m:sty m:val="bi"/>
          </m:rPr>
          <m:t>ϵ</m:t>
        </m:r>
      </m:oMath>
      <w:r>
        <w:t xml:space="preserve"> </w:t>
      </w:r>
      <w:r>
        <w:t xml:space="preserve">is added to the target latent</w:t>
      </w:r>
      <w:r>
        <w:t xml:space="preserve"> </w:t>
      </w:r>
      <m:oMath>
        <m:sSub>
          <m:e>
            <m:r>
              <m:rPr>
                <m:sty m:val="bi"/>
              </m:rPr>
              <m:t>l</m:t>
            </m:r>
          </m:e>
          <m:sub>
            <m:r>
              <m:t>0</m:t>
            </m:r>
          </m:sub>
        </m:sSub>
      </m:oMath>
      <w:r>
        <w:t xml:space="preserve"> </w:t>
      </w:r>
      <w:r>
        <w:t xml:space="preserve">to obtain</w:t>
      </w:r>
      <w:r>
        <w:t xml:space="preserve"> </w:t>
      </w:r>
      <m:oMath>
        <m:sSub>
          <m:e>
            <m:r>
              <m:rPr>
                <m:sty m:val="bi"/>
              </m:rPr>
              <m:t>l</m:t>
            </m:r>
          </m:e>
          <m:sub>
            <m:r>
              <m:t>t</m:t>
            </m:r>
          </m:sub>
        </m:sSub>
      </m:oMath>
      <w:r>
        <w:t xml:space="preserve">. Both tensors have size</w:t>
      </w:r>
      <w:r>
        <w:t xml:space="preserve"> </w:t>
      </w:r>
      <m:oMath>
        <m:r>
          <m:t>4</m:t>
        </m:r>
        <m:r>
          <m:rPr>
            <m:sty m:val="p"/>
          </m:rPr>
          <m:t>×</m:t>
        </m:r>
        <m:r>
          <m:t>64</m:t>
        </m:r>
        <m:r>
          <m:rPr>
            <m:sty m:val="p"/>
          </m:rPr>
          <m:t>×</m:t>
        </m:r>
        <m:r>
          <m:t>64</m:t>
        </m:r>
      </m:oMath>
      <w:r>
        <w:t xml:space="preserve"> </w:t>
      </w:r>
      <w:r>
        <w:t xml:space="preserve">for one face. The UNet receives the concatenated input</w:t>
      </w:r>
      <w:r>
        <w:t xml:space="preserve"> </w:t>
      </w:r>
      <m:oMath>
        <m:r>
          <m:rPr>
            <m:sty m:val="p"/>
          </m:rPr>
          <m:t>[</m:t>
        </m:r>
        <m:sSub>
          <m:e>
            <m:r>
              <m:rPr>
                <m:sty m:val="bi"/>
              </m:rPr>
              <m:t>l</m:t>
            </m:r>
          </m:e>
          <m:sub>
            <m:r>
              <m:t>t</m:t>
            </m:r>
          </m:sub>
        </m:sSub>
        <m:r>
          <m:rPr>
            <m:sty m:val="p"/>
          </m:rPr>
          <m:t>,</m:t>
        </m:r>
        <m:r>
          <m:rPr>
            <m:sty m:val="bi"/>
          </m:rPr>
          <m:t>c</m:t>
        </m:r>
        <m:r>
          <m:rPr>
            <m:sty m:val="p"/>
          </m:rPr>
          <m:t>]</m:t>
        </m:r>
      </m:oMath>
      <w:r>
        <w:t xml:space="preserve">, with size</w:t>
      </w:r>
      <w:r>
        <w:t xml:space="preserve"> </w:t>
      </w:r>
      <m:oMath>
        <m:r>
          <m:t>8</m:t>
        </m:r>
        <m:r>
          <m:rPr>
            <m:sty m:val="p"/>
          </m:rPr>
          <m:t>×</m:t>
        </m:r>
        <m:r>
          <m:t>64</m:t>
        </m:r>
        <m:r>
          <m:rPr>
            <m:sty m:val="p"/>
          </m:rPr>
          <m:t>×</m:t>
        </m:r>
        <m:r>
          <m:t>64</m:t>
        </m:r>
      </m:oMath>
      <w:r>
        <w:t xml:space="preserve">, and predicts the noise tensor with size</w:t>
      </w:r>
      <w:r>
        <w:t xml:space="preserve"> </w:t>
      </w:r>
      <m:oMath>
        <m:r>
          <m:t>4</m:t>
        </m:r>
        <m:r>
          <m:rPr>
            <m:sty m:val="p"/>
          </m:rPr>
          <m:t>×</m:t>
        </m:r>
        <m:r>
          <m:t>64</m:t>
        </m:r>
        <m:r>
          <m:rPr>
            <m:sty m:val="p"/>
          </m:rPr>
          <m:t>×</m:t>
        </m:r>
        <m:r>
          <m:t>64</m:t>
        </m:r>
      </m:oMath>
      <w:r>
        <w:t xml:space="preserve">. For the default noise-prediction parameterization, the loss is:</w:t>
      </w:r>
    </w:p>
    <w:p>
      <w:pPr>
        <w:pStyle w:val="BodyText"/>
      </w:pPr>
      <m:oMathPara>
        <m:oMathParaPr>
          <m:jc m:val="center"/>
        </m:oMathParaPr>
        <m:oMath>
          <m:sSub>
            <m:e>
              <m:r>
                <m:t>L</m:t>
              </m:r>
            </m:e>
            <m:sub>
              <m:r>
                <m:t>n</m:t>
              </m:r>
              <m:r>
                <m:t>o</m:t>
              </m:r>
              <m:r>
                <m:t>i</m:t>
              </m:r>
              <m:r>
                <m:t>s</m:t>
              </m:r>
              <m:r>
                <m:t>e</m:t>
              </m:r>
            </m:sub>
          </m:sSub>
          <m:r>
            <m:rPr>
              <m:sty m:val="p"/>
            </m:rPr>
            <m:t>=</m:t>
          </m:r>
          <m:sSub>
            <m:e>
              <m:r>
                <m:rPr>
                  <m:scr m:val="double-struck"/>
                  <m:sty m:val="p"/>
                </m:rPr>
                <m:t>E</m:t>
              </m:r>
            </m:e>
            <m:sub>
              <m:r>
                <m:t>t</m:t>
              </m:r>
              <m:r>
                <m:rPr>
                  <m:sty m:val="p"/>
                </m:rPr>
                <m:t>,</m:t>
              </m:r>
              <m:r>
                <m:rPr>
                  <m:sty m:val="bi"/>
                </m:rPr>
                <m:t>ϵ</m:t>
              </m:r>
            </m:sub>
          </m:sSub>
          <m:d>
            <m:dPr>
              <m:begChr m:val="["/>
              <m:sepChr m:val=""/>
              <m:endChr m:val="]"/>
              <m:grow/>
            </m:dPr>
            <m:e>
              <m:r>
                <m:t>w</m:t>
              </m:r>
              <m:r>
                <m:rPr>
                  <m:sty m:val="p"/>
                </m:rPr>
                <m:t>(</m:t>
              </m:r>
              <m:r>
                <m:t>t</m:t>
              </m:r>
              <m:r>
                <m:rPr>
                  <m:sty m:val="p"/>
                </m:rPr>
                <m:t>)</m:t>
              </m:r>
              <m:sSubSup>
                <m:e>
                  <m:d>
                    <m:dPr>
                      <m:begChr m:val="∥"/>
                      <m:sepChr m:val=""/>
                      <m:endChr m:val="∥"/>
                      <m:grow/>
                    </m:dPr>
                    <m:e>
                      <m:sSub>
                        <m:e>
                          <m:r>
                            <m:rPr>
                              <m:sty m:val="bi"/>
                            </m:rPr>
                            <m:t>ϵ</m:t>
                          </m:r>
                        </m:e>
                        <m:sub>
                          <m:r>
                            <m:t>θ</m:t>
                          </m:r>
                        </m:sub>
                      </m:sSub>
                      <m:d>
                        <m:dPr>
                          <m:begChr m:val="("/>
                          <m:sepChr m:val=""/>
                          <m:endChr m:val=")"/>
                          <m:grow/>
                        </m:dPr>
                        <m:e>
                          <m:d>
                            <m:dPr>
                              <m:begChr m:val="["/>
                              <m:sepChr m:val=""/>
                              <m:endChr m:val="]"/>
                              <m:grow/>
                            </m:dPr>
                            <m:e>
                              <m:sSub>
                                <m:e>
                                  <m:r>
                                    <m:rPr>
                                      <m:sty m:val="bi"/>
                                    </m:rPr>
                                    <m:t>l</m:t>
                                  </m:r>
                                </m:e>
                                <m:sub>
                                  <m:r>
                                    <m:t>t</m:t>
                                  </m:r>
                                </m:sub>
                              </m:sSub>
                              <m:r>
                                <m:rPr>
                                  <m:sty m:val="p"/>
                                </m:rPr>
                                <m:t>,</m:t>
                              </m:r>
                              <m:r>
                                <m:rPr>
                                  <m:sty m:val="bi"/>
                                </m:rPr>
                                <m:t>c</m:t>
                              </m:r>
                            </m:e>
                          </m:d>
                          <m:r>
                            <m:rPr>
                              <m:sty m:val="p"/>
                            </m:rPr>
                            <m:t>,</m:t>
                          </m:r>
                          <m:r>
                            <m:t>t</m:t>
                          </m:r>
                        </m:e>
                      </m:d>
                      <m:r>
                        <m:rPr>
                          <m:sty m:val="p"/>
                        </m:rPr>
                        <m:t>−</m:t>
                      </m:r>
                      <m:r>
                        <m:rPr>
                          <m:sty m:val="bi"/>
                        </m:rPr>
                        <m:t>ϵ</m:t>
                      </m:r>
                    </m:e>
                  </m:d>
                </m:e>
                <m:sub>
                  <m:r>
                    <m:t>2</m:t>
                  </m:r>
                </m:sub>
                <m:sup>
                  <m:r>
                    <m:t>2</m:t>
                  </m:r>
                </m:sup>
              </m:sSubSup>
            </m:e>
          </m:d>
          <m:r>
            <m:t>  </m:t>
          </m:r>
          <m:r>
            <m:rPr>
              <m:nor/>
              <m:sty m:val="p"/>
            </m:rPr>
            <m:t>(44)</m:t>
          </m:r>
        </m:oMath>
      </m:oMathPara>
    </w:p>
    <w:p>
      <w:pPr>
        <w:pStyle w:val="FirstParagraph"/>
      </w:pPr>
      <w:r>
        <w:t xml:space="preserve">where</w:t>
      </w:r>
      <w:r>
        <w:t xml:space="preserve"> </w:t>
      </w:r>
      <m:oMath>
        <m:sSub>
          <m:e>
            <m:r>
              <m:rPr>
                <m:sty m:val="bi"/>
              </m:rPr>
              <m:t>ϵ</m:t>
            </m:r>
          </m:e>
          <m:sub>
            <m:r>
              <m:t>θ</m:t>
            </m:r>
          </m:sub>
        </m:sSub>
      </m:oMath>
      <w:r>
        <w:t xml:space="preserve"> </w:t>
      </w:r>
      <w:r>
        <w:t xml:space="preserve">is the UNet prediction and</w:t>
      </w:r>
      <w:r>
        <w:t xml:space="preserve"> </w:t>
      </w:r>
      <m:oMath>
        <m:r>
          <m:t>w</m:t>
        </m:r>
        <m:r>
          <m:rPr>
            <m:sty m:val="p"/>
          </m:rPr>
          <m:t>(</m:t>
        </m:r>
        <m:r>
          <m:t>t</m:t>
        </m:r>
        <m:r>
          <m:rPr>
            <m:sty m:val="p"/>
          </m:rPr>
          <m:t>)</m:t>
        </m:r>
      </m:oMath>
      <w:r>
        <w:t xml:space="preserve"> </w:t>
      </w:r>
      <w:r>
        <w:t xml:space="preserve">is an optional timestep weight. The implementation uses min-SNR weighting when enabled. This reduces the dominance of very easy or very difficult noise levels and makes the training signal more balanced across timesteps.</w:t>
      </w:r>
    </w:p>
    <w:p>
      <w:pPr>
        <w:pStyle w:val="BodyText"/>
      </w:pPr>
      <w:r>
        <w:t xml:space="preserve">In addition to the noise-prediction loss, the implementation reconstructs an estimate of the clean latent,</w:t>
      </w:r>
      <w:r>
        <w:t xml:space="preserve"> </w:t>
      </w:r>
      <m:oMath>
        <m:sSub>
          <m:e>
            <m:acc>
              <m:accPr>
                <m:chr m:val="̂"/>
              </m:accPr>
              <m:e>
                <m:r>
                  <m:rPr>
                    <m:sty m:val="bi"/>
                  </m:rPr>
                  <m:t>l</m:t>
                </m:r>
              </m:e>
            </m:acc>
          </m:e>
          <m:sub>
            <m:r>
              <m:t>0</m:t>
            </m:r>
          </m:sub>
        </m:sSub>
      </m:oMath>
      <w:r>
        <w:t xml:space="preserve">, from the noisy latent and the model prediction. For the noise-prediction parameterization, this estimate is:</w:t>
      </w:r>
    </w:p>
    <w:p>
      <w:pPr>
        <w:pStyle w:val="BodyText"/>
      </w:pPr>
      <m:oMathPara>
        <m:oMathParaPr>
          <m:jc m:val="center"/>
        </m:oMathParaPr>
        <m:oMath>
          <m:sSub>
            <m:e>
              <m:acc>
                <m:accPr>
                  <m:chr m:val="̂"/>
                </m:accPr>
                <m:e>
                  <m:r>
                    <m:rPr>
                      <m:sty m:val="bi"/>
                    </m:rPr>
                    <m:t>l</m:t>
                  </m:r>
                </m:e>
              </m:acc>
            </m:e>
            <m:sub>
              <m:r>
                <m:t>0</m:t>
              </m:r>
            </m:sub>
          </m:sSub>
          <m:r>
            <m:rPr>
              <m:sty m:val="p"/>
            </m:rPr>
            <m:t>=</m:t>
          </m:r>
          <m:f>
            <m:fPr>
              <m:type m:val="bar"/>
            </m:fPr>
            <m:num>
              <m:sSub>
                <m:e>
                  <m:r>
                    <m:rPr>
                      <m:sty m:val="bi"/>
                    </m:rPr>
                    <m:t>l</m:t>
                  </m:r>
                </m:e>
                <m:sub>
                  <m:r>
                    <m:t>t</m:t>
                  </m:r>
                </m:sub>
              </m:sSub>
              <m:r>
                <m:rPr>
                  <m:sty m:val="p"/>
                </m:rPr>
                <m:t>−</m:t>
              </m:r>
              <m:rad>
                <m:radPr>
                  <m:degHide m:val="on"/>
                </m:radPr>
                <m:deg/>
                <m:e>
                  <m:r>
                    <m:t>1</m:t>
                  </m:r>
                  <m:r>
                    <m:rPr>
                      <m:sty m:val="p"/>
                    </m:rPr>
                    <m:t>−</m:t>
                  </m:r>
                  <m:sSub>
                    <m:e>
                      <m:acc>
                        <m:accPr>
                          <m:chr m:val="‾"/>
                        </m:accPr>
                        <m:e>
                          <m:r>
                            <m:t>α</m:t>
                          </m:r>
                        </m:e>
                      </m:acc>
                    </m:e>
                    <m:sub>
                      <m:r>
                        <m:t>t</m:t>
                      </m:r>
                    </m:sub>
                  </m:sSub>
                </m:e>
              </m:rad>
              <m:r>
                <m:t> </m:t>
              </m:r>
              <m:sSub>
                <m:e>
                  <m:r>
                    <m:rPr>
                      <m:sty m:val="bi"/>
                    </m:rPr>
                    <m:t>ϵ</m:t>
                  </m:r>
                </m:e>
                <m:sub>
                  <m:r>
                    <m:t>θ</m:t>
                  </m:r>
                </m:sub>
              </m:sSub>
            </m:num>
            <m:den>
              <m:rad>
                <m:radPr>
                  <m:degHide m:val="on"/>
                </m:radPr>
                <m:deg/>
                <m:e>
                  <m:sSub>
                    <m:e>
                      <m:acc>
                        <m:accPr>
                          <m:chr m:val="‾"/>
                        </m:accPr>
                        <m:e>
                          <m:r>
                            <m:t>α</m:t>
                          </m:r>
                        </m:e>
                      </m:acc>
                    </m:e>
                    <m:sub>
                      <m:r>
                        <m:t>t</m:t>
                      </m:r>
                    </m:sub>
                  </m:sSub>
                </m:e>
              </m:rad>
            </m:den>
          </m:f>
          <m:r>
            <m:t>  </m:t>
          </m:r>
          <m:r>
            <m:rPr>
              <m:nor/>
              <m:sty m:val="p"/>
            </m:rPr>
            <m:t>(45)</m:t>
          </m:r>
        </m:oMath>
      </m:oMathPara>
    </w:p>
    <w:p>
      <w:pPr>
        <w:pStyle w:val="FirstParagraph"/>
      </w:pPr>
      <w:r>
        <w:t xml:space="preserve">A smooth L1 reconstruction term is then applied in latent space:</w:t>
      </w:r>
    </w:p>
    <w:p>
      <w:pPr>
        <w:pStyle w:val="BodyText"/>
      </w:pPr>
      <m:oMathPara>
        <m:oMathParaPr>
          <m:jc m:val="center"/>
        </m:oMathParaPr>
        <m:oMath>
          <m:sSub>
            <m:e>
              <m:r>
                <m:t>L</m:t>
              </m:r>
            </m:e>
            <m:sub>
              <m:r>
                <m:t>r</m:t>
              </m:r>
              <m:r>
                <m:t>e</m:t>
              </m:r>
              <m:r>
                <m:t>c</m:t>
              </m:r>
            </m:sub>
          </m:sSub>
          <m:r>
            <m:rPr>
              <m:sty m:val="p"/>
            </m:rPr>
            <m:t>=</m:t>
          </m:r>
          <m:r>
            <m:rPr>
              <m:sty m:val="p"/>
            </m:rPr>
            <m:t>S</m:t>
          </m:r>
          <m:r>
            <m:rPr>
              <m:sty m:val="p"/>
            </m:rPr>
            <m:t>m</m:t>
          </m:r>
          <m:r>
            <m:rPr>
              <m:sty m:val="p"/>
            </m:rPr>
            <m:t>o</m:t>
          </m:r>
          <m:r>
            <m:rPr>
              <m:sty m:val="p"/>
            </m:rPr>
            <m:t>o</m:t>
          </m:r>
          <m:r>
            <m:rPr>
              <m:sty m:val="p"/>
            </m:rPr>
            <m:t>t</m:t>
          </m:r>
          <m:r>
            <m:rPr>
              <m:sty m:val="p"/>
            </m:rPr>
            <m:t>h</m:t>
          </m:r>
          <m:r>
            <m:rPr>
              <m:sty m:val="p"/>
            </m:rPr>
            <m:t>L</m:t>
          </m:r>
          <m:r>
            <m:rPr>
              <m:sty m:val="p"/>
            </m:rPr>
            <m:t>1</m:t>
          </m:r>
          <m:d>
            <m:dPr>
              <m:begChr m:val="("/>
              <m:sepChr m:val=""/>
              <m:endChr m:val=")"/>
              <m:grow/>
            </m:dPr>
            <m:e>
              <m:sSub>
                <m:e>
                  <m:acc>
                    <m:accPr>
                      <m:chr m:val="̂"/>
                    </m:accPr>
                    <m:e>
                      <m:r>
                        <m:rPr>
                          <m:sty m:val="bi"/>
                        </m:rPr>
                        <m:t>l</m:t>
                      </m:r>
                    </m:e>
                  </m:acc>
                </m:e>
                <m:sub>
                  <m:r>
                    <m:t>0</m:t>
                  </m:r>
                </m:sub>
              </m:sSub>
              <m:r>
                <m:rPr>
                  <m:sty m:val="p"/>
                </m:rPr>
                <m:t>,</m:t>
              </m:r>
              <m:sSub>
                <m:e>
                  <m:r>
                    <m:rPr>
                      <m:sty m:val="bi"/>
                    </m:rPr>
                    <m:t>l</m:t>
                  </m:r>
                </m:e>
                <m:sub>
                  <m:r>
                    <m:t>0</m:t>
                  </m:r>
                </m:sub>
              </m:sSub>
            </m:e>
          </m:d>
          <m:r>
            <m:t>  </m:t>
          </m:r>
          <m:r>
            <m:rPr>
              <m:nor/>
              <m:sty m:val="p"/>
            </m:rPr>
            <m:t>(46)</m:t>
          </m:r>
        </m:oMath>
      </m:oMathPara>
    </w:p>
    <w:p>
      <w:pPr>
        <w:pStyle w:val="FirstParagraph"/>
      </w:pPr>
      <w:r>
        <w:t xml:space="preserve">This term encourages the denoising prediction to correspond not only to the correct noise but also to a plausible clean latent representation of the target face. It was included to stabilize color and structural reconstruction.</w:t>
      </w:r>
    </w:p>
    <w:p>
      <w:pPr>
        <w:pStyle w:val="BodyText"/>
      </w:pPr>
      <w:r>
        <w:t xml:space="preserve">The full implemented objective is:</w:t>
      </w:r>
    </w:p>
    <w:p>
      <w:pPr>
        <w:pStyle w:val="BodyText"/>
      </w:pPr>
      <m:oMathPara>
        <m:oMathParaPr>
          <m:jc m:val="center"/>
        </m:oMathParaPr>
        <m:oMath>
          <m:r>
            <m:t>L</m:t>
          </m:r>
          <m:r>
            <m:rPr>
              <m:sty m:val="p"/>
            </m:rPr>
            <m:t>=</m:t>
          </m:r>
          <m:sSub>
            <m:e>
              <m:r>
                <m:t>L</m:t>
              </m:r>
            </m:e>
            <m:sub>
              <m:r>
                <m:t>n</m:t>
              </m:r>
              <m:r>
                <m:t>o</m:t>
              </m:r>
              <m:r>
                <m:t>i</m:t>
              </m:r>
              <m:r>
                <m:t>s</m:t>
              </m:r>
              <m:r>
                <m:t>e</m:t>
              </m:r>
            </m:sub>
          </m:sSub>
          <m:r>
            <m:rPr>
              <m:sty m:val="p"/>
            </m:rPr>
            <m:t>+</m:t>
          </m:r>
          <m:sSub>
            <m:e>
              <m:r>
                <m:t>λ</m:t>
              </m:r>
            </m:e>
            <m:sub>
              <m:r>
                <m:t>r</m:t>
              </m:r>
              <m:r>
                <m:t>e</m:t>
              </m:r>
              <m:r>
                <m:t>c</m:t>
              </m:r>
            </m:sub>
          </m:sSub>
          <m:sSub>
            <m:e>
              <m:r>
                <m:t>L</m:t>
              </m:r>
            </m:e>
            <m:sub>
              <m:r>
                <m:t>r</m:t>
              </m:r>
              <m:r>
                <m:t>e</m:t>
              </m:r>
              <m:r>
                <m:t>c</m:t>
              </m:r>
            </m:sub>
          </m:sSub>
          <m:r>
            <m:rPr>
              <m:sty m:val="p"/>
            </m:rPr>
            <m:t>+</m:t>
          </m:r>
          <m:sSub>
            <m:e>
              <m:r>
                <m:t>λ</m:t>
              </m:r>
            </m:e>
            <m:sub>
              <m:r>
                <m:t>c</m:t>
              </m:r>
              <m:r>
                <m:t>r</m:t>
              </m:r>
              <m:r>
                <m:t>o</m:t>
              </m:r>
              <m:r>
                <m:t>s</m:t>
              </m:r>
              <m:r>
                <m:t>s</m:t>
              </m:r>
            </m:sub>
          </m:sSub>
          <m:sSub>
            <m:e>
              <m:r>
                <m:t>L</m:t>
              </m:r>
            </m:e>
            <m:sub>
              <m:r>
                <m:t>c</m:t>
              </m:r>
              <m:r>
                <m:t>r</m:t>
              </m:r>
              <m:r>
                <m:t>o</m:t>
              </m:r>
              <m:r>
                <m:t>s</m:t>
              </m:r>
              <m:r>
                <m:t>s</m:t>
              </m:r>
            </m:sub>
          </m:sSub>
          <m:r>
            <m:rPr>
              <m:sty m:val="p"/>
            </m:rPr>
            <m:t>+</m:t>
          </m:r>
          <m:sSub>
            <m:e>
              <m:r>
                <m:t>λ</m:t>
              </m:r>
            </m:e>
            <m:sub>
              <m:r>
                <m:t>s</m:t>
              </m:r>
              <m:r>
                <m:t>e</m:t>
              </m:r>
              <m:r>
                <m:t>a</m:t>
              </m:r>
              <m:r>
                <m:t>m</m:t>
              </m:r>
            </m:sub>
          </m:sSub>
          <m:sSub>
            <m:e>
              <m:r>
                <m:t>L</m:t>
              </m:r>
            </m:e>
            <m:sub>
              <m:r>
                <m:t>s</m:t>
              </m:r>
              <m:r>
                <m:t>e</m:t>
              </m:r>
              <m:r>
                <m:t>a</m:t>
              </m:r>
              <m:r>
                <m:t>m</m:t>
              </m:r>
            </m:sub>
          </m:sSub>
          <m:r>
            <m:t>  </m:t>
          </m:r>
          <m:r>
            <m:rPr>
              <m:nor/>
              <m:sty m:val="p"/>
            </m:rPr>
            <m:t>(47)</m:t>
          </m:r>
        </m:oMath>
      </m:oMathPara>
    </w:p>
    <w:p>
      <w:pPr>
        <w:pStyle w:val="FirstParagraph"/>
      </w:pPr>
      <w:r>
        <w:t xml:space="preserve">where the</w:t>
      </w:r>
      <w:r>
        <w:t xml:space="preserve"> </w:t>
      </w:r>
      <m:oMath>
        <m:r>
          <m:t>λ</m:t>
        </m:r>
      </m:oMath>
      <w:r>
        <w:t xml:space="preserve"> </w:t>
      </w:r>
      <w:r>
        <w:t xml:space="preserve">terms are user-defined weights. The cross-surface loss,</w:t>
      </w:r>
      <w:r>
        <w:t xml:space="preserve"> </w:t>
      </w:r>
      <m:oMath>
        <m:sSub>
          <m:e>
            <m:r>
              <m:t>L</m:t>
            </m:r>
          </m:e>
          <m:sub>
            <m:r>
              <m:t>c</m:t>
            </m:r>
            <m:r>
              <m:t>r</m:t>
            </m:r>
            <m:r>
              <m:t>o</m:t>
            </m:r>
            <m:r>
              <m:t>s</m:t>
            </m:r>
            <m:r>
              <m:t>s</m:t>
            </m:r>
          </m:sub>
        </m:sSub>
      </m:oMath>
      <w:r>
        <w:t xml:space="preserve">, is a board-level consistency term. It compares the pairwise differences in latent means and standard deviations between the four generated faces with the corresponding differences in the target faces. This encourages all generated faces of a board to share a coherent appearance, rather than each face drifting toward a separate color distribution.</w:t>
      </w:r>
    </w:p>
    <w:p>
      <w:pPr>
        <w:pStyle w:val="BodyText"/>
      </w:pPr>
      <w:r>
        <w:t xml:space="preserve">The seam loss,</w:t>
      </w:r>
      <w:r>
        <w:t xml:space="preserve"> </w:t>
      </w:r>
      <m:oMath>
        <m:sSub>
          <m:e>
            <m:r>
              <m:t>L</m:t>
            </m:r>
          </m:e>
          <m:sub>
            <m:r>
              <m:t>s</m:t>
            </m:r>
            <m:r>
              <m:t>e</m:t>
            </m:r>
            <m:r>
              <m:t>a</m:t>
            </m:r>
            <m:r>
              <m:t>m</m:t>
            </m:r>
          </m:sub>
        </m:sSub>
      </m:oMath>
      <w:r>
        <w:t xml:space="preserve">, compares narrow latent-space strips along adjacent face edges. The purpose is to reduce abrupt changes in tone or texture at the edges where side faces meet. Since the orientation convention of adjacent faces can differ, the implementation evaluates several possible edge alignments and uses the lowest-cost alignment. Both</w:t>
      </w:r>
      <w:r>
        <w:t xml:space="preserve"> </w:t>
      </w:r>
      <m:oMath>
        <m:sSub>
          <m:e>
            <m:r>
              <m:t>L</m:t>
            </m:r>
          </m:e>
          <m:sub>
            <m:r>
              <m:t>c</m:t>
            </m:r>
            <m:r>
              <m:t>r</m:t>
            </m:r>
            <m:r>
              <m:t>o</m:t>
            </m:r>
            <m:r>
              <m:t>s</m:t>
            </m:r>
            <m:r>
              <m:t>s</m:t>
            </m:r>
          </m:sub>
        </m:sSub>
      </m:oMath>
      <w:r>
        <w:t xml:space="preserve"> </w:t>
      </w:r>
      <w:r>
        <w:t xml:space="preserve">and</w:t>
      </w:r>
      <w:r>
        <w:t xml:space="preserve"> </w:t>
      </w:r>
      <m:oMath>
        <m:sSub>
          <m:e>
            <m:r>
              <m:t>L</m:t>
            </m:r>
          </m:e>
          <m:sub>
            <m:r>
              <m:t>s</m:t>
            </m:r>
            <m:r>
              <m:t>e</m:t>
            </m:r>
            <m:r>
              <m:t>a</m:t>
            </m:r>
            <m:r>
              <m:t>m</m:t>
            </m:r>
          </m:sub>
        </m:sSub>
      </m:oMath>
      <w:r>
        <w:t xml:space="preserve"> </w:t>
      </w:r>
      <w:r>
        <w:t xml:space="preserve">are optional; setting their weights to zero reduces the objective to the ordinary noise-prediction and reconstruction losses.</w:t>
      </w:r>
    </w:p>
    <w:bookmarkEnd w:id="13"/>
    <w:bookmarkStart w:id="14" w:name="generation-of-realistic-board-faces"/>
    <w:p>
      <w:pPr>
        <w:pStyle w:val="Heading2"/>
      </w:pPr>
      <w:r>
        <w:t xml:space="preserve">6.6 Generation of realistic board faces</w:t>
      </w:r>
    </w:p>
    <w:p>
      <w:pPr>
        <w:pStyle w:val="FirstParagraph"/>
      </w:pPr>
      <w:r>
        <w:t xml:space="preserve">After training, the model is used to generate realistic side faces for new boards. The board generator first produces the ring and fiber maps for the four side faces. These maps are converted into four conditioning images of size</w:t>
      </w:r>
      <w:r>
        <w:t xml:space="preserve"> </w:t>
      </w:r>
      <m:oMath>
        <m:r>
          <m:t>3</m:t>
        </m:r>
        <m:r>
          <m:rPr>
            <m:sty m:val="p"/>
          </m:rPr>
          <m:t>×</m:t>
        </m:r>
        <m:r>
          <m:t>512</m:t>
        </m:r>
        <m:r>
          <m:rPr>
            <m:sty m:val="p"/>
          </m:rPr>
          <m:t>×</m:t>
        </m:r>
        <m:r>
          <m:t>512</m:t>
        </m:r>
      </m:oMath>
      <w:r>
        <w:t xml:space="preserve"> </w:t>
      </w:r>
      <w:r>
        <w:t xml:space="preserve">and encoded by the VAE into four conditioning latents of size</w:t>
      </w:r>
      <w:r>
        <w:t xml:space="preserve"> </w:t>
      </w:r>
      <m:oMath>
        <m:r>
          <m:t>4</m:t>
        </m:r>
        <m:r>
          <m:rPr>
            <m:sty m:val="p"/>
          </m:rPr>
          <m:t>×</m:t>
        </m:r>
        <m:r>
          <m:t>64</m:t>
        </m:r>
        <m:r>
          <m:rPr>
            <m:sty m:val="p"/>
          </m:rPr>
          <m:t>×</m:t>
        </m:r>
        <m:r>
          <m:t>64</m:t>
        </m:r>
      </m:oMath>
      <w:r>
        <w:t xml:space="preserve">. The diffusion process then starts either from random latents of the same size or, in an optional image-to-image mode, from noisy versions of the condition latents. At each denoising step, the UNet receives the eight-channel concatenation of the current generated latent and the condition latent, predicts a four-channel noise tensor, and the scheduler updates the generated latent without changing its size. After the final denoising step, the VAE decoder converts each generated latent into an RGB image of size</w:t>
      </w:r>
      <w:r>
        <w:t xml:space="preserve"> </w:t>
      </w:r>
      <m:oMath>
        <m:r>
          <m:t>3</m:t>
        </m:r>
        <m:r>
          <m:rPr>
            <m:sty m:val="p"/>
          </m:rPr>
          <m:t>×</m:t>
        </m:r>
        <m:r>
          <m:t>512</m:t>
        </m:r>
        <m:r>
          <m:rPr>
            <m:sty m:val="p"/>
          </m:rPr>
          <m:t>×</m:t>
        </m:r>
        <m:r>
          <m:t>512</m:t>
        </m:r>
      </m:oMath>
      <w:r>
        <w:t xml:space="preserve">.</w:t>
      </w:r>
    </w:p>
    <w:p>
      <w:pPr>
        <w:pStyle w:val="BodyText"/>
      </w:pPr>
      <w:r>
        <w:t xml:space="preserve">The output of this stage is a set of four photorealistic timber-face images for each generated board. These images preserve the main structure imposed by the ring and fiber models while adding realistic color variation, texture, and local appearance details that are difficult to prescribe explicitly using geometric rules alone. In this way, the diffusion model acts as the final appearance model in the board-generation pipeline: the preceding sections define the physical structure of the board, while the SDXL-based model translates that structure into visually realistic timber surfaces.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2026-05-04T10:42:36Z</dcterms:created>
  <dcterms:modified xsi:type="dcterms:W3CDTF">2026-05-04T10:42:36Z</dcterms:modified>
</cp:coreProperties>
</file>

<file path=docProps/custom.xml><?xml version="1.0" encoding="utf-8"?>
<Properties xmlns="http://schemas.openxmlformats.org/officeDocument/2006/custom-properties" xmlns:vt="http://schemas.openxmlformats.org/officeDocument/2006/docPropsVTypes"/>
</file>