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우선 저장, 실패 시 로컬 파일 저장</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바로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 또는 로컬 파일 저장소를 통한 모의 계좌/보유/거래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1"/>
      </w:pPr>
      <w:r>
        <w:t>2. 제안발표 이후 주제 변화</w:t>
      </w:r>
    </w:p>
    <w:p>
      <w:pPr>
        <w:spacing w:after="120"/>
      </w:pPr>
      <w:r>
        <w:t>초기 제안 단계에서는 기본 Java 기능을 웹 화면으로 옮기고 회원,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기본 Java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우선 저장, 실패 시 로컬 파일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 구조를 우선 사용하고, 로컬 과제 실행 환경에서 MySQL 인증이 실패하면 data/local-database.tsv 파일 저장소로 자동 전환한다.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모의 계좌,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DomainModels.java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DatabaseIntegration.java</w:t>
            </w:r>
          </w:p>
        </w:tc>
        <w:tc>
          <w:tcPr>
            <w:tcW w:type="dxa" w:w="7488"/>
            <w:vAlign w:val="center"/>
          </w:tcPr>
          <w:p>
            <w:pPr>
              <w:spacing w:after="0"/>
            </w:pPr>
            <w:r/>
            <w:r>
              <w:rPr>
                <w:rFonts w:ascii="맑은 고딕" w:hAnsi="맑은 고딕" w:eastAsia="맑은 고딕"/>
                <w:b w:val="0"/>
                <w:sz w:val="18"/>
              </w:rPr>
              <w:t>MySQL 연결, 테이블 생성, 로컬 파일 저장 전환</w:t>
            </w:r>
          </w:p>
        </w:tc>
      </w:tr>
      <w:tr>
        <w:tc>
          <w:tcPr>
            <w:tcW w:type="dxa" w:w="3024"/>
            <w:shd w:fill="F6F9FD"/>
            <w:vAlign w:val="center"/>
          </w:tcPr>
          <w:p>
            <w:pPr>
              <w:spacing w:after="0"/>
            </w:pPr>
            <w:r/>
            <w:r>
              <w:rPr>
                <w:rFonts w:ascii="맑은 고딕" w:hAnsi="맑은 고딕" w:eastAsia="맑은 고딕"/>
                <w:b w:val="0"/>
                <w:sz w:val="18"/>
              </w:rPr>
              <w:t>KisIntegration.java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StockCategoryProfiles.java</w:t>
            </w:r>
          </w:p>
        </w:tc>
        <w:tc>
          <w:tcPr>
            <w:tcW w:type="dxa" w:w="7488"/>
            <w:vAlign w:val="center"/>
          </w:tcPr>
          <w:p>
            <w:pPr>
              <w:spacing w:after="0"/>
            </w:pPr>
            <w:r/>
            <w:r>
              <w:rPr>
                <w:rFonts w:ascii="맑은 고딕" w:hAnsi="맑은 고딕" w:eastAsia="맑은 고딕"/>
                <w:b w:val="0"/>
                <w:sz w:val="18"/>
              </w:rPr>
              <w:t>업종·테마별 위험 설명 타입</w:t>
            </w:r>
          </w:p>
        </w:tc>
      </w:tr>
      <w:tr>
        <w:tc>
          <w:tcPr>
            <w:tcW w:type="dxa" w:w="3024"/>
            <w:shd w:fill="F6F9FD"/>
            <w:vAlign w:val="center"/>
          </w:tcPr>
          <w:p>
            <w:pPr>
              <w:spacing w:after="0"/>
            </w:pPr>
            <w:r/>
            <w:r>
              <w:rPr>
                <w:rFonts w:ascii="맑은 고딕" w:hAnsi="맑은 고딕" w:eastAsia="맑은 고딕"/>
                <w:b w:val="0"/>
                <w:sz w:val="18"/>
              </w:rPr>
              <w:t>BrokerIntegration.java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WebPages.java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bl>
    <w:p/>
    <w:p>
      <w:pPr>
        <w:pStyle w:val="Heading2"/>
      </w:pPr>
      <w:r>
        <w:t>3.1 패키지/클래스 다이어그램 요약</w:t>
      </w:r>
    </w:p>
    <w:p>
      <w:pPr>
        <w:spacing w:before="60" w:after="120"/>
        <w:ind w:left="216" w:right="216"/>
        <w:shd w:fill="F1F5F9"/>
      </w:pPr>
      <w:r>
        <w:rPr>
          <w:rFonts w:ascii="Consolas" w:hAnsi="Consolas"/>
          <w:sz w:val="17"/>
        </w:rPr>
        <w:t>MiniProjectApp</w:t>
        <w:br/>
        <w:t xml:space="preserve"> ├─ MiniHandler ── MiniProject ── Member / Stock / Share / TradeLog</w:t>
        <w:br/>
        <w:t xml:space="preserve"> │                 ├─ MySqlDatabase</w:t>
        <w:br/>
        <w:t xml:space="preserve"> │                 ├─ KisQuoteClient / KisQuotePoller ── KIS Open API</w:t>
        <w:br/>
        <w:t xml:space="preserve"> │                 └─ BrokerClient / BrokerServer ── TCP Socket</w:t>
        <w:br/>
        <w:t xml:space="preserve"> └─ WebPages</w:t>
      </w:r>
    </w:p>
    <w:p>
      <w:pPr>
        <w:pStyle w:val="Heading2"/>
      </w:pPr>
      <w:r>
        <w:t>3.2 클래스/라이브러리 구조 상세</w:t>
      </w:r>
    </w:p>
    <w:p>
      <w:pPr>
        <w:spacing w:after="120"/>
      </w:pPr>
      <w:r>
        <w:t>프로젝트는 현재 과제 제출과 단일 javac 컴파일을 쉽게 하기 위해 루트 디렉터리 중심으로 구성했다. 다만 내부 역할은 서버, 핵심 서비스, 도메인 모델, 외부 시세, 저장소, 화면 생성으로 나누어 볼 수 있다. 발표에서는 아래 표를 기준으로 어떤 클래스가 어떤 Java 라이브러리를 사용했는지 설명하면 된다.</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fill="122033"/>
            <w:vAlign w:val="center"/>
          </w:tcPr>
          <w:p>
            <w:pPr>
              <w:spacing w:after="0"/>
            </w:pPr>
            <w:r/>
            <w:r>
              <w:rPr>
                <w:rFonts w:ascii="맑은 고딕" w:hAnsi="맑은 고딕" w:eastAsia="맑은 고딕"/>
                <w:b/>
                <w:color w:val="FFFFFF"/>
                <w:sz w:val="18"/>
              </w:rPr>
              <w:t>계층</w:t>
            </w:r>
          </w:p>
        </w:tc>
        <w:tc>
          <w:tcPr>
            <w:tcW w:type="dxa" w:w="3024"/>
            <w:shd w:fill="122033"/>
            <w:vAlign w:val="center"/>
          </w:tcPr>
          <w:p>
            <w:pPr>
              <w:spacing w:after="0"/>
            </w:pPr>
            <w:r/>
            <w:r>
              <w:rPr>
                <w:rFonts w:ascii="맑은 고딕" w:hAnsi="맑은 고딕" w:eastAsia="맑은 고딕"/>
                <w:b/>
                <w:color w:val="FFFFFF"/>
                <w:sz w:val="18"/>
              </w:rPr>
              <w:t>주요 클래스</w:t>
            </w:r>
          </w:p>
        </w:tc>
        <w:tc>
          <w:tcPr>
            <w:tcW w:type="dxa" w:w="3168"/>
            <w:shd w:fill="122033"/>
            <w:vAlign w:val="center"/>
          </w:tcPr>
          <w:p>
            <w:pPr>
              <w:spacing w:after="0"/>
            </w:pPr>
            <w:r/>
            <w:r>
              <w:rPr>
                <w:rFonts w:ascii="맑은 고딕" w:hAnsi="맑은 고딕" w:eastAsia="맑은 고딕"/>
                <w:b/>
                <w:color w:val="FFFFFF"/>
                <w:sz w:val="18"/>
              </w:rPr>
              <w:t>사용 라이브러리/문법</w:t>
            </w:r>
          </w:p>
        </w:tc>
        <w:tc>
          <w:tcPr>
            <w:tcW w:type="dxa" w:w="3312"/>
            <w:shd w:fill="122033"/>
            <w:vAlign w:val="center"/>
          </w:tcPr>
          <w:p>
            <w:pPr>
              <w:spacing w:after="0"/>
            </w:pPr>
            <w:r/>
            <w:r>
              <w:rPr>
                <w:rFonts w:ascii="맑은 고딕" w:hAnsi="맑은 고딕" w:eastAsia="맑은 고딕"/>
                <w:b/>
                <w:color w:val="FFFFFF"/>
                <w:sz w:val="18"/>
              </w:rPr>
              <w:t>역할</w:t>
            </w:r>
          </w:p>
        </w:tc>
      </w:tr>
      <w:tr>
        <w:tc>
          <w:tcPr>
            <w:tcW w:type="dxa" w:w="1944"/>
            <w:vAlign w:val="center"/>
          </w:tcPr>
          <w:p>
            <w:pPr>
              <w:spacing w:after="0"/>
            </w:pPr>
            <w:r/>
            <w:r>
              <w:rPr>
                <w:rFonts w:ascii="맑은 고딕" w:hAnsi="맑은 고딕" w:eastAsia="맑은 고딕"/>
                <w:b w:val="0"/>
                <w:sz w:val="18"/>
              </w:rPr>
              <w:t>실행/서버 계층</w:t>
            </w:r>
          </w:p>
        </w:tc>
        <w:tc>
          <w:tcPr>
            <w:tcW w:type="dxa" w:w="3024"/>
            <w:vAlign w:val="center"/>
          </w:tcPr>
          <w:p>
            <w:pPr>
              <w:spacing w:after="0"/>
            </w:pPr>
            <w:r/>
            <w:r>
              <w:rPr>
                <w:rFonts w:ascii="맑은 고딕" w:hAnsi="맑은 고딕" w:eastAsia="맑은 고딕"/>
                <w:b w:val="0"/>
                <w:sz w:val="18"/>
              </w:rPr>
              <w:t>MiniProjectApp, MiniHandler</w:t>
            </w:r>
          </w:p>
        </w:tc>
        <w:tc>
          <w:tcPr>
            <w:tcW w:type="dxa" w:w="3168"/>
            <w:vAlign w:val="center"/>
          </w:tcPr>
          <w:p>
            <w:pPr>
              <w:spacing w:after="0"/>
            </w:pPr>
            <w:r/>
            <w:r>
              <w:rPr>
                <w:rFonts w:ascii="맑은 고딕" w:hAnsi="맑은 고딕" w:eastAsia="맑은 고딕"/>
                <w:b w:val="0"/>
                <w:sz w:val="18"/>
              </w:rPr>
              <w:t>HttpServer, HttpExchange, Executors</w:t>
            </w:r>
          </w:p>
        </w:tc>
        <w:tc>
          <w:tcPr>
            <w:tcW w:type="dxa" w:w="3312"/>
            <w:vAlign w:val="center"/>
          </w:tcPr>
          <w:p>
            <w:pPr>
              <w:spacing w:after="0"/>
            </w:pPr>
            <w:r/>
            <w:r>
              <w:rPr>
                <w:rFonts w:ascii="맑은 고딕" w:hAnsi="맑은 고딕" w:eastAsia="맑은 고딕"/>
                <w:b w:val="0"/>
                <w:sz w:val="18"/>
              </w:rPr>
              <w:t>웹 서버 시작, URL 라우팅, 요청/응답 처리</w:t>
            </w:r>
          </w:p>
        </w:tc>
      </w:tr>
      <w:tr>
        <w:tc>
          <w:tcPr>
            <w:tcW w:type="dxa" w:w="1944"/>
            <w:shd w:fill="F6F9FD"/>
            <w:vAlign w:val="center"/>
          </w:tcPr>
          <w:p>
            <w:pPr>
              <w:spacing w:after="0"/>
            </w:pPr>
            <w:r/>
            <w:r>
              <w:rPr>
                <w:rFonts w:ascii="맑은 고딕" w:hAnsi="맑은 고딕" w:eastAsia="맑은 고딕"/>
                <w:b w:val="0"/>
                <w:sz w:val="18"/>
              </w:rPr>
              <w:t>핵심 서비스 계층</w:t>
            </w:r>
          </w:p>
        </w:tc>
        <w:tc>
          <w:tcPr>
            <w:tcW w:type="dxa" w:w="3024"/>
            <w:shd w:fill="F6F9FD"/>
            <w:vAlign w:val="center"/>
          </w:tcPr>
          <w:p>
            <w:pPr>
              <w:spacing w:after="0"/>
            </w:pPr>
            <w:r/>
            <w:r>
              <w:rPr>
                <w:rFonts w:ascii="맑은 고딕" w:hAnsi="맑은 고딕" w:eastAsia="맑은 고딕"/>
                <w:b w:val="0"/>
                <w:sz w:val="18"/>
              </w:rPr>
              <w:t>MiniProject</w:t>
            </w:r>
          </w:p>
        </w:tc>
        <w:tc>
          <w:tcPr>
            <w:tcW w:type="dxa" w:w="3168"/>
            <w:shd w:fill="F6F9FD"/>
            <w:vAlign w:val="center"/>
          </w:tcPr>
          <w:p>
            <w:pPr>
              <w:spacing w:after="0"/>
            </w:pPr>
            <w:r/>
            <w:r>
              <w:rPr>
                <w:rFonts w:ascii="맑은 고딕" w:hAnsi="맑은 고딕" w:eastAsia="맑은 고딕"/>
                <w:b w:val="0"/>
                <w:sz w:val="18"/>
              </w:rPr>
              <w:t>ConcurrentHashMap, ArrayList, Comparator, LocalDateTime</w:t>
            </w:r>
          </w:p>
        </w:tc>
        <w:tc>
          <w:tcPr>
            <w:tcW w:type="dxa" w:w="3312"/>
            <w:shd w:fill="F6F9FD"/>
            <w:vAlign w:val="center"/>
          </w:tcPr>
          <w:p>
            <w:pPr>
              <w:spacing w:after="0"/>
            </w:pPr>
            <w:r/>
            <w:r>
              <w:rPr>
                <w:rFonts w:ascii="맑은 고딕" w:hAnsi="맑은 고딕" w:eastAsia="맑은 고딕"/>
                <w:b w:val="0"/>
                <w:sz w:val="18"/>
              </w:rPr>
              <w:t>매수/매도 처리, 포트폴리오 계산, 시세 상태 관리</w:t>
            </w:r>
          </w:p>
        </w:tc>
      </w:tr>
      <w:tr>
        <w:tc>
          <w:tcPr>
            <w:tcW w:type="dxa" w:w="1944"/>
            <w:vAlign w:val="center"/>
          </w:tcPr>
          <w:p>
            <w:pPr>
              <w:spacing w:after="0"/>
            </w:pPr>
            <w:r/>
            <w:r>
              <w:rPr>
                <w:rFonts w:ascii="맑은 고딕" w:hAnsi="맑은 고딕" w:eastAsia="맑은 고딕"/>
                <w:b w:val="0"/>
                <w:sz w:val="18"/>
              </w:rPr>
              <w:t>도메인 모델 계층</w:t>
            </w:r>
          </w:p>
        </w:tc>
        <w:tc>
          <w:tcPr>
            <w:tcW w:type="dxa" w:w="3024"/>
            <w:vAlign w:val="center"/>
          </w:tcPr>
          <w:p>
            <w:pPr>
              <w:spacing w:after="0"/>
            </w:pPr>
            <w:r/>
            <w:r>
              <w:rPr>
                <w:rFonts w:ascii="맑은 고딕" w:hAnsi="맑은 고딕" w:eastAsia="맑은 고딕"/>
                <w:b w:val="0"/>
                <w:sz w:val="18"/>
              </w:rPr>
              <w:t>Member, Stock, Share, TradeLog, PricePoint</w:t>
            </w:r>
          </w:p>
        </w:tc>
        <w:tc>
          <w:tcPr>
            <w:tcW w:type="dxa" w:w="3168"/>
            <w:vAlign w:val="center"/>
          </w:tcPr>
          <w:p>
            <w:pPr>
              <w:spacing w:after="0"/>
            </w:pPr>
            <w:r/>
            <w:r>
              <w:rPr>
                <w:rFonts w:ascii="맑은 고딕" w:hAnsi="맑은 고딕" w:eastAsia="맑은 고딕"/>
                <w:b w:val="0"/>
                <w:sz w:val="18"/>
              </w:rPr>
              <w:t>Java class, 컬렉션 객체</w:t>
            </w:r>
          </w:p>
        </w:tc>
        <w:tc>
          <w:tcPr>
            <w:tcW w:type="dxa" w:w="3312"/>
            <w:vAlign w:val="center"/>
          </w:tcPr>
          <w:p>
            <w:pPr>
              <w:spacing w:after="0"/>
            </w:pPr>
            <w:r/>
            <w:r>
              <w:rPr>
                <w:rFonts w:ascii="맑은 고딕" w:hAnsi="맑은 고딕" w:eastAsia="맑은 고딕"/>
                <w:b w:val="0"/>
                <w:sz w:val="18"/>
              </w:rPr>
              <w:t>모의 계좌, 종목, 보유 수량, 거래 기록, 가격 이력 표현</w:t>
            </w:r>
          </w:p>
        </w:tc>
      </w:tr>
      <w:tr>
        <w:tc>
          <w:tcPr>
            <w:tcW w:type="dxa" w:w="1944"/>
            <w:shd w:fill="F6F9FD"/>
            <w:vAlign w:val="center"/>
          </w:tcPr>
          <w:p>
            <w:pPr>
              <w:spacing w:after="0"/>
            </w:pPr>
            <w:r/>
            <w:r>
              <w:rPr>
                <w:rFonts w:ascii="맑은 고딕" w:hAnsi="맑은 고딕" w:eastAsia="맑은 고딕"/>
                <w:b w:val="0"/>
                <w:sz w:val="18"/>
              </w:rPr>
              <w:t>외부 시세 계층</w:t>
            </w:r>
          </w:p>
        </w:tc>
        <w:tc>
          <w:tcPr>
            <w:tcW w:type="dxa" w:w="3024"/>
            <w:shd w:fill="F6F9FD"/>
            <w:vAlign w:val="center"/>
          </w:tcPr>
          <w:p>
            <w:pPr>
              <w:spacing w:after="0"/>
            </w:pPr>
            <w:r/>
            <w:r>
              <w:rPr>
                <w:rFonts w:ascii="맑은 고딕" w:hAnsi="맑은 고딕" w:eastAsia="맑은 고딕"/>
                <w:b w:val="0"/>
                <w:sz w:val="18"/>
              </w:rPr>
              <w:t>KisQuoteClient, KisQuotePoller, KisWebSocketQuoteClient</w:t>
            </w:r>
          </w:p>
        </w:tc>
        <w:tc>
          <w:tcPr>
            <w:tcW w:type="dxa" w:w="3168"/>
            <w:shd w:fill="F6F9FD"/>
            <w:vAlign w:val="center"/>
          </w:tcPr>
          <w:p>
            <w:pPr>
              <w:spacing w:after="0"/>
            </w:pPr>
            <w:r/>
            <w:r>
              <w:rPr>
                <w:rFonts w:ascii="맑은 고딕" w:hAnsi="맑은 고딕" w:eastAsia="맑은 고딕"/>
                <w:b w:val="0"/>
                <w:sz w:val="18"/>
              </w:rPr>
              <w:t>HttpClient, HttpRequest, WebSocket</w:t>
            </w:r>
          </w:p>
        </w:tc>
        <w:tc>
          <w:tcPr>
            <w:tcW w:type="dxa" w:w="3312"/>
            <w:shd w:fill="F6F9FD"/>
            <w:vAlign w:val="center"/>
          </w:tcPr>
          <w:p>
            <w:pPr>
              <w:spacing w:after="0"/>
            </w:pPr>
            <w:r/>
            <w:r>
              <w:rPr>
                <w:rFonts w:ascii="맑은 고딕" w:hAnsi="맑은 고딕" w:eastAsia="맑은 고딕"/>
                <w:b w:val="0"/>
                <w:sz w:val="18"/>
              </w:rPr>
              <w:t>KIS REST 현재가 조회, 거래량 상위 종목 갱신, WebSocket 연동 시도</w:t>
            </w:r>
          </w:p>
        </w:tc>
      </w:tr>
      <w:tr>
        <w:tc>
          <w:tcPr>
            <w:tcW w:type="dxa" w:w="1944"/>
            <w:vAlign w:val="center"/>
          </w:tcPr>
          <w:p>
            <w:pPr>
              <w:spacing w:after="0"/>
            </w:pPr>
            <w:r/>
            <w:r>
              <w:rPr>
                <w:rFonts w:ascii="맑은 고딕" w:hAnsi="맑은 고딕" w:eastAsia="맑은 고딕"/>
                <w:b w:val="0"/>
                <w:sz w:val="18"/>
              </w:rPr>
              <w:t>저장소 계층</w:t>
            </w:r>
          </w:p>
        </w:tc>
        <w:tc>
          <w:tcPr>
            <w:tcW w:type="dxa" w:w="3024"/>
            <w:vAlign w:val="center"/>
          </w:tcPr>
          <w:p>
            <w:pPr>
              <w:spacing w:after="0"/>
            </w:pPr>
            <w:r/>
            <w:r>
              <w:rPr>
                <w:rFonts w:ascii="맑은 고딕" w:hAnsi="맑은 고딕" w:eastAsia="맑은 고딕"/>
                <w:b w:val="0"/>
                <w:sz w:val="18"/>
              </w:rPr>
              <w:t>MySqlDatabase, LocalFileDatabase, DatabaseSnapshot</w:t>
            </w:r>
          </w:p>
        </w:tc>
        <w:tc>
          <w:tcPr>
            <w:tcW w:type="dxa" w:w="3168"/>
            <w:vAlign w:val="center"/>
          </w:tcPr>
          <w:p>
            <w:pPr>
              <w:spacing w:after="0"/>
            </w:pPr>
            <w:r/>
            <w:r>
              <w:rPr>
                <w:rFonts w:ascii="맑은 고딕" w:hAnsi="맑은 고딕" w:eastAsia="맑은 고딕"/>
                <w:b w:val="0"/>
                <w:sz w:val="18"/>
              </w:rPr>
              <w:t>JDBC, DriverManager, Files, Path</w:t>
            </w:r>
          </w:p>
        </w:tc>
        <w:tc>
          <w:tcPr>
            <w:tcW w:type="dxa" w:w="3312"/>
            <w:vAlign w:val="center"/>
          </w:tcPr>
          <w:p>
            <w:pPr>
              <w:spacing w:after="0"/>
            </w:pPr>
            <w:r/>
            <w:r>
              <w:rPr>
                <w:rFonts w:ascii="맑은 고딕" w:hAnsi="맑은 고딕" w:eastAsia="맑은 고딕"/>
                <w:b w:val="0"/>
                <w:sz w:val="18"/>
              </w:rPr>
              <w:t>MySQL 우선 저장, 실패 시 로컬 파일 저장</w:t>
            </w:r>
          </w:p>
        </w:tc>
      </w:tr>
      <w:tr>
        <w:tc>
          <w:tcPr>
            <w:tcW w:type="dxa" w:w="1944"/>
            <w:shd w:fill="F6F9FD"/>
            <w:vAlign w:val="center"/>
          </w:tcPr>
          <w:p>
            <w:pPr>
              <w:spacing w:after="0"/>
            </w:pPr>
            <w:r/>
            <w:r>
              <w:rPr>
                <w:rFonts w:ascii="맑은 고딕" w:hAnsi="맑은 고딕" w:eastAsia="맑은 고딕"/>
                <w:b w:val="0"/>
                <w:sz w:val="18"/>
              </w:rPr>
              <w:t>화면/직렬화 계층</w:t>
            </w:r>
          </w:p>
        </w:tc>
        <w:tc>
          <w:tcPr>
            <w:tcW w:type="dxa" w:w="3024"/>
            <w:shd w:fill="F6F9FD"/>
            <w:vAlign w:val="center"/>
          </w:tcPr>
          <w:p>
            <w:pPr>
              <w:spacing w:after="0"/>
            </w:pPr>
            <w:r/>
            <w:r>
              <w:rPr>
                <w:rFonts w:ascii="맑은 고딕" w:hAnsi="맑은 고딕" w:eastAsia="맑은 고딕"/>
                <w:b w:val="0"/>
                <w:sz w:val="18"/>
              </w:rPr>
              <w:t>WebPages, Json</w:t>
            </w:r>
          </w:p>
        </w:tc>
        <w:tc>
          <w:tcPr>
            <w:tcW w:type="dxa" w:w="3168"/>
            <w:shd w:fill="F6F9FD"/>
            <w:vAlign w:val="center"/>
          </w:tcPr>
          <w:p>
            <w:pPr>
              <w:spacing w:after="0"/>
            </w:pPr>
            <w:r/>
            <w:r>
              <w:rPr>
                <w:rFonts w:ascii="맑은 고딕" w:hAnsi="맑은 고딕" w:eastAsia="맑은 고딕"/>
                <w:b w:val="0"/>
                <w:sz w:val="18"/>
              </w:rPr>
              <w:t>HTML/CSS/JavaScript 문자열, JSON 생성/파싱</w:t>
            </w:r>
          </w:p>
        </w:tc>
        <w:tc>
          <w:tcPr>
            <w:tcW w:type="dxa" w:w="3312"/>
            <w:shd w:fill="F6F9FD"/>
            <w:vAlign w:val="center"/>
          </w:tcPr>
          <w:p>
            <w:pPr>
              <w:spacing w:after="0"/>
            </w:pPr>
            <w:r/>
            <w:r>
              <w:rPr>
                <w:rFonts w:ascii="맑은 고딕" w:hAnsi="맑은 고딕" w:eastAsia="맑은 고딕"/>
                <w:b w:val="0"/>
                <w:sz w:val="18"/>
              </w:rPr>
              <w:t>브라우저 화면 렌더링과 API 응답 데이터 구성</w:t>
            </w:r>
          </w:p>
        </w:tc>
      </w:tr>
      <w:tr>
        <w:tc>
          <w:tcPr>
            <w:tcW w:type="dxa" w:w="1944"/>
            <w:vAlign w:val="center"/>
          </w:tcPr>
          <w:p>
            <w:pPr>
              <w:spacing w:after="0"/>
            </w:pPr>
            <w:r/>
            <w:r>
              <w:rPr>
                <w:rFonts w:ascii="맑은 고딕" w:hAnsi="맑은 고딕" w:eastAsia="맑은 고딕"/>
                <w:b w:val="0"/>
                <w:sz w:val="18"/>
              </w:rPr>
              <w:t>분류/상속 계층</w:t>
            </w:r>
          </w:p>
        </w:tc>
        <w:tc>
          <w:tcPr>
            <w:tcW w:type="dxa" w:w="3024"/>
            <w:vAlign w:val="center"/>
          </w:tcPr>
          <w:p>
            <w:pPr>
              <w:spacing w:after="0"/>
            </w:pPr>
            <w:r/>
            <w:r>
              <w:rPr>
                <w:rFonts w:ascii="맑은 고딕" w:hAnsi="맑은 고딕" w:eastAsia="맑은 고딕"/>
                <w:b w:val="0"/>
                <w:sz w:val="18"/>
              </w:rPr>
              <w:t>CompanyProfile, CompanyProfiles, StockCategoryProfile</w:t>
            </w:r>
          </w:p>
        </w:tc>
        <w:tc>
          <w:tcPr>
            <w:tcW w:type="dxa" w:w="3168"/>
            <w:vAlign w:val="center"/>
          </w:tcPr>
          <w:p>
            <w:pPr>
              <w:spacing w:after="0"/>
            </w:pPr>
            <w:r/>
            <w:r>
              <w:rPr>
                <w:rFonts w:ascii="맑은 고딕" w:hAnsi="맑은 고딕" w:eastAsia="맑은 고딕"/>
                <w:b w:val="0"/>
                <w:sz w:val="18"/>
              </w:rPr>
              <w:t>abstract class, interface, 구현 클래스</w:t>
            </w:r>
          </w:p>
        </w:tc>
        <w:tc>
          <w:tcPr>
            <w:tcW w:type="dxa" w:w="3312"/>
            <w:vAlign w:val="center"/>
          </w:tcPr>
          <w:p>
            <w:pPr>
              <w:spacing w:after="0"/>
            </w:pPr>
            <w:r/>
            <w:r>
              <w:rPr>
                <w:rFonts w:ascii="맑은 고딕" w:hAnsi="맑은 고딕" w:eastAsia="맑은 고딕"/>
                <w:b w:val="0"/>
                <w:sz w:val="18"/>
              </w:rPr>
              <w:t>회사 설명과 업종 위험 설명을 종목 상세 설명에 반영</w:t>
            </w:r>
          </w:p>
        </w:tc>
      </w:tr>
    </w:tbl>
    <w:p/>
    <w:p>
      <w:pPr>
        <w:spacing w:after="120"/>
      </w:pPr>
      <w:r>
        <w:t>나중에 유지보수를 더 쉽게 하려면 controller, service, domain, repository, security, ui 패키지로 물리적인 파일 위치까지 분리할 수 있다. 현재 보고서에서는 실제 코드가 루트 중심이라는 점과, 논리적으로는 위 계층으로 나뉜다는 점을 구분해서 설명한다.</w:t>
      </w:r>
    </w:p>
    <w:p>
      <w:pPr>
        <w:pStyle w:val="Heading2"/>
      </w:pPr>
      <w:r>
        <w:t>3.3 주요 코드 일부</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before="60" w:after="120"/>
        <w:ind w:left="216" w:right="216"/>
        <w:shd w:fill="F1F5F9"/>
      </w:pPr>
      <w:r>
        <w:rPr>
          <w:rFonts w:ascii="Consolas" w:hAnsi="Consolas"/>
          <w:sz w:val="17"/>
        </w:rPr>
        <w:t>// MiniHandler.java - HTTP 요청을 기능별 메서드로 연결</w:t>
        <w:br/>
        <w:t>if ("GET".equals(method) &amp;&amp; "/api/state".equals(path)) {</w:t>
        <w:br/>
        <w:t xml:space="preserve">    send(exchange, 200, "application/json", project.stateJson());</w:t>
        <w:br/>
        <w:t>}</w:t>
        <w:br/>
        <w:t>String json = switch (path) {</w:t>
        <w:br/>
        <w:t xml:space="preserve">    case "/api/stock/buy" -&gt; project.buyStock(body);</w:t>
        <w:br/>
        <w:t xml:space="preserve">    case "/api/stock/sell" -&gt; project.sellStock(body);</w:t>
        <w:br/>
        <w:t xml:space="preserve">    default -&gt; Json.obj("ok", false, "error", "없는 API");</w:t>
        <w:br/>
        <w:t>};</w:t>
      </w:r>
    </w:p>
    <w:p>
      <w:pPr>
        <w:spacing w:before="60" w:after="120"/>
        <w:ind w:left="216" w:right="216"/>
        <w:shd w:fill="F1F5F9"/>
      </w:pPr>
      <w:r>
        <w:rPr>
          <w:rFonts w:ascii="Consolas" w:hAnsi="Consolas"/>
          <w:sz w:val="17"/>
        </w:rPr>
        <w:t>// KisIntegration.java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Member member = defaultMember();</w:t>
        <w:br/>
        <w:t>Stock stock = member.stocks.get(stockName);</w:t>
        <w:br/>
        <w:t>long total = (long) stock.price * quantity;</w:t>
        <w:br/>
        <w:t>if (member.balance &lt; total) return Json.obj("ok", false);</w:t>
        <w:br/>
        <w:t>member.balance -= total;</w:t>
        <w:br/>
        <w:t>member.shares.put(stockName, share.buy(quantity, total));</w:t>
        <w:br/>
        <w:t>logs.add(new TradeLog(member.uid, stockName, quantity, total, "구매"));</w:t>
        <w:br/>
        <w:t>saveDatabase();</w:t>
      </w:r>
    </w:p>
    <w:p>
      <w:pPr>
        <w:spacing w:before="60" w:after="120"/>
        <w:ind w:left="216" w:right="216"/>
        <w:shd w:fill="F1F5F9"/>
      </w:pPr>
      <w:r>
        <w:rPr>
          <w:rFonts w:ascii="Consolas" w:hAnsi="Consolas"/>
          <w:sz w:val="17"/>
        </w:rPr>
        <w:t>// DatabaseIntegration.java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3.4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 이 정보는 MiniProject.addStock()에서 종목 상세 설명을 보강할 때 실제로 사용된다.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3.5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웹사이트에 접속하면 모의 계좌 화면이 바로 열린다.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모의 계좌, 보유 주식, 거래 기록을 MySQL 또는 로컬 파일 저장소에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실제 시세 연동 문제</w:t>
            </w:r>
          </w:p>
        </w:tc>
        <w:tc>
          <w:tcPr>
            <w:tcW w:type="dxa" w:w="7344"/>
            <w:vAlign w:val="center"/>
          </w:tcPr>
          <w:p>
            <w:pPr>
              <w:spacing w:after="0"/>
            </w:pPr>
            <w:r/>
            <w:r>
              <w:rPr>
                <w:rFonts w:ascii="맑은 고딕" w:hAnsi="맑은 고딕" w:eastAsia="맑은 고딕"/>
                <w:b w:val="0"/>
                <w:sz w:val="18"/>
              </w:rPr>
              <w:t>초기에는 내부 모의 가격과 KIS API 응답값이 섞이면서 삼성전자 같은 종목 가격이 이상해 보였다. 그래서 현재 표시되는 가격이 실제 API 값인지, 초기 더미 값인지 확인했고 시세 갱신 흐름을 정리했다.</w:t>
            </w:r>
          </w:p>
        </w:tc>
      </w:tr>
      <w:tr>
        <w:tc>
          <w:tcPr>
            <w:tcW w:type="dxa" w:w="3024"/>
            <w:shd w:fill="F6F9FD"/>
            <w:vAlign w:val="center"/>
          </w:tcPr>
          <w:p>
            <w:pPr>
              <w:spacing w:after="0"/>
            </w:pPr>
            <w:r/>
            <w:r>
              <w:rPr>
                <w:rFonts w:ascii="맑은 고딕" w:hAnsi="맑은 고딕" w:eastAsia="맑은 고딕"/>
                <w:b w:val="0"/>
                <w:sz w:val="18"/>
              </w:rPr>
              <w:t>전체 종목 처리 범위 결정</w:t>
            </w:r>
          </w:p>
        </w:tc>
        <w:tc>
          <w:tcPr>
            <w:tcW w:type="dxa" w:w="7344"/>
            <w:shd w:fill="F6F9FD"/>
            <w:vAlign w:val="center"/>
          </w:tcPr>
          <w:p>
            <w:pPr>
              <w:spacing w:after="0"/>
            </w:pPr>
            <w:r/>
            <w:r>
              <w:rPr>
                <w:rFonts w:ascii="맑은 고딕" w:hAnsi="맑은 고딕" w:eastAsia="맑은 고딕"/>
                <w:b w:val="0"/>
                <w:sz w:val="18"/>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tc>
          <w:tcPr>
            <w:tcW w:type="dxa" w:w="3024"/>
            <w:vAlign w:val="center"/>
          </w:tcPr>
          <w:p>
            <w:pPr>
              <w:spacing w:after="0"/>
            </w:pPr>
            <w:r/>
            <w:r>
              <w:rPr>
                <w:rFonts w:ascii="맑은 고딕" w:hAnsi="맑은 고딕" w:eastAsia="맑은 고딕"/>
                <w:b w:val="0"/>
                <w:sz w:val="18"/>
              </w:rPr>
              <w:t>UI 흐름 개선</w:t>
            </w:r>
          </w:p>
        </w:tc>
        <w:tc>
          <w:tcPr>
            <w:tcW w:type="dxa" w:w="7344"/>
            <w:vAlign w:val="center"/>
          </w:tcPr>
          <w:p>
            <w:pPr>
              <w:spacing w:after="0"/>
            </w:pPr>
            <w:r/>
            <w:r>
              <w:rPr>
                <w:rFonts w:ascii="맑은 고딕" w:hAnsi="맑은 고딕" w:eastAsia="맑은 고딕"/>
                <w:b w:val="0"/>
                <w:sz w:val="18"/>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tc>
          <w:tcPr>
            <w:tcW w:type="dxa" w:w="3024"/>
            <w:shd w:fill="F6F9FD"/>
            <w:vAlign w:val="center"/>
          </w:tcPr>
          <w:p>
            <w:pPr>
              <w:spacing w:after="0"/>
            </w:pPr>
            <w:r/>
            <w:r>
              <w:rPr>
                <w:rFonts w:ascii="맑은 고딕" w:hAnsi="맑은 고딕" w:eastAsia="맑은 고딕"/>
                <w:b w:val="0"/>
                <w:sz w:val="18"/>
              </w:rPr>
              <w:t>뉴스 기능 제거 판단</w:t>
            </w:r>
          </w:p>
        </w:tc>
        <w:tc>
          <w:tcPr>
            <w:tcW w:type="dxa" w:w="7344"/>
            <w:shd w:fill="F6F9FD"/>
            <w:vAlign w:val="center"/>
          </w:tcPr>
          <w:p>
            <w:pPr>
              <w:spacing w:after="0"/>
            </w:pPr>
            <w:r/>
            <w:r>
              <w:rPr>
                <w:rFonts w:ascii="맑은 고딕" w:hAnsi="맑은 고딕" w:eastAsia="맑은 고딕"/>
                <w:b w:val="0"/>
                <w:sz w:val="18"/>
              </w:rPr>
              <w:t>네이버 뉴스 API를 붙이는 시도도 했지만 종목마다 기사 품질 편차가 컸고, ETF나 레버리지 상품은 관련 기사 연결이 애매했다. API 키 관리 부담도 있어 최종 버전에서는 모의투자 목적에 맞는 기능만 남기기로 했다.</w:t>
            </w:r>
          </w:p>
        </w:tc>
      </w:tr>
      <w:tr>
        <w:tc>
          <w:tcPr>
            <w:tcW w:type="dxa" w:w="3024"/>
            <w:vAlign w:val="center"/>
          </w:tcPr>
          <w:p>
            <w:pPr>
              <w:spacing w:after="0"/>
            </w:pPr>
            <w:r/>
            <w:r>
              <w:rPr>
                <w:rFonts w:ascii="맑은 고딕" w:hAnsi="맑은 고딕" w:eastAsia="맑은 고딕"/>
                <w:b w:val="0"/>
                <w:sz w:val="18"/>
              </w:rPr>
              <w:t>DB 저장 전환</w:t>
            </w:r>
          </w:p>
        </w:tc>
        <w:tc>
          <w:tcPr>
            <w:tcW w:type="dxa" w:w="7344"/>
            <w:vAlign w:val="center"/>
          </w:tcPr>
          <w:p>
            <w:pPr>
              <w:spacing w:after="0"/>
            </w:pPr>
            <w:r/>
            <w:r>
              <w:rPr>
                <w:rFonts w:ascii="맑은 고딕" w:hAnsi="맑은 고딕" w:eastAsia="맑은 고딕"/>
                <w:b w:val="0"/>
                <w:sz w:val="18"/>
              </w:rPr>
              <w:t>메모리 기반 구조에서는 서버를 재시작하면 회원, 보유 주식, 거래 기록이 사라졌다. 이를 해결하기 위해 MySQL 테이블 구조를 설계하고 거래 기록과 보유 종목을 저장하는 방식으로 바꿨다.</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회원,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Files / Path</w:t>
            </w:r>
          </w:p>
        </w:tc>
        <w:tc>
          <w:tcPr>
            <w:tcW w:type="dxa" w:w="7200"/>
            <w:shd w:fill="F6F9FD"/>
            <w:vAlign w:val="center"/>
          </w:tcPr>
          <w:p>
            <w:pPr>
              <w:spacing w:after="0"/>
            </w:pPr>
            <w:r/>
            <w:r>
              <w:rPr>
                <w:rFonts w:ascii="맑은 고딕" w:hAnsi="맑은 고딕" w:eastAsia="맑은 고딕"/>
                <w:b w:val="0"/>
                <w:sz w:val="18"/>
              </w:rPr>
              <w:t>초기 설정, 스크립트, 문서 산출물 관리</w:t>
            </w:r>
          </w:p>
        </w:tc>
      </w:tr>
      <w:tr>
        <w:tc>
          <w:tcPr>
            <w:tcW w:type="dxa" w:w="3168"/>
            <w:vAlign w:val="center"/>
          </w:tcPr>
          <w:p>
            <w:pPr>
              <w:spacing w:after="0"/>
            </w:pPr>
            <w:r/>
            <w:r>
              <w:rPr>
                <w:rFonts w:ascii="맑은 고딕" w:hAnsi="맑은 고딕" w:eastAsia="맑은 고딕"/>
                <w:b w:val="0"/>
                <w:sz w:val="18"/>
              </w:rPr>
              <w:t>LocalDateTime</w:t>
            </w:r>
          </w:p>
        </w:tc>
        <w:tc>
          <w:tcPr>
            <w:tcW w:type="dxa" w:w="7200"/>
            <w:vAlign w:val="center"/>
          </w:tcPr>
          <w:p>
            <w:pPr>
              <w:spacing w:after="0"/>
            </w:pPr>
            <w:r/>
            <w:r>
              <w:rPr>
                <w:rFonts w:ascii="맑은 고딕" w:hAnsi="맑은 고딕" w:eastAsia="맑은 고딕"/>
                <w:b w:val="0"/>
                <w:sz w:val="18"/>
              </w:rPr>
              <w:t>거래 시간, 시세 갱신 시각 표시</w:t>
            </w:r>
          </w:p>
        </w:tc>
      </w:tr>
      <w:tr>
        <w:tc>
          <w:tcPr>
            <w:tcW w:type="dxa" w:w="3168"/>
            <w:shd w:fill="F6F9FD"/>
            <w:vAlign w:val="center"/>
          </w:tcPr>
          <w:p>
            <w:pPr>
              <w:spacing w:after="0"/>
            </w:pPr>
            <w:r/>
            <w:r>
              <w:rPr>
                <w:rFonts w:ascii="맑은 고딕" w:hAnsi="맑은 고딕" w:eastAsia="맑은 고딕"/>
                <w:b w:val="0"/>
                <w:sz w:val="18"/>
              </w:rPr>
              <w:t>AtomicLong / AtomicInteger</w:t>
            </w:r>
          </w:p>
        </w:tc>
        <w:tc>
          <w:tcPr>
            <w:tcW w:type="dxa" w:w="7200"/>
            <w:shd w:fill="F6F9FD"/>
            <w:vAlign w:val="center"/>
          </w:tcPr>
          <w:p>
            <w:pPr>
              <w:spacing w:after="0"/>
            </w:pPr>
            <w:r/>
            <w:r>
              <w:rPr>
                <w:rFonts w:ascii="맑은 고딕" w:hAnsi="맑은 고딕" w:eastAsia="맑은 고딕"/>
                <w:b w:val="0"/>
                <w:sz w:val="18"/>
              </w:rPr>
              <w:t>회원 번호, 로그 번호 등 식별자 생성</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우선 저장, 실패 시 data/local-database.tsv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name, balance)</w:t>
        <w:br/>
        <w:t>shares(member_uid, stock_name, quantity, purchase_price)</w:t>
        <w:br/>
        <w:t>trade_logs(id, member_uid, stock_name, quantity, price, trade_type, traded_at)</w:t>
      </w:r>
    </w:p>
    <w:p>
      <w:pPr>
        <w:pStyle w:val="Heading2"/>
      </w:pPr>
      <w:r>
        <w:t>8.2 주요 환경변수</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122033"/>
            <w:vAlign w:val="center"/>
          </w:tcPr>
          <w:p>
            <w:pPr>
              <w:spacing w:after="0"/>
            </w:pPr>
            <w:r/>
            <w:r>
              <w:rPr>
                <w:rFonts w:ascii="맑은 고딕" w:hAnsi="맑은 고딕" w:eastAsia="맑은 고딕"/>
                <w:b/>
                <w:color w:val="FFFFFF"/>
                <w:sz w:val="18"/>
              </w:rPr>
              <w:t>환경변수</w:t>
            </w:r>
          </w:p>
        </w:tc>
        <w:tc>
          <w:tcPr>
            <w:tcW w:type="dxa" w:w="3168"/>
            <w:shd w:fill="122033"/>
            <w:vAlign w:val="center"/>
          </w:tcPr>
          <w:p>
            <w:pPr>
              <w:spacing w:after="0"/>
            </w:pPr>
            <w:r/>
            <w:r>
              <w:rPr>
                <w:rFonts w:ascii="맑은 고딕" w:hAnsi="맑은 고딕" w:eastAsia="맑은 고딕"/>
                <w:b/>
                <w:color w:val="FFFFFF"/>
                <w:sz w:val="18"/>
              </w:rPr>
              <w:t>기본값</w:t>
            </w:r>
          </w:p>
        </w:tc>
        <w:tc>
          <w:tcPr>
            <w:tcW w:type="dxa" w:w="4320"/>
            <w:shd w:fill="122033"/>
            <w:vAlign w:val="center"/>
          </w:tcPr>
          <w:p>
            <w:pPr>
              <w:spacing w:after="0"/>
            </w:pPr>
            <w:r/>
            <w:r>
              <w:rPr>
                <w:rFonts w:ascii="맑은 고딕" w:hAnsi="맑은 고딕" w:eastAsia="맑은 고딕"/>
                <w:b/>
                <w:color w:val="FFFFFF"/>
                <w:sz w:val="18"/>
              </w:rPr>
              <w:t>역할</w:t>
            </w:r>
          </w:p>
        </w:tc>
      </w:tr>
      <w:tr>
        <w:tc>
          <w:tcPr>
            <w:tcW w:type="dxa" w:w="3168"/>
            <w:vAlign w:val="center"/>
          </w:tcPr>
          <w:p>
            <w:pPr>
              <w:spacing w:after="0"/>
            </w:pPr>
            <w:r/>
            <w:r>
              <w:rPr>
                <w:rFonts w:ascii="맑은 고딕" w:hAnsi="맑은 고딕" w:eastAsia="맑은 고딕"/>
                <w:b w:val="0"/>
                <w:sz w:val="18"/>
              </w:rPr>
              <w:t>KIS_APP_KEY</w:t>
            </w:r>
          </w:p>
        </w:tc>
        <w:tc>
          <w:tcPr>
            <w:tcW w:type="dxa" w:w="3168"/>
            <w:vAlign w:val="center"/>
          </w:tcPr>
          <w:p>
            <w:pPr>
              <w:spacing w:after="0"/>
            </w:pPr>
            <w:r/>
            <w:r>
              <w:rPr>
                <w:rFonts w:ascii="맑은 고딕" w:hAnsi="맑은 고딕" w:eastAsia="맑은 고딕"/>
                <w:b w:val="0"/>
                <w:sz w:val="18"/>
              </w:rPr>
              <w:t>없음</w:t>
            </w:r>
          </w:p>
        </w:tc>
        <w:tc>
          <w:tcPr>
            <w:tcW w:type="dxa" w:w="4320"/>
            <w:vAlign w:val="center"/>
          </w:tcPr>
          <w:p>
            <w:pPr>
              <w:spacing w:after="0"/>
            </w:pPr>
            <w:r/>
            <w:r>
              <w:rPr>
                <w:rFonts w:ascii="맑은 고딕" w:hAnsi="맑은 고딕" w:eastAsia="맑은 고딕"/>
                <w:b w:val="0"/>
                <w:sz w:val="18"/>
              </w:rPr>
              <w:t>KIS Open API 앱 키</w:t>
            </w:r>
          </w:p>
        </w:tc>
      </w:tr>
      <w:tr>
        <w:tc>
          <w:tcPr>
            <w:tcW w:type="dxa" w:w="3168"/>
            <w:shd w:fill="F6F9FD"/>
            <w:vAlign w:val="center"/>
          </w:tcPr>
          <w:p>
            <w:pPr>
              <w:spacing w:after="0"/>
            </w:pPr>
            <w:r/>
            <w:r>
              <w:rPr>
                <w:rFonts w:ascii="맑은 고딕" w:hAnsi="맑은 고딕" w:eastAsia="맑은 고딕"/>
                <w:b w:val="0"/>
                <w:sz w:val="18"/>
              </w:rPr>
              <w:t>KIS_APP_SECRET</w:t>
            </w:r>
          </w:p>
        </w:tc>
        <w:tc>
          <w:tcPr>
            <w:tcW w:type="dxa" w:w="3168"/>
            <w:shd w:fill="F6F9FD"/>
            <w:vAlign w:val="center"/>
          </w:tcPr>
          <w:p>
            <w:pPr>
              <w:spacing w:after="0"/>
            </w:pPr>
            <w:r/>
            <w:r>
              <w:rPr>
                <w:rFonts w:ascii="맑은 고딕" w:hAnsi="맑은 고딕" w:eastAsia="맑은 고딕"/>
                <w:b w:val="0"/>
                <w:sz w:val="18"/>
              </w:rPr>
              <w:t>없음</w:t>
            </w:r>
          </w:p>
        </w:tc>
        <w:tc>
          <w:tcPr>
            <w:tcW w:type="dxa" w:w="4320"/>
            <w:shd w:fill="F6F9FD"/>
            <w:vAlign w:val="center"/>
          </w:tcPr>
          <w:p>
            <w:pPr>
              <w:spacing w:after="0"/>
            </w:pPr>
            <w:r/>
            <w:r>
              <w:rPr>
                <w:rFonts w:ascii="맑은 고딕" w:hAnsi="맑은 고딕" w:eastAsia="맑은 고딕"/>
                <w:b w:val="0"/>
                <w:sz w:val="18"/>
              </w:rPr>
              <w:t>KIS Open API 앱 시크릿</w:t>
            </w:r>
          </w:p>
        </w:tc>
      </w:tr>
      <w:tr>
        <w:tc>
          <w:tcPr>
            <w:tcW w:type="dxa" w:w="3168"/>
            <w:vAlign w:val="center"/>
          </w:tcPr>
          <w:p>
            <w:pPr>
              <w:spacing w:after="0"/>
            </w:pPr>
            <w:r/>
            <w:r>
              <w:rPr>
                <w:rFonts w:ascii="맑은 고딕" w:hAnsi="맑은 고딕" w:eastAsia="맑은 고딕"/>
                <w:b w:val="0"/>
                <w:sz w:val="18"/>
              </w:rPr>
              <w:t>KIS_BASE_URL</w:t>
            </w:r>
          </w:p>
        </w:tc>
        <w:tc>
          <w:tcPr>
            <w:tcW w:type="dxa" w:w="3168"/>
            <w:vAlign w:val="center"/>
          </w:tcPr>
          <w:p>
            <w:pPr>
              <w:spacing w:after="0"/>
            </w:pPr>
            <w:r/>
            <w:r>
              <w:rPr>
                <w:rFonts w:ascii="맑은 고딕" w:hAnsi="맑은 고딕" w:eastAsia="맑은 고딕"/>
                <w:b w:val="0"/>
                <w:sz w:val="18"/>
              </w:rPr>
              <w:t>https://openapi.koreainvestment.com:9443</w:t>
            </w:r>
          </w:p>
        </w:tc>
        <w:tc>
          <w:tcPr>
            <w:tcW w:type="dxa" w:w="4320"/>
            <w:vAlign w:val="center"/>
          </w:tcPr>
          <w:p>
            <w:pPr>
              <w:spacing w:after="0"/>
            </w:pPr>
            <w:r/>
            <w:r>
              <w:rPr>
                <w:rFonts w:ascii="맑은 고딕" w:hAnsi="맑은 고딕" w:eastAsia="맑은 고딕"/>
                <w:b w:val="0"/>
                <w:sz w:val="18"/>
              </w:rPr>
              <w:t>KIS REST API 주소</w:t>
            </w:r>
          </w:p>
        </w:tc>
      </w:tr>
      <w:tr>
        <w:tc>
          <w:tcPr>
            <w:tcW w:type="dxa" w:w="3168"/>
            <w:shd w:fill="F6F9FD"/>
            <w:vAlign w:val="center"/>
          </w:tcPr>
          <w:p>
            <w:pPr>
              <w:spacing w:after="0"/>
            </w:pPr>
            <w:r/>
            <w:r>
              <w:rPr>
                <w:rFonts w:ascii="맑은 고딕" w:hAnsi="맑은 고딕" w:eastAsia="맑은 고딕"/>
                <w:b w:val="0"/>
                <w:sz w:val="18"/>
              </w:rPr>
              <w:t>KIS_MARKET_LIMIT</w:t>
            </w:r>
          </w:p>
        </w:tc>
        <w:tc>
          <w:tcPr>
            <w:tcW w:type="dxa" w:w="3168"/>
            <w:shd w:fill="F6F9FD"/>
            <w:vAlign w:val="center"/>
          </w:tcPr>
          <w:p>
            <w:pPr>
              <w:spacing w:after="0"/>
            </w:pPr>
            <w:r/>
            <w:r>
              <w:rPr>
                <w:rFonts w:ascii="맑은 고딕" w:hAnsi="맑은 고딕" w:eastAsia="맑은 고딕"/>
                <w:b w:val="0"/>
                <w:sz w:val="18"/>
              </w:rPr>
              <w:t>200</w:t>
            </w:r>
          </w:p>
        </w:tc>
        <w:tc>
          <w:tcPr>
            <w:tcW w:type="dxa" w:w="4320"/>
            <w:shd w:fill="F6F9FD"/>
            <w:vAlign w:val="center"/>
          </w:tcPr>
          <w:p>
            <w:pPr>
              <w:spacing w:after="0"/>
            </w:pPr>
            <w:r/>
            <w:r>
              <w:rPr>
                <w:rFonts w:ascii="맑은 고딕" w:hAnsi="맑은 고딕" w:eastAsia="맑은 고딕"/>
                <w:b w:val="0"/>
                <w:sz w:val="18"/>
              </w:rPr>
              <w:t>거래량 순위 조회 범위, 코드에서 100~300개로 제한</w:t>
            </w:r>
          </w:p>
        </w:tc>
      </w:tr>
      <w:tr>
        <w:tc>
          <w:tcPr>
            <w:tcW w:type="dxa" w:w="3168"/>
            <w:vAlign w:val="center"/>
          </w:tcPr>
          <w:p>
            <w:pPr>
              <w:spacing w:after="0"/>
            </w:pPr>
            <w:r/>
            <w:r>
              <w:rPr>
                <w:rFonts w:ascii="맑은 고딕" w:hAnsi="맑은 고딕" w:eastAsia="맑은 고딕"/>
                <w:b w:val="0"/>
                <w:sz w:val="18"/>
              </w:rPr>
              <w:t>KIS_POLL_LIMIT</w:t>
            </w:r>
          </w:p>
        </w:tc>
        <w:tc>
          <w:tcPr>
            <w:tcW w:type="dxa" w:w="3168"/>
            <w:vAlign w:val="center"/>
          </w:tcPr>
          <w:p>
            <w:pPr>
              <w:spacing w:after="0"/>
            </w:pPr>
            <w:r/>
            <w:r>
              <w:rPr>
                <w:rFonts w:ascii="맑은 고딕" w:hAnsi="맑은 고딕" w:eastAsia="맑은 고딕"/>
                <w:b w:val="0"/>
                <w:sz w:val="18"/>
              </w:rPr>
              <w:t>100</w:t>
            </w:r>
          </w:p>
        </w:tc>
        <w:tc>
          <w:tcPr>
            <w:tcW w:type="dxa" w:w="4320"/>
            <w:vAlign w:val="center"/>
          </w:tcPr>
          <w:p>
            <w:pPr>
              <w:spacing w:after="0"/>
            </w:pPr>
            <w:r/>
            <w:r>
              <w:rPr>
                <w:rFonts w:ascii="맑은 고딕" w:hAnsi="맑은 고딕" w:eastAsia="맑은 고딕"/>
                <w:b w:val="0"/>
                <w:sz w:val="18"/>
              </w:rPr>
              <w:t>REST 폴링 갱신 대상 수, KIS_MARKET_LIMIT 이하로 제한</w:t>
            </w:r>
          </w:p>
        </w:tc>
      </w:tr>
      <w:tr>
        <w:tc>
          <w:tcPr>
            <w:tcW w:type="dxa" w:w="3168"/>
            <w:shd w:fill="F6F9FD"/>
            <w:vAlign w:val="center"/>
          </w:tcPr>
          <w:p>
            <w:pPr>
              <w:spacing w:after="0"/>
            </w:pPr>
            <w:r/>
            <w:r>
              <w:rPr>
                <w:rFonts w:ascii="맑은 고딕" w:hAnsi="맑은 고딕" w:eastAsia="맑은 고딕"/>
                <w:b w:val="0"/>
                <w:sz w:val="18"/>
              </w:rPr>
              <w:t>KIS_USE_WEBSOCKET</w:t>
            </w:r>
          </w:p>
        </w:tc>
        <w:tc>
          <w:tcPr>
            <w:tcW w:type="dxa" w:w="3168"/>
            <w:shd w:fill="F6F9FD"/>
            <w:vAlign w:val="center"/>
          </w:tcPr>
          <w:p>
            <w:pPr>
              <w:spacing w:after="0"/>
            </w:pPr>
            <w:r/>
            <w:r>
              <w:rPr>
                <w:rFonts w:ascii="맑은 고딕" w:hAnsi="맑은 고딕" w:eastAsia="맑은 고딕"/>
                <w:b w:val="0"/>
                <w:sz w:val="18"/>
              </w:rPr>
              <w:t>false</w:t>
            </w:r>
          </w:p>
        </w:tc>
        <w:tc>
          <w:tcPr>
            <w:tcW w:type="dxa" w:w="4320"/>
            <w:shd w:fill="F6F9FD"/>
            <w:vAlign w:val="center"/>
          </w:tcPr>
          <w:p>
            <w:pPr>
              <w:spacing w:after="0"/>
            </w:pPr>
            <w:r/>
            <w:r>
              <w:rPr>
                <w:rFonts w:ascii="맑은 고딕" w:hAnsi="맑은 고딕" w:eastAsia="맑은 고딕"/>
                <w:b w:val="0"/>
                <w:sz w:val="18"/>
              </w:rPr>
              <w:t>true이면 KIS WebSocket 구독을 먼저 시도</w:t>
            </w:r>
          </w:p>
        </w:tc>
      </w:tr>
      <w:tr>
        <w:tc>
          <w:tcPr>
            <w:tcW w:type="dxa" w:w="3168"/>
            <w:vAlign w:val="center"/>
          </w:tcPr>
          <w:p>
            <w:pPr>
              <w:spacing w:after="0"/>
            </w:pPr>
            <w:r/>
            <w:r>
              <w:rPr>
                <w:rFonts w:ascii="맑은 고딕" w:hAnsi="맑은 고딕" w:eastAsia="맑은 고딕"/>
                <w:b w:val="0"/>
                <w:sz w:val="18"/>
              </w:rPr>
              <w:t>KIS_WS_URL</w:t>
            </w:r>
          </w:p>
        </w:tc>
        <w:tc>
          <w:tcPr>
            <w:tcW w:type="dxa" w:w="3168"/>
            <w:vAlign w:val="center"/>
          </w:tcPr>
          <w:p>
            <w:pPr>
              <w:spacing w:after="0"/>
            </w:pPr>
            <w:r/>
            <w:r>
              <w:rPr>
                <w:rFonts w:ascii="맑은 고딕" w:hAnsi="맑은 고딕" w:eastAsia="맑은 고딕"/>
                <w:b w:val="0"/>
                <w:sz w:val="18"/>
              </w:rPr>
              <w:t>ws://ops.koreainvestment.com:21000</w:t>
            </w:r>
          </w:p>
        </w:tc>
        <w:tc>
          <w:tcPr>
            <w:tcW w:type="dxa" w:w="4320"/>
            <w:vAlign w:val="center"/>
          </w:tcPr>
          <w:p>
            <w:pPr>
              <w:spacing w:after="0"/>
            </w:pPr>
            <w:r/>
            <w:r>
              <w:rPr>
                <w:rFonts w:ascii="맑은 고딕" w:hAnsi="맑은 고딕" w:eastAsia="맑은 고딕"/>
                <w:b w:val="0"/>
                <w:sz w:val="18"/>
              </w:rPr>
              <w:t>KIS WebSocket 주소</w:t>
            </w:r>
          </w:p>
        </w:tc>
      </w:tr>
      <w:tr>
        <w:tc>
          <w:tcPr>
            <w:tcW w:type="dxa" w:w="3168"/>
            <w:shd w:fill="F6F9FD"/>
            <w:vAlign w:val="center"/>
          </w:tcPr>
          <w:p>
            <w:pPr>
              <w:spacing w:after="0"/>
            </w:pPr>
            <w:r/>
            <w:r>
              <w:rPr>
                <w:rFonts w:ascii="맑은 고딕" w:hAnsi="맑은 고딕" w:eastAsia="맑은 고딕"/>
                <w:b w:val="0"/>
                <w:sz w:val="18"/>
              </w:rPr>
              <w:t>KIS_WS_MAX_SUBSCRIPTIONS</w:t>
            </w:r>
          </w:p>
        </w:tc>
        <w:tc>
          <w:tcPr>
            <w:tcW w:type="dxa" w:w="3168"/>
            <w:shd w:fill="F6F9FD"/>
            <w:vAlign w:val="center"/>
          </w:tcPr>
          <w:p>
            <w:pPr>
              <w:spacing w:after="0"/>
            </w:pPr>
            <w:r/>
            <w:r>
              <w:rPr>
                <w:rFonts w:ascii="맑은 고딕" w:hAnsi="맑은 고딕" w:eastAsia="맑은 고딕"/>
                <w:b w:val="0"/>
                <w:sz w:val="18"/>
              </w:rPr>
              <w:t>100</w:t>
            </w:r>
          </w:p>
        </w:tc>
        <w:tc>
          <w:tcPr>
            <w:tcW w:type="dxa" w:w="4320"/>
            <w:shd w:fill="F6F9FD"/>
            <w:vAlign w:val="center"/>
          </w:tcPr>
          <w:p>
            <w:pPr>
              <w:spacing w:after="0"/>
            </w:pPr>
            <w:r/>
            <w:r>
              <w:rPr>
                <w:rFonts w:ascii="맑은 고딕" w:hAnsi="맑은 고딕" w:eastAsia="맑은 고딕"/>
                <w:b w:val="0"/>
                <w:sz w:val="18"/>
              </w:rPr>
              <w:t>WebSocket 구독 대상 최대 수</w:t>
            </w:r>
          </w:p>
        </w:tc>
      </w:tr>
      <w:tr>
        <w:tc>
          <w:tcPr>
            <w:tcW w:type="dxa" w:w="3168"/>
            <w:vAlign w:val="center"/>
          </w:tcPr>
          <w:p>
            <w:pPr>
              <w:spacing w:after="0"/>
            </w:pPr>
            <w:r/>
            <w:r>
              <w:rPr>
                <w:rFonts w:ascii="맑은 고딕" w:hAnsi="맑은 고딕" w:eastAsia="맑은 고딕"/>
                <w:b w:val="0"/>
                <w:sz w:val="18"/>
              </w:rPr>
              <w:t>MYSQL_URL / MYSQL_USER / MYSQL_PASSWORD</w:t>
            </w:r>
          </w:p>
        </w:tc>
        <w:tc>
          <w:tcPr>
            <w:tcW w:type="dxa" w:w="3168"/>
            <w:vAlign w:val="center"/>
          </w:tcPr>
          <w:p>
            <w:pPr>
              <w:spacing w:after="0"/>
            </w:pPr>
            <w:r/>
            <w:r>
              <w:rPr>
                <w:rFonts w:ascii="맑은 고딕" w:hAnsi="맑은 고딕" w:eastAsia="맑은 고딕"/>
                <w:b w:val="0"/>
                <w:sz w:val="18"/>
              </w:rPr>
              <w:t>선택</w:t>
            </w:r>
          </w:p>
        </w:tc>
        <w:tc>
          <w:tcPr>
            <w:tcW w:type="dxa" w:w="4320"/>
            <w:vAlign w:val="center"/>
          </w:tcPr>
          <w:p>
            <w:pPr>
              <w:spacing w:after="0"/>
            </w:pPr>
            <w:r/>
            <w:r>
              <w:rPr>
                <w:rFonts w:ascii="맑은 고딕" w:hAnsi="맑은 고딕" w:eastAsia="맑은 고딕"/>
                <w:b w:val="0"/>
                <w:sz w:val="18"/>
              </w:rPr>
              <w:t>MySQL 연결 정보, 실패 시 로컬 파일 저장소로 전환</w:t>
            </w:r>
          </w:p>
        </w:tc>
      </w:tr>
    </w:tbl>
    <w:p/>
    <w:p>
      <w:pPr>
        <w:pStyle w:val="Heading1"/>
      </w:pPr>
      <w:r>
        <w:t>9. 소켓 서버 구조</w:t>
      </w:r>
    </w:p>
    <w:p>
      <w:pPr>
        <w:spacing w:after="120"/>
      </w:pPr>
      <w:r>
        <w:t>프로젝트에는 REST API만 사용하는 구조에서 한 단계 더 나아가기 위해 모의 증권사 소켓 서버 구조와 KIS WebSocket 구독 시도 구조를 추가했다. BrokerIntegration은 ServerSocket과 클라이언트 구독 명령을 이용해 특정 종목의 가격 Tick을 전달하는 구조다. KisWebSocketQuoteClient는 승인키 발급, 국내주식 체결 구독 메시지 전송, 체결 메시지 파싱, BrokerTick 변환 흐름을 갖는다.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KIS WebSocket 시작 또는 실행 중 오류가 발생하면 REST 폴링으로 자동 전환되도록 보완했다.</w:t>
      </w:r>
    </w:p>
    <w:p>
      <w:pPr>
        <w:pStyle w:val="ListBullet"/>
        <w:spacing w:after="60"/>
      </w:pPr>
      <w:r>
        <w:t>다만 실제 KIS 테스트베드에서 구독 성공 여부와 메시지 필드 순서는 별도 실계정/모의계정 환경에서 추가 검증이 필요하다.</w:t>
      </w:r>
    </w:p>
    <w:p>
      <w:pPr>
        <w:pStyle w:val="Heading2"/>
      </w:pPr>
      <w:r>
        <w:t>9.1 로그인 기능 제거 판단</w:t>
      </w:r>
    </w:p>
    <w:p>
      <w:pPr>
        <w:spacing w:after="120"/>
      </w:pPr>
      <w:r>
        <w:t>초기에는 회원가입과 로그인 기능을 넣었지만, 이 프로젝트는 실제 사용자에게 배포하는 서비스가 아니라 과제 발표용 모의투자 프로그램이다. 그래서 인증 기능보다 시세 조회, 종목 선택, 매수/매도, 손익 계산 흐름을 설명하는 것이 더 중요하다고 판단했다. 최종 버전에서는 서버가 MySQL에 저장된 모의 계좌 한 명을 사용하고, 사용자는 로그인 없이 바로 모의투자를 진행한다.</w:t>
      </w:r>
    </w:p>
    <w:p>
      <w:pPr>
        <w:pStyle w:val="ListBullet"/>
        <w:spacing w:after="60"/>
      </w:pPr>
      <w:r>
        <w:t>발표 시작 후 바로 시장 시세와 포트폴리오 화면을 보여줄 수 있다.</w:t>
      </w:r>
    </w:p>
    <w:p>
      <w:pPr>
        <w:pStyle w:val="ListBullet"/>
        <w:spacing w:after="60"/>
      </w:pPr>
      <w:r>
        <w:t>DB에는 모의 계좌의 현금, 보유 종목, 거래 기록만 저장한다.</w:t>
      </w:r>
    </w:p>
    <w:p>
      <w:pPr>
        <w:pStyle w:val="ListBullet"/>
        <w:spacing w:after="60"/>
      </w:pPr>
      <w:r>
        <w:t>회원 인증과 비밀번호 보안 설명보다 Java 서버, KIS API, MySQL 저장 흐름에 집중한다.</w:t>
      </w:r>
    </w:p>
    <w:p>
      <w:pPr>
        <w:pStyle w:val="ListBullet"/>
        <w:spacing w:after="60"/>
      </w:pPr>
      <w:r>
        <w:t>실제 배포 서비스로 확장한다면 그때 회원 인증, 세션, HTTPS를 추가하는 것이 적절하다.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모의 계좌</w:t>
            </w:r>
          </w:p>
        </w:tc>
        <w:tc>
          <w:tcPr>
            <w:tcW w:type="dxa" w:w="7632"/>
            <w:vAlign w:val="center"/>
          </w:tcPr>
          <w:p>
            <w:pPr>
              <w:spacing w:after="0"/>
            </w:pPr>
            <w:r/>
            <w:r>
              <w:rPr>
                <w:rFonts w:ascii="맑은 고딕" w:hAnsi="맑은 고딕" w:eastAsia="맑은 고딕"/>
                <w:b w:val="0"/>
                <w:sz w:val="18"/>
              </w:rPr>
              <w:t>로그인 없이 단일 모의 계좌 데이터로 바로 실행</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저장소에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16초 길이로 접속, 종목 선택,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0~5초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5~9초</w:t>
            </w:r>
          </w:p>
        </w:tc>
        <w:tc>
          <w:tcPr>
            <w:tcW w:type="dxa" w:w="3456"/>
            <w:shd w:fill="F6F9FD"/>
            <w:vAlign w:val="center"/>
          </w:tcPr>
          <w:p>
            <w:pPr>
              <w:spacing w:after="0"/>
            </w:pPr>
            <w:r/>
            <w:r>
              <w:rPr>
                <w:rFonts w:ascii="맑은 고딕" w:hAnsi="맑은 고딕" w:eastAsia="맑은 고딕"/>
                <w:b w:val="0"/>
                <w:sz w:val="18"/>
              </w:rPr>
              <w:t>종목 검색과 상세 화면</w:t>
            </w:r>
          </w:p>
        </w:tc>
        <w:tc>
          <w:tcPr>
            <w:tcW w:type="dxa" w:w="5184"/>
            <w:shd w:fill="F6F9FD"/>
            <w:vAlign w:val="center"/>
          </w:tcPr>
          <w:p>
            <w:pPr>
              <w:spacing w:after="0"/>
            </w:pPr>
            <w:r/>
            <w:r>
              <w:rPr>
                <w:rFonts w:ascii="맑은 고딕" w:hAnsi="맑은 고딕" w:eastAsia="맑은 고딕"/>
                <w:b w:val="0"/>
                <w:sz w:val="18"/>
              </w:rPr>
              <w:t>종목 클릭 중심의 매매 흐름</w:t>
            </w:r>
          </w:p>
        </w:tc>
      </w:tr>
      <w:tr>
        <w:tc>
          <w:tcPr>
            <w:tcW w:type="dxa" w:w="1728"/>
            <w:vAlign w:val="center"/>
          </w:tcPr>
          <w:p>
            <w:pPr>
              <w:spacing w:after="0"/>
            </w:pPr>
            <w:r/>
            <w:r>
              <w:rPr>
                <w:rFonts w:ascii="맑은 고딕" w:hAnsi="맑은 고딕" w:eastAsia="맑은 고딕"/>
                <w:b w:val="0"/>
                <w:sz w:val="18"/>
              </w:rPr>
              <w:t>9~12초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12~16초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모의 계좌의 보유주식과 거래기록은 MySQL 또는 로컬 파일 저장소에 저장한다. 사용자는 종목을 검색하거나 즐겨찾기하고, 상세 화면에서 가격 그래프를 확인한 뒤 매수/매도를 진행할 수 있다.</w:t>
      </w:r>
    </w:p>
    <w:p>
      <w:pPr>
        <w:spacing w:after="120"/>
      </w:pPr>
      <w:r>
        <w:t>향후 개선한다면 실제 KIS 테스트베드에서 WebSocket 구독 성공 여부를 확인하고, controller, service, repository, model 패키지로 소스 구조를 분리하는 작업이 우선이다. 현재는 과제 제출과 컴파일 검증을 쉽게 하기 위해 루트 디렉터리 중심 구조를 유지했다. 이후에는 테스트 코드 추가, 회원 인증이 필요한 배포 버전, 업종별 위험 등급 UI 표시, 개인화 관심종목 추천 같은 기능을 확장할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