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우선 저장 + TSV fallback</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 우선 저장과 TSV fallback을 통한 모의 계좌/보유/거래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2"/>
      </w:pPr>
      <w:r>
        <w:t>1.1 한눈에 보는 핵심 구현</w:t>
      </w:r>
    </w:p>
    <w:p>
      <w:pPr>
        <w:spacing w:after="120"/>
      </w:pPr>
      <w:r>
        <w:t>교수님이 프로젝트를 처음 볼 때 가장 먼저 이해해야 하는 부분은 사용자의 화면 조작이 Java 서버, 외부 시세 API, MySQL 저장소로 어떻게 이어지는지이다. 이 프로젝트는 프론트엔드 프레임워크 없이 Java 서버가 HTML/CSS/JavaScript 화면을 직접 내려주고, 브라우저는 필요한 순간 API를 호출해 상태를 다시 받아오는 구조다. 화면에서는 서버 동기화 사이에도 1초 단위 표시용 가격 틱을 만들어 그래프가 멈춰 보이지 않게 했다.</w:t>
      </w:r>
    </w:p>
    <w:tbl>
      <w:tblPr>
        <w:tblStyle w:val="TableGrid"/>
        <w:tblW w:type="auto" w:w="0"/>
        <w:jc w:val="center"/>
        <w:tblLook w:firstColumn="1" w:firstRow="1" w:lastColumn="0" w:lastRow="0" w:noHBand="0" w:noVBand="1" w:val="04A0"/>
      </w:tblPr>
      <w:tblGrid>
        <w:gridCol w:w="3264"/>
        <w:gridCol w:w="3264"/>
        <w:gridCol w:w="3264"/>
      </w:tblGrid>
      <w:tr>
        <w:tc>
          <w:tcPr>
            <w:tcW w:type="dxa" w:w="2016"/>
            <w:shd w:fill="122033"/>
            <w:vAlign w:val="center"/>
          </w:tcPr>
          <w:p>
            <w:pPr>
              <w:spacing w:after="0"/>
            </w:pPr>
            <w:r/>
            <w:r>
              <w:rPr>
                <w:rFonts w:ascii="맑은 고딕" w:hAnsi="맑은 고딕" w:eastAsia="맑은 고딕"/>
                <w:b/>
                <w:color w:val="FFFFFF"/>
                <w:sz w:val="18"/>
              </w:rPr>
              <w:t>구분</w:t>
            </w:r>
          </w:p>
        </w:tc>
        <w:tc>
          <w:tcPr>
            <w:tcW w:type="dxa" w:w="4464"/>
            <w:shd w:fill="122033"/>
            <w:vAlign w:val="center"/>
          </w:tcPr>
          <w:p>
            <w:pPr>
              <w:spacing w:after="0"/>
            </w:pPr>
            <w:r/>
            <w:r>
              <w:rPr>
                <w:rFonts w:ascii="맑은 고딕" w:hAnsi="맑은 고딕" w:eastAsia="맑은 고딕"/>
                <w:b/>
                <w:color w:val="FFFFFF"/>
                <w:sz w:val="18"/>
              </w:rPr>
              <w:t>구현 내용</w:t>
            </w:r>
          </w:p>
        </w:tc>
        <w:tc>
          <w:tcPr>
            <w:tcW w:type="dxa" w:w="4176"/>
            <w:shd w:fill="122033"/>
            <w:vAlign w:val="center"/>
          </w:tcPr>
          <w:p>
            <w:pPr>
              <w:spacing w:after="0"/>
            </w:pPr>
            <w:r/>
            <w:r>
              <w:rPr>
                <w:rFonts w:ascii="맑은 고딕" w:hAnsi="맑은 고딕" w:eastAsia="맑은 고딕"/>
                <w:b/>
                <w:color w:val="FFFFFF"/>
                <w:sz w:val="18"/>
              </w:rPr>
              <w:t>발표에서 강조할 점</w:t>
            </w:r>
          </w:p>
        </w:tc>
      </w:tr>
      <w:tr>
        <w:tc>
          <w:tcPr>
            <w:tcW w:type="dxa" w:w="2016"/>
            <w:vAlign w:val="center"/>
          </w:tcPr>
          <w:p>
            <w:pPr>
              <w:spacing w:after="0"/>
            </w:pPr>
            <w:r/>
            <w:r>
              <w:rPr>
                <w:rFonts w:ascii="맑은 고딕" w:hAnsi="맑은 고딕" w:eastAsia="맑은 고딕"/>
                <w:b w:val="0"/>
                <w:sz w:val="18"/>
              </w:rPr>
              <w:t>사용자 화면</w:t>
            </w:r>
          </w:p>
        </w:tc>
        <w:tc>
          <w:tcPr>
            <w:tcW w:type="dxa" w:w="4464"/>
            <w:vAlign w:val="center"/>
          </w:tcPr>
          <w:p>
            <w:pPr>
              <w:spacing w:after="0"/>
            </w:pPr>
            <w:r/>
            <w:r>
              <w:rPr>
                <w:rFonts w:ascii="맑은 고딕" w:hAnsi="맑은 고딕" w:eastAsia="맑은 고딕"/>
                <w:b w:val="0"/>
                <w:sz w:val="18"/>
              </w:rPr>
              <w:t>시장 시세, 검색, 즐겨찾기, 종목 상세, 매수/매도, 보유 탭</w:t>
            </w:r>
          </w:p>
        </w:tc>
        <w:tc>
          <w:tcPr>
            <w:tcW w:type="dxa" w:w="4176"/>
            <w:vAlign w:val="center"/>
          </w:tcPr>
          <w:p>
            <w:pPr>
              <w:spacing w:after="0"/>
            </w:pPr>
            <w:r/>
            <w:r>
              <w:rPr>
                <w:rFonts w:ascii="맑은 고딕" w:hAnsi="맑은 고딕" w:eastAsia="맑은 고딕"/>
                <w:b w:val="0"/>
                <w:sz w:val="18"/>
              </w:rPr>
              <w:t>사용자가 실제 투자 앱처럼 종목을 보고 판단한 뒤 주문한다.</w:t>
            </w:r>
          </w:p>
        </w:tc>
      </w:tr>
      <w:tr>
        <w:tc>
          <w:tcPr>
            <w:tcW w:type="dxa" w:w="2016"/>
            <w:shd w:fill="F6F9FD"/>
            <w:vAlign w:val="center"/>
          </w:tcPr>
          <w:p>
            <w:pPr>
              <w:spacing w:after="0"/>
            </w:pPr>
            <w:r/>
            <w:r>
              <w:rPr>
                <w:rFonts w:ascii="맑은 고딕" w:hAnsi="맑은 고딕" w:eastAsia="맑은 고딕"/>
                <w:b w:val="0"/>
                <w:sz w:val="18"/>
              </w:rPr>
              <w:t>외부 시세</w:t>
            </w:r>
          </w:p>
        </w:tc>
        <w:tc>
          <w:tcPr>
            <w:tcW w:type="dxa" w:w="4464"/>
            <w:shd w:fill="F6F9FD"/>
            <w:vAlign w:val="center"/>
          </w:tcPr>
          <w:p>
            <w:pPr>
              <w:spacing w:after="0"/>
            </w:pPr>
            <w:r/>
            <w:r>
              <w:rPr>
                <w:rFonts w:ascii="맑은 고딕" w:hAnsi="맑은 고딕" w:eastAsia="맑은 고딕"/>
                <w:b w:val="0"/>
                <w:sz w:val="18"/>
              </w:rPr>
              <w:t>KIS Open API 현재가와 거래량 조회</w:t>
            </w:r>
          </w:p>
        </w:tc>
        <w:tc>
          <w:tcPr>
            <w:tcW w:type="dxa" w:w="4176"/>
            <w:shd w:fill="F6F9FD"/>
            <w:vAlign w:val="center"/>
          </w:tcPr>
          <w:p>
            <w:pPr>
              <w:spacing w:after="0"/>
            </w:pPr>
            <w:r/>
            <w:r>
              <w:rPr>
                <w:rFonts w:ascii="맑은 고딕" w:hAnsi="맑은 고딕" w:eastAsia="맑은 고딕"/>
                <w:b w:val="0"/>
                <w:sz w:val="18"/>
              </w:rPr>
              <w:t>더미 데이터가 아니라 외부 시세 연동을 시도한 프로젝트다.</w:t>
            </w:r>
          </w:p>
        </w:tc>
      </w:tr>
      <w:tr>
        <w:tc>
          <w:tcPr>
            <w:tcW w:type="dxa" w:w="2016"/>
            <w:vAlign w:val="center"/>
          </w:tcPr>
          <w:p>
            <w:pPr>
              <w:spacing w:after="0"/>
            </w:pPr>
            <w:r/>
            <w:r>
              <w:rPr>
                <w:rFonts w:ascii="맑은 고딕" w:hAnsi="맑은 고딕" w:eastAsia="맑은 고딕"/>
                <w:b w:val="0"/>
                <w:sz w:val="18"/>
              </w:rPr>
              <w:t>서버 로직</w:t>
            </w:r>
          </w:p>
        </w:tc>
        <w:tc>
          <w:tcPr>
            <w:tcW w:type="dxa" w:w="4464"/>
            <w:vAlign w:val="center"/>
          </w:tcPr>
          <w:p>
            <w:pPr>
              <w:spacing w:after="0"/>
            </w:pPr>
            <w:r/>
            <w:r>
              <w:rPr>
                <w:rFonts w:ascii="맑은 고딕" w:hAnsi="맑은 고딕" w:eastAsia="맑은 고딕"/>
                <w:b w:val="0"/>
                <w:sz w:val="18"/>
              </w:rPr>
              <w:t>MiniHandler가 요청을 받고 MiniProject가 매매와 손익을 계산</w:t>
            </w:r>
          </w:p>
        </w:tc>
        <w:tc>
          <w:tcPr>
            <w:tcW w:type="dxa" w:w="4176"/>
            <w:vAlign w:val="center"/>
          </w:tcPr>
          <w:p>
            <w:pPr>
              <w:spacing w:after="0"/>
            </w:pPr>
            <w:r/>
            <w:r>
              <w:rPr>
                <w:rFonts w:ascii="맑은 고딕" w:hAnsi="맑은 고딕" w:eastAsia="맑은 고딕"/>
                <w:b w:val="0"/>
                <w:sz w:val="18"/>
              </w:rPr>
              <w:t>Java 표준 HttpServer 기반으로 직접 요청 흐름을 구현했다.</w:t>
            </w:r>
          </w:p>
        </w:tc>
      </w:tr>
      <w:tr>
        <w:tc>
          <w:tcPr>
            <w:tcW w:type="dxa" w:w="2016"/>
            <w:shd w:fill="F6F9FD"/>
            <w:vAlign w:val="center"/>
          </w:tcPr>
          <w:p>
            <w:pPr>
              <w:spacing w:after="0"/>
            </w:pPr>
            <w:r/>
            <w:r>
              <w:rPr>
                <w:rFonts w:ascii="맑은 고딕" w:hAnsi="맑은 고딕" w:eastAsia="맑은 고딕"/>
                <w:b w:val="0"/>
                <w:sz w:val="18"/>
              </w:rPr>
              <w:t>저장 구조</w:t>
            </w:r>
          </w:p>
        </w:tc>
        <w:tc>
          <w:tcPr>
            <w:tcW w:type="dxa" w:w="4464"/>
            <w:shd w:fill="F6F9FD"/>
            <w:vAlign w:val="center"/>
          </w:tcPr>
          <w:p>
            <w:pPr>
              <w:spacing w:after="0"/>
            </w:pPr>
            <w:r/>
            <w:r>
              <w:rPr>
                <w:rFonts w:ascii="맑은 고딕" w:hAnsi="맑은 고딕" w:eastAsia="맑은 고딕"/>
                <w:b w:val="0"/>
                <w:sz w:val="18"/>
              </w:rPr>
              <w:t>MySQL members, shares, trade_logs + TSV fallback</w:t>
            </w:r>
          </w:p>
        </w:tc>
        <w:tc>
          <w:tcPr>
            <w:tcW w:type="dxa" w:w="4176"/>
            <w:shd w:fill="F6F9FD"/>
            <w:vAlign w:val="center"/>
          </w:tcPr>
          <w:p>
            <w:pPr>
              <w:spacing w:after="0"/>
            </w:pPr>
            <w:r/>
            <w:r>
              <w:rPr>
                <w:rFonts w:ascii="맑은 고딕" w:hAnsi="맑은 고딕" w:eastAsia="맑은 고딕"/>
                <w:b w:val="0"/>
                <w:sz w:val="18"/>
              </w:rPr>
              <w:t>서버를 껐다 켜도 계좌와 거래 기록을 유지한다.</w:t>
            </w:r>
          </w:p>
        </w:tc>
      </w:tr>
      <w:tr>
        <w:tc>
          <w:tcPr>
            <w:tcW w:type="dxa" w:w="2016"/>
            <w:vAlign w:val="center"/>
          </w:tcPr>
          <w:p>
            <w:pPr>
              <w:spacing w:after="0"/>
            </w:pPr>
            <w:r/>
            <w:r>
              <w:rPr>
                <w:rFonts w:ascii="맑은 고딕" w:hAnsi="맑은 고딕" w:eastAsia="맑은 고딕"/>
                <w:b w:val="0"/>
                <w:sz w:val="18"/>
              </w:rPr>
              <w:t>실시간성</w:t>
            </w:r>
          </w:p>
        </w:tc>
        <w:tc>
          <w:tcPr>
            <w:tcW w:type="dxa" w:w="4464"/>
            <w:vAlign w:val="center"/>
          </w:tcPr>
          <w:p>
            <w:pPr>
              <w:spacing w:after="0"/>
            </w:pPr>
            <w:r/>
            <w:r>
              <w:rPr>
                <w:rFonts w:ascii="맑은 고딕" w:hAnsi="맑은 고딕" w:eastAsia="맑은 고딕"/>
                <w:b w:val="0"/>
                <w:sz w:val="18"/>
              </w:rPr>
              <w:t>Thread 기반 갱신과 WebSocket 구독 구조 실험</w:t>
            </w:r>
          </w:p>
        </w:tc>
        <w:tc>
          <w:tcPr>
            <w:tcW w:type="dxa" w:w="4176"/>
            <w:vAlign w:val="center"/>
          </w:tcPr>
          <w:p>
            <w:pPr>
              <w:spacing w:after="0"/>
            </w:pPr>
            <w:r/>
            <w:r>
              <w:rPr>
                <w:rFonts w:ascii="맑은 고딕" w:hAnsi="맑은 고딕" w:eastAsia="맑은 고딕"/>
                <w:b w:val="0"/>
                <w:sz w:val="18"/>
              </w:rPr>
              <w:t>개인 PC에서 가능한 범위 안에서 실시간성을 설계했다.</w:t>
            </w:r>
          </w:p>
        </w:tc>
      </w:tr>
    </w:tbl>
    <w:p/>
    <w:p>
      <w:pPr>
        <w:pStyle w:val="Heading1"/>
      </w:pPr>
      <w:r>
        <w:t>2. 제안발표 이후 주제 변화</w:t>
      </w:r>
    </w:p>
    <w:p>
      <w:pPr>
        <w:spacing w:after="120"/>
      </w:pPr>
      <w:r>
        <w:t>초기 제안 단계에서는 기본 Java 기능을 웹 화면으로 옮기고 계좌,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우선 저장 + TSV fallback</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우선 사용하고, MYSQL_URL과 MYSQL_USER가 없거나 MySQL 연결에 실패하면 LocalFileDatabase가 data/local-database.tsv에 저장하는 fallback 구조로 전환한다. MYSQL_PASSWORD는 로컬 계정 설정에 따라 빈 값일 수 있다.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app/MiniProjectApp.java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모의 계좌,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domain/Member.java, Stock.java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repository/MySqlDatabase.java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repository/LocalFileDatabase.java</w:t>
            </w:r>
          </w:p>
        </w:tc>
        <w:tc>
          <w:tcPr>
            <w:tcW w:type="dxa" w:w="7488"/>
            <w:shd w:fill="F6F9FD"/>
            <w:vAlign w:val="center"/>
          </w:tcPr>
          <w:p>
            <w:pPr>
              <w:spacing w:after="0"/>
            </w:pPr>
            <w:r/>
            <w:r>
              <w:rPr>
                <w:rFonts w:ascii="맑은 고딕" w:hAnsi="맑은 고딕" w:eastAsia="맑은 고딕"/>
                <w:b w:val="0"/>
                <w:sz w:val="18"/>
              </w:rPr>
              <w:t>MySQL 연결 실패 시 TSV 파일 저장/로드</w:t>
            </w:r>
          </w:p>
        </w:tc>
      </w:tr>
      <w:tr>
        <w:tc>
          <w:tcPr>
            <w:tcW w:type="dxa" w:w="3024"/>
            <w:vAlign w:val="center"/>
          </w:tcPr>
          <w:p>
            <w:pPr>
              <w:spacing w:after="0"/>
            </w:pPr>
            <w:r/>
            <w:r>
              <w:rPr>
                <w:rFonts w:ascii="맑은 고딕" w:hAnsi="맑은 고딕" w:eastAsia="맑은 고딕"/>
                <w:b w:val="0"/>
                <w:sz w:val="18"/>
              </w:rPr>
              <w:t>external/KisQuotePoller.java</w:t>
            </w:r>
          </w:p>
        </w:tc>
        <w:tc>
          <w:tcPr>
            <w:tcW w:type="dxa" w:w="7488"/>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shd w:fill="F6F9FD"/>
            <w:vAlign w:val="center"/>
          </w:tcPr>
          <w:p>
            <w:pPr>
              <w:spacing w:after="0"/>
            </w:pPr>
            <w:r/>
            <w:r>
              <w:rPr>
                <w:rFonts w:ascii="맑은 고딕" w:hAnsi="맑은 고딕" w:eastAsia="맑은 고딕"/>
                <w:b w:val="0"/>
                <w:sz w:val="18"/>
              </w:rPr>
              <w:t>domain/StockCategories.java</w:t>
            </w:r>
          </w:p>
        </w:tc>
        <w:tc>
          <w:tcPr>
            <w:tcW w:type="dxa" w:w="7488"/>
            <w:shd w:fill="F6F9FD"/>
            <w:vAlign w:val="center"/>
          </w:tcPr>
          <w:p>
            <w:pPr>
              <w:spacing w:after="0"/>
            </w:pPr>
            <w:r/>
            <w:r>
              <w:rPr>
                <w:rFonts w:ascii="맑은 고딕" w:hAnsi="맑은 고딕" w:eastAsia="맑은 고딕"/>
                <w:b w:val="0"/>
                <w:sz w:val="18"/>
              </w:rPr>
              <w:t>업종·테마별 위험 설명 타입</w:t>
            </w:r>
          </w:p>
        </w:tc>
      </w:tr>
      <w:tr>
        <w:tc>
          <w:tcPr>
            <w:tcW w:type="dxa" w:w="3024"/>
            <w:vAlign w:val="center"/>
          </w:tcPr>
          <w:p>
            <w:pPr>
              <w:spacing w:after="0"/>
            </w:pPr>
            <w:r/>
            <w:r>
              <w:rPr>
                <w:rFonts w:ascii="맑은 고딕" w:hAnsi="맑은 고딕" w:eastAsia="맑은 고딕"/>
                <w:b w:val="0"/>
                <w:sz w:val="18"/>
              </w:rPr>
              <w:t>external/MockBrokerServer.java</w:t>
            </w:r>
          </w:p>
        </w:tc>
        <w:tc>
          <w:tcPr>
            <w:tcW w:type="dxa" w:w="7488"/>
            <w:vAlign w:val="center"/>
          </w:tcPr>
          <w:p>
            <w:pPr>
              <w:spacing w:after="0"/>
            </w:pPr>
            <w:r/>
            <w:r>
              <w:rPr>
                <w:rFonts w:ascii="맑은 고딕" w:hAnsi="맑은 고딕" w:eastAsia="맑은 고딕"/>
                <w:b w:val="0"/>
                <w:sz w:val="18"/>
              </w:rPr>
              <w:t>소켓 기반 시세 구독 흐름 실험</w:t>
            </w:r>
          </w:p>
        </w:tc>
      </w:tr>
      <w:tr>
        <w:tc>
          <w:tcPr>
            <w:tcW w:type="dxa" w:w="3024"/>
            <w:shd w:fill="F6F9FD"/>
            <w:vAlign w:val="center"/>
          </w:tcPr>
          <w:p>
            <w:pPr>
              <w:spacing w:after="0"/>
            </w:pPr>
            <w:r/>
            <w:r>
              <w:rPr>
                <w:rFonts w:ascii="맑은 고딕" w:hAnsi="맑은 고딕" w:eastAsia="맑은 고딕"/>
                <w:b w:val="0"/>
                <w:sz w:val="18"/>
              </w:rPr>
              <w:t>view/MiniDashboardPage.java</w:t>
            </w:r>
          </w:p>
        </w:tc>
        <w:tc>
          <w:tcPr>
            <w:tcW w:type="dxa" w:w="7488"/>
            <w:shd w:fill="F6F9FD"/>
            <w:vAlign w:val="center"/>
          </w:tcPr>
          <w:p>
            <w:pPr>
              <w:spacing w:after="0"/>
            </w:pPr>
            <w:r/>
            <w:r>
              <w:rPr>
                <w:rFonts w:ascii="맑은 고딕" w:hAnsi="맑은 고딕" w:eastAsia="맑은 고딕"/>
                <w:b w:val="0"/>
                <w:sz w:val="18"/>
              </w:rPr>
              <w:t>HTML/CSS/JavaScript 화면 생성</w:t>
            </w:r>
          </w:p>
        </w:tc>
      </w:tr>
      <w:tr>
        <w:tc>
          <w:tcPr>
            <w:tcW w:type="dxa" w:w="3024"/>
            <w:vAlign w:val="center"/>
          </w:tcPr>
          <w:p>
            <w:pPr>
              <w:spacing w:after="0"/>
            </w:pPr>
            <w:r/>
            <w:r>
              <w:rPr>
                <w:rFonts w:ascii="맑은 고딕" w:hAnsi="맑은 고딕" w:eastAsia="맑은 고딕"/>
                <w:b w:val="0"/>
                <w:sz w:val="18"/>
              </w:rPr>
              <w:t>util/Json.java</w:t>
            </w:r>
          </w:p>
        </w:tc>
        <w:tc>
          <w:tcPr>
            <w:tcW w:type="dxa" w:w="7488"/>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src/main/java</w:t>
        <w:br/>
        <w:t xml:space="preserve"> ├─ app/MiniProjectApp</w:t>
        <w:br/>
        <w:t xml:space="preserve"> ├─ controller/MiniHandler ── service/MiniProject</w:t>
        <w:br/>
        <w:t xml:space="preserve"> │                            ├─ domain/Member, Stock, Share, TradeLog</w:t>
        <w:br/>
        <w:t xml:space="preserve"> │                            ├─ repository/MySqlDatabase</w:t>
        <w:br/>
        <w:t xml:space="preserve"> │                            └─ external/KisQuotePoller, MockBrokerServer</w:t>
        <w:br/>
        <w:t xml:space="preserve"> ├─ view/MiniDashboardPage</w:t>
        <w:br/>
        <w:t xml:space="preserve"> └─ util/Json</w:t>
      </w:r>
    </w:p>
    <w:p>
      <w:pPr>
        <w:pStyle w:val="Heading2"/>
      </w:pPr>
      <w:r>
        <w:t>3.2 클래스/라이브러리 구조 상세</w:t>
      </w:r>
    </w:p>
    <w:p>
      <w:pPr>
        <w:spacing w:after="120"/>
      </w:pPr>
      <w:r>
        <w:t>프로젝트는 src/main/java 아래에 app, controller, service, domain, repository, external, view, util 패키지로 분리했다. 발표에서는 아래 표를 기준으로 요청이 어떤 계층을 거쳐 처리되는지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app.MiniProjectApp, controller.MiniHandler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모의 계좌,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w:t>
            </w:r>
          </w:p>
        </w:tc>
        <w:tc>
          <w:tcPr>
            <w:tcW w:type="dxa" w:w="3312"/>
            <w:vAlign w:val="center"/>
          </w:tcPr>
          <w:p>
            <w:pPr>
              <w:spacing w:after="0"/>
            </w:pPr>
            <w:r/>
            <w:r>
              <w:rPr>
                <w:rFonts w:ascii="맑은 고딕" w:hAnsi="맑은 고딕" w:eastAsia="맑은 고딕"/>
                <w:b w:val="0"/>
                <w:sz w:val="18"/>
              </w:rPr>
              <w:t>MySQL 테이블 생성, 데이터 로드/저장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view.MiniDashboardPage, util.Json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src/main/java 패키지 구조로 옮겼기 때문에, 발표에서는 실제 파일 위치와 역할을 같이 설명할 수 있다. 다만 MiniProject가 아직 매매, 포트폴리오, 시장 상태를 함께 관리하므로 더 큰 프로젝트라면 service 계층을 더 세분화할 수 있다.</w:t>
      </w:r>
    </w:p>
    <w:p>
      <w:pPr>
        <w:pStyle w:val="Heading2"/>
      </w:pPr>
      <w:r>
        <w:t>3.3 주요 코드 흐름</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after="120"/>
      </w:pPr>
      <w:r>
        <w:t>예를 들어 사용자가 삼성전기 상세 화면에서 매수 버튼을 누르면 브라우저는 /api/stock/buy로 종목명과 수량을 보낸다. MiniHandler는 이 요청을 MiniProject.buyStock()으로 넘기고, MiniProject는 잔액과 수량을 확인한 뒤 보유 종목과 거래 기록을 갱신한다. 마지막으로 현재 선택된 저장소가 변경된 계좌, 보유 주식, 거래 기록을 저장한다. 기본은 MySQL이고, 연결 실패 시 LocalFileDatabase가 TSV 파일로 저장한다.</w:t>
      </w:r>
    </w:p>
    <w:tbl>
      <w:tblPr>
        <w:tblStyle w:val="TableGrid"/>
        <w:tblW w:type="auto" w:w="0"/>
        <w:jc w:val="center"/>
        <w:tblLook w:firstColumn="1" w:firstRow="1" w:lastColumn="0" w:lastRow="0" w:noHBand="0" w:noVBand="1" w:val="04A0"/>
      </w:tblPr>
      <w:tblGrid>
        <w:gridCol w:w="3264"/>
        <w:gridCol w:w="3264"/>
        <w:gridCol w:w="3264"/>
      </w:tblGrid>
      <w:tr>
        <w:tc>
          <w:tcPr>
            <w:tcW w:type="dxa" w:w="1008"/>
            <w:shd w:fill="122033"/>
            <w:vAlign w:val="center"/>
          </w:tcPr>
          <w:p>
            <w:pPr>
              <w:spacing w:after="0"/>
            </w:pPr>
            <w:r/>
            <w:r>
              <w:rPr>
                <w:rFonts w:ascii="맑은 고딕" w:hAnsi="맑은 고딕" w:eastAsia="맑은 고딕"/>
                <w:b/>
                <w:color w:val="FFFFFF"/>
                <w:sz w:val="18"/>
              </w:rPr>
              <w:t>순서</w:t>
            </w:r>
          </w:p>
        </w:tc>
        <w:tc>
          <w:tcPr>
            <w:tcW w:type="dxa" w:w="2592"/>
            <w:shd w:fill="122033"/>
            <w:vAlign w:val="center"/>
          </w:tcPr>
          <w:p>
            <w:pPr>
              <w:spacing w:after="0"/>
            </w:pPr>
            <w:r/>
            <w:r>
              <w:rPr>
                <w:rFonts w:ascii="맑은 고딕" w:hAnsi="맑은 고딕" w:eastAsia="맑은 고딕"/>
                <w:b/>
                <w:color w:val="FFFFFF"/>
                <w:sz w:val="18"/>
              </w:rPr>
              <w:t>처리 위치</w:t>
            </w:r>
          </w:p>
        </w:tc>
        <w:tc>
          <w:tcPr>
            <w:tcW w:type="dxa" w:w="6768"/>
            <w:shd w:fill="122033"/>
            <w:vAlign w:val="center"/>
          </w:tcPr>
          <w:p>
            <w:pPr>
              <w:spacing w:after="0"/>
            </w:pPr>
            <w:r/>
            <w:r>
              <w:rPr>
                <w:rFonts w:ascii="맑은 고딕" w:hAnsi="맑은 고딕" w:eastAsia="맑은 고딕"/>
                <w:b/>
                <w:color w:val="FFFFFF"/>
                <w:sz w:val="18"/>
              </w:rPr>
              <w:t>설명</w:t>
            </w:r>
          </w:p>
        </w:tc>
      </w:tr>
      <w:tr>
        <w:tc>
          <w:tcPr>
            <w:tcW w:type="dxa" w:w="1008"/>
            <w:vAlign w:val="center"/>
          </w:tcPr>
          <w:p>
            <w:pPr>
              <w:spacing w:after="0"/>
            </w:pPr>
            <w:r/>
            <w:r>
              <w:rPr>
                <w:rFonts w:ascii="맑은 고딕" w:hAnsi="맑은 고딕" w:eastAsia="맑은 고딕"/>
                <w:b w:val="0"/>
                <w:sz w:val="18"/>
              </w:rPr>
              <w:t>1</w:t>
            </w:r>
          </w:p>
        </w:tc>
        <w:tc>
          <w:tcPr>
            <w:tcW w:type="dxa" w:w="2592"/>
            <w:vAlign w:val="center"/>
          </w:tcPr>
          <w:p>
            <w:pPr>
              <w:spacing w:after="0"/>
            </w:pPr>
            <w:r/>
            <w:r>
              <w:rPr>
                <w:rFonts w:ascii="맑은 고딕" w:hAnsi="맑은 고딕" w:eastAsia="맑은 고딕"/>
                <w:b w:val="0"/>
                <w:sz w:val="18"/>
              </w:rPr>
              <w:t>브라우저</w:t>
            </w:r>
          </w:p>
        </w:tc>
        <w:tc>
          <w:tcPr>
            <w:tcW w:type="dxa" w:w="6768"/>
            <w:vAlign w:val="center"/>
          </w:tcPr>
          <w:p>
            <w:pPr>
              <w:spacing w:after="0"/>
            </w:pPr>
            <w:r/>
            <w:r>
              <w:rPr>
                <w:rFonts w:ascii="맑은 고딕" w:hAnsi="맑은 고딕" w:eastAsia="맑은 고딕"/>
                <w:b w:val="0"/>
                <w:sz w:val="18"/>
              </w:rPr>
              <w:t>종목 상세 화면에서 수량 입력 후 매수 버튼 클릭</w:t>
            </w:r>
          </w:p>
        </w:tc>
      </w:tr>
      <w:tr>
        <w:tc>
          <w:tcPr>
            <w:tcW w:type="dxa" w:w="1008"/>
            <w:shd w:fill="F6F9FD"/>
            <w:vAlign w:val="center"/>
          </w:tcPr>
          <w:p>
            <w:pPr>
              <w:spacing w:after="0"/>
            </w:pPr>
            <w:r/>
            <w:r>
              <w:rPr>
                <w:rFonts w:ascii="맑은 고딕" w:hAnsi="맑은 고딕" w:eastAsia="맑은 고딕"/>
                <w:b w:val="0"/>
                <w:sz w:val="18"/>
              </w:rPr>
              <w:t>2</w:t>
            </w:r>
          </w:p>
        </w:tc>
        <w:tc>
          <w:tcPr>
            <w:tcW w:type="dxa" w:w="2592"/>
            <w:shd w:fill="F6F9FD"/>
            <w:vAlign w:val="center"/>
          </w:tcPr>
          <w:p>
            <w:pPr>
              <w:spacing w:after="0"/>
            </w:pPr>
            <w:r/>
            <w:r>
              <w:rPr>
                <w:rFonts w:ascii="맑은 고딕" w:hAnsi="맑은 고딕" w:eastAsia="맑은 고딕"/>
                <w:b w:val="0"/>
                <w:sz w:val="18"/>
              </w:rPr>
              <w:t>MiniHandler</w:t>
            </w:r>
          </w:p>
        </w:tc>
        <w:tc>
          <w:tcPr>
            <w:tcW w:type="dxa" w:w="6768"/>
            <w:shd w:fill="F6F9FD"/>
            <w:vAlign w:val="center"/>
          </w:tcPr>
          <w:p>
            <w:pPr>
              <w:spacing w:after="0"/>
            </w:pPr>
            <w:r/>
            <w:r>
              <w:rPr>
                <w:rFonts w:ascii="맑은 고딕" w:hAnsi="맑은 고딕" w:eastAsia="맑은 고딕"/>
                <w:b w:val="0"/>
                <w:sz w:val="18"/>
              </w:rPr>
              <w:t>POST /api/stock/buy 요청 body를 읽고 MiniProject로 전달</w:t>
            </w:r>
          </w:p>
        </w:tc>
      </w:tr>
      <w:tr>
        <w:tc>
          <w:tcPr>
            <w:tcW w:type="dxa" w:w="1008"/>
            <w:vAlign w:val="center"/>
          </w:tcPr>
          <w:p>
            <w:pPr>
              <w:spacing w:after="0"/>
            </w:pPr>
            <w:r/>
            <w:r>
              <w:rPr>
                <w:rFonts w:ascii="맑은 고딕" w:hAnsi="맑은 고딕" w:eastAsia="맑은 고딕"/>
                <w:b w:val="0"/>
                <w:sz w:val="18"/>
              </w:rPr>
              <w:t>3</w:t>
            </w:r>
          </w:p>
        </w:tc>
        <w:tc>
          <w:tcPr>
            <w:tcW w:type="dxa" w:w="2592"/>
            <w:vAlign w:val="center"/>
          </w:tcPr>
          <w:p>
            <w:pPr>
              <w:spacing w:after="0"/>
            </w:pPr>
            <w:r/>
            <w:r>
              <w:rPr>
                <w:rFonts w:ascii="맑은 고딕" w:hAnsi="맑은 고딕" w:eastAsia="맑은 고딕"/>
                <w:b w:val="0"/>
                <w:sz w:val="18"/>
              </w:rPr>
              <w:t>MiniProject</w:t>
            </w:r>
          </w:p>
        </w:tc>
        <w:tc>
          <w:tcPr>
            <w:tcW w:type="dxa" w:w="6768"/>
            <w:vAlign w:val="center"/>
          </w:tcPr>
          <w:p>
            <w:pPr>
              <w:spacing w:after="0"/>
            </w:pPr>
            <w:r/>
            <w:r>
              <w:rPr>
                <w:rFonts w:ascii="맑은 고딕" w:hAnsi="맑은 고딕" w:eastAsia="맑은 고딕"/>
                <w:b w:val="0"/>
                <w:sz w:val="18"/>
              </w:rPr>
              <w:t>현재가 × 수량 계산, 잔액 부족 여부 확인, 보유 종목 갱신</w:t>
            </w:r>
          </w:p>
        </w:tc>
      </w:tr>
      <w:tr>
        <w:tc>
          <w:tcPr>
            <w:tcW w:type="dxa" w:w="1008"/>
            <w:shd w:fill="F6F9FD"/>
            <w:vAlign w:val="center"/>
          </w:tcPr>
          <w:p>
            <w:pPr>
              <w:spacing w:after="0"/>
            </w:pPr>
            <w:r/>
            <w:r>
              <w:rPr>
                <w:rFonts w:ascii="맑은 고딕" w:hAnsi="맑은 고딕" w:eastAsia="맑은 고딕"/>
                <w:b w:val="0"/>
                <w:sz w:val="18"/>
              </w:rPr>
              <w:t>4</w:t>
            </w:r>
          </w:p>
        </w:tc>
        <w:tc>
          <w:tcPr>
            <w:tcW w:type="dxa" w:w="2592"/>
            <w:shd w:fill="F6F9FD"/>
            <w:vAlign w:val="center"/>
          </w:tcPr>
          <w:p>
            <w:pPr>
              <w:spacing w:after="0"/>
            </w:pPr>
            <w:r/>
            <w:r>
              <w:rPr>
                <w:rFonts w:ascii="맑은 고딕" w:hAnsi="맑은 고딕" w:eastAsia="맑은 고딕"/>
                <w:b w:val="0"/>
                <w:sz w:val="18"/>
              </w:rPr>
              <w:t>ProjectDatabase</w:t>
            </w:r>
          </w:p>
        </w:tc>
        <w:tc>
          <w:tcPr>
            <w:tcW w:type="dxa" w:w="6768"/>
            <w:shd w:fill="F6F9FD"/>
            <w:vAlign w:val="center"/>
          </w:tcPr>
          <w:p>
            <w:pPr>
              <w:spacing w:after="0"/>
            </w:pPr>
            <w:r/>
            <w:r>
              <w:rPr>
                <w:rFonts w:ascii="맑은 고딕" w:hAnsi="맑은 고딕" w:eastAsia="맑은 고딕"/>
                <w:b w:val="0"/>
                <w:sz w:val="18"/>
              </w:rPr>
              <w:t>MySQL 또는 TSV 저장소에 members, shares, trade_logs 데이터 저장</w:t>
            </w:r>
          </w:p>
        </w:tc>
      </w:tr>
      <w:tr>
        <w:tc>
          <w:tcPr>
            <w:tcW w:type="dxa" w:w="1008"/>
            <w:vAlign w:val="center"/>
          </w:tcPr>
          <w:p>
            <w:pPr>
              <w:spacing w:after="0"/>
            </w:pPr>
            <w:r/>
            <w:r>
              <w:rPr>
                <w:rFonts w:ascii="맑은 고딕" w:hAnsi="맑은 고딕" w:eastAsia="맑은 고딕"/>
                <w:b w:val="0"/>
                <w:sz w:val="18"/>
              </w:rPr>
              <w:t>5</w:t>
            </w:r>
          </w:p>
        </w:tc>
        <w:tc>
          <w:tcPr>
            <w:tcW w:type="dxa" w:w="2592"/>
            <w:vAlign w:val="center"/>
          </w:tcPr>
          <w:p>
            <w:pPr>
              <w:spacing w:after="0"/>
            </w:pPr>
            <w:r/>
            <w:r>
              <w:rPr>
                <w:rFonts w:ascii="맑은 고딕" w:hAnsi="맑은 고딕" w:eastAsia="맑은 고딕"/>
                <w:b w:val="0"/>
                <w:sz w:val="18"/>
              </w:rPr>
              <w:t>브라우저</w:t>
            </w:r>
          </w:p>
        </w:tc>
        <w:tc>
          <w:tcPr>
            <w:tcW w:type="dxa" w:w="6768"/>
            <w:vAlign w:val="center"/>
          </w:tcPr>
          <w:p>
            <w:pPr>
              <w:spacing w:after="0"/>
            </w:pPr>
            <w:r/>
            <w:r>
              <w:rPr>
                <w:rFonts w:ascii="맑은 고딕" w:hAnsi="맑은 고딕" w:eastAsia="맑은 고딕"/>
                <w:b w:val="0"/>
                <w:sz w:val="18"/>
              </w:rPr>
              <w:t>GET /api/state로 최신 현금, 평가금액, 손익률 다시 표시</w:t>
            </w:r>
          </w:p>
        </w:tc>
      </w:tr>
    </w:tbl>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external/KisQuotePoller.java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repository/MySqlDatabase.java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모의 계좌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모의 계좌 정보, 보유 주식, 거래 기록을 MySQL 우선 + TSV fallback으로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1초 단위 표시용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ListBullet"/>
        <w:spacing w:after="60"/>
      </w:pPr>
      <w:r>
        <w:t>최종 UI: 실제 증권 웹앱을 참고한 흰 배경, 표 중심, 상승 초록/하락 빨강 색상 체계</w:t>
      </w:r>
    </w:p>
    <w:p>
      <w:pPr>
        <w:pStyle w:val="ListBullet"/>
        <w:spacing w:after="60"/>
      </w:pPr>
      <w:r>
        <w:t>입력 보호: 매수/매도 수량 입력 중에는 주문 영역과 보유 테이블을 다시 그리지 않아 입력값이 끊기지 않음</w:t>
      </w:r>
    </w:p>
    <w:p>
      <w:pPr>
        <w:jc w:val="center"/>
      </w:pPr>
      <w:r>
        <w:drawing>
          <wp:inline xmlns:a="http://schemas.openxmlformats.org/drawingml/2006/main" xmlns:pic="http://schemas.openxmlformats.org/drawingml/2006/picture">
            <wp:extent cx="3108960" cy="5077180"/>
            <wp:docPr id="1" name="Picture 1"/>
            <wp:cNvGraphicFramePr>
              <a:graphicFrameLocks noChangeAspect="1"/>
            </wp:cNvGraphicFramePr>
            <a:graphic>
              <a:graphicData uri="http://schemas.openxmlformats.org/drawingml/2006/picture">
                <pic:pic>
                  <pic:nvPicPr>
                    <pic:cNvPr id="0" name="ui-crop-01-market.png"/>
                    <pic:cNvPicPr/>
                  </pic:nvPicPr>
                  <pic:blipFill>
                    <a:blip r:embed="rId9"/>
                    <a:stretch>
                      <a:fillRect/>
                    </a:stretch>
                  </pic:blipFill>
                  <pic:spPr>
                    <a:xfrm>
                      <a:off x="0" y="0"/>
                      <a:ext cx="3108960" cy="5077180"/>
                    </a:xfrm>
                    <a:prstGeom prst="rect"/>
                  </pic:spPr>
                </pic:pic>
              </a:graphicData>
            </a:graphic>
          </wp:inline>
        </w:drawing>
      </w:r>
    </w:p>
    <w:p>
      <w:pPr>
        <w:jc w:val="center"/>
      </w:pPr>
      <w:r>
        <w:rPr>
          <w:color w:val="667085"/>
          <w:sz w:val="17"/>
        </w:rPr>
        <w:t>화면 1. 시장 시세: 거래량 상위 종목, 검색창, 즐겨찾기, 페이지 이동</w:t>
      </w:r>
    </w:p>
    <w:p>
      <w:pPr>
        <w:jc w:val="center"/>
      </w:pPr>
      <w:r>
        <w:drawing>
          <wp:inline xmlns:a="http://schemas.openxmlformats.org/drawingml/2006/main" xmlns:pic="http://schemas.openxmlformats.org/drawingml/2006/picture">
            <wp:extent cx="5852160" cy="3978279"/>
            <wp:docPr id="2" name="Picture 2"/>
            <wp:cNvGraphicFramePr>
              <a:graphicFrameLocks noChangeAspect="1"/>
            </wp:cNvGraphicFramePr>
            <a:graphic>
              <a:graphicData uri="http://schemas.openxmlformats.org/drawingml/2006/picture">
                <pic:pic>
                  <pic:nvPicPr>
                    <pic:cNvPr id="0" name="ui-crop-02-detail-order.png"/>
                    <pic:cNvPicPr/>
                  </pic:nvPicPr>
                  <pic:blipFill>
                    <a:blip r:embed="rId10"/>
                    <a:stretch>
                      <a:fillRect/>
                    </a:stretch>
                  </pic:blipFill>
                  <pic:spPr>
                    <a:xfrm>
                      <a:off x="0" y="0"/>
                      <a:ext cx="5852160" cy="3978279"/>
                    </a:xfrm>
                    <a:prstGeom prst="rect"/>
                  </pic:spPr>
                </pic:pic>
              </a:graphicData>
            </a:graphic>
          </wp:inline>
        </w:drawing>
      </w:r>
    </w:p>
    <w:p>
      <w:pPr>
        <w:jc w:val="center"/>
      </w:pPr>
      <w:r>
        <w:rPr>
          <w:color w:val="667085"/>
          <w:sz w:val="17"/>
        </w:rPr>
        <w:t>화면 2. 종목 상세: 현재가, 등락률, 거래량, 회사 설명, 매수/매도 입력</w:t>
      </w:r>
    </w:p>
    <w:p>
      <w:pPr>
        <w:jc w:val="center"/>
      </w:pPr>
      <w:r>
        <w:drawing>
          <wp:inline xmlns:a="http://schemas.openxmlformats.org/drawingml/2006/main" xmlns:pic="http://schemas.openxmlformats.org/drawingml/2006/picture">
            <wp:extent cx="5852160" cy="664918"/>
            <wp:docPr id="3" name="Picture 3"/>
            <wp:cNvGraphicFramePr>
              <a:graphicFrameLocks noChangeAspect="1"/>
            </wp:cNvGraphicFramePr>
            <a:graphic>
              <a:graphicData uri="http://schemas.openxmlformats.org/drawingml/2006/picture">
                <pic:pic>
                  <pic:nvPicPr>
                    <pic:cNvPr id="0" name="ui-crop-03-portfolio.png"/>
                    <pic:cNvPicPr/>
                  </pic:nvPicPr>
                  <pic:blipFill>
                    <a:blip r:embed="rId11"/>
                    <a:stretch>
                      <a:fillRect/>
                    </a:stretch>
                  </pic:blipFill>
                  <pic:spPr>
                    <a:xfrm>
                      <a:off x="0" y="0"/>
                      <a:ext cx="5852160" cy="664918"/>
                    </a:xfrm>
                    <a:prstGeom prst="rect"/>
                  </pic:spPr>
                </pic:pic>
              </a:graphicData>
            </a:graphic>
          </wp:inline>
        </w:drawing>
      </w:r>
    </w:p>
    <w:p>
      <w:pPr>
        <w:jc w:val="center"/>
      </w:pPr>
      <w:r>
        <w:rPr>
          <w:color w:val="667085"/>
          <w:sz w:val="17"/>
        </w:rPr>
        <w:t>화면 3. 보유 탭: 보유 수량, 평가금액, 손익, 수익률, 매도 입력</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KIS REST API가 켜져 있어도 일부 호출 실패 뒤 내장 모의 시세가 같이 실행되어 가격을 덮는 문제가 있었다. 이후 KIS 설정이 있으면 모의 시세로 전환하지 않게 하고, KIS 출처가 찍힌 종목은 모의 Tick이 덮어쓰지 못하게 수정했다.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실시간 그래프 개선</w:t>
            </w:r>
          </w:p>
        </w:tc>
        <w:tc>
          <w:tcPr>
            <w:tcW w:type="dxa" w:w="7344"/>
            <w:shd w:fill="F6F9FD"/>
            <w:vAlign w:val="center"/>
          </w:tcPr>
          <w:p>
            <w:pPr>
              <w:spacing w:after="0"/>
            </w:pPr>
            <w:r/>
            <w:r>
              <w:rPr>
                <w:rFonts w:ascii="맑은 고딕" w:hAnsi="맑은 고딕" w:eastAsia="맑은 고딕"/>
                <w:b w:val="0"/>
                <w:sz w:val="18"/>
              </w:rPr>
              <w:t>서버 상태를 1초마다 통째로 다시 그리면 매수/매도 입력이 불편했다. 서버 동기화는 4초 주기로 낮추고, 브라우저에서 1초 표시용 가격 틱을 만들어 그래프만 부드럽게 움직이도록 바꿨다.</w:t>
            </w:r>
          </w:p>
        </w:tc>
      </w:tr>
      <w:tr>
        <w:tc>
          <w:tcPr>
            <w:tcW w:type="dxa" w:w="3024"/>
            <w:vAlign w:val="center"/>
          </w:tcPr>
          <w:p>
            <w:pPr>
              <w:spacing w:after="0"/>
            </w:pPr>
            <w:r/>
            <w:r>
              <w:rPr>
                <w:rFonts w:ascii="맑은 고딕" w:hAnsi="맑은 고딕" w:eastAsia="맑은 고딕"/>
                <w:b w:val="0"/>
                <w:sz w:val="18"/>
              </w:rPr>
              <w:t>뉴스 기능 제거 판단</w:t>
            </w:r>
          </w:p>
        </w:tc>
        <w:tc>
          <w:tcPr>
            <w:tcW w:type="dxa" w:w="7344"/>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shd w:fill="F6F9FD"/>
            <w:vAlign w:val="center"/>
          </w:tcPr>
          <w:p>
            <w:pPr>
              <w:spacing w:after="0"/>
            </w:pPr>
            <w:r/>
            <w:r>
              <w:rPr>
                <w:rFonts w:ascii="맑은 고딕" w:hAnsi="맑은 고딕" w:eastAsia="맑은 고딕"/>
                <w:b w:val="0"/>
                <w:sz w:val="18"/>
              </w:rPr>
              <w:t>DB 저장 전환</w:t>
            </w:r>
          </w:p>
        </w:tc>
        <w:tc>
          <w:tcPr>
            <w:tcW w:type="dxa" w:w="7344"/>
            <w:shd w:fill="F6F9FD"/>
            <w:vAlign w:val="center"/>
          </w:tcPr>
          <w:p>
            <w:pPr>
              <w:spacing w:after="0"/>
            </w:pPr>
            <w:r/>
            <w:r>
              <w:rPr>
                <w:rFonts w:ascii="맑은 고딕" w:hAnsi="맑은 고딕" w:eastAsia="맑은 고딕"/>
                <w:b w:val="0"/>
                <w:sz w:val="18"/>
              </w:rPr>
              <w:t>메모리 기반 구조에서는 서버를 재시작하면 모의 계좌,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모의 계좌,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LocalDateTime</w:t>
            </w:r>
          </w:p>
        </w:tc>
        <w:tc>
          <w:tcPr>
            <w:tcW w:type="dxa" w:w="7200"/>
            <w:shd w:fill="F6F9FD"/>
            <w:vAlign w:val="center"/>
          </w:tcPr>
          <w:p>
            <w:pPr>
              <w:spacing w:after="0"/>
            </w:pPr>
            <w:r/>
            <w:r>
              <w:rPr>
                <w:rFonts w:ascii="맑은 고딕" w:hAnsi="맑은 고딕" w:eastAsia="맑은 고딕"/>
                <w:b w:val="0"/>
                <w:sz w:val="18"/>
              </w:rPr>
              <w:t>거래 시간, 시세 갱신 시각 표시</w:t>
            </w:r>
          </w:p>
        </w:tc>
      </w:tr>
      <w:tr>
        <w:tc>
          <w:tcPr>
            <w:tcW w:type="dxa" w:w="3168"/>
            <w:vAlign w:val="center"/>
          </w:tcPr>
          <w:p>
            <w:pPr>
              <w:spacing w:after="0"/>
            </w:pPr>
            <w:r/>
            <w:r>
              <w:rPr>
                <w:rFonts w:ascii="맑은 고딕" w:hAnsi="맑은 고딕" w:eastAsia="맑은 고딕"/>
                <w:b w:val="0"/>
                <w:sz w:val="18"/>
              </w:rPr>
              <w:t>AtomicLong</w:t>
            </w:r>
          </w:p>
        </w:tc>
        <w:tc>
          <w:tcPr>
            <w:tcW w:type="dxa" w:w="7200"/>
            <w:vAlign w:val="center"/>
          </w:tcPr>
          <w:p>
            <w:pPr>
              <w:spacing w:after="0"/>
            </w:pPr>
            <w:r/>
            <w:r>
              <w:rPr>
                <w:rFonts w:ascii="맑은 고딕" w:hAnsi="맑은 고딕" w:eastAsia="맑은 고딕"/>
                <w:b w:val="0"/>
                <w:sz w:val="18"/>
              </w:rPr>
              <w:t>모의 계좌 번호와 시세 Tick 카운트 관리</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KIS 동기화와 브라우저 1초 표시용 가격 틱 사용</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우선 저장, 연결 실패 시 TSV 파일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히스토리에 화면 표시용 1초 틱을 더해 변화가 보이게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spacing w:after="120"/>
      </w:pPr>
      <w:r>
        <w:t>members는 모의 계좌의 현금 잔액을 보관한다. shares는 종목별 보유 수량과 총 매입금액을 저장한다. 평균단가를 별도 컬럼으로 저장하지 않은 이유는 quantity와 purchase_price가 있으면 평균단가를 purchase_price / quantity로 계산할 수 있기 때문이다. trade_logs는 매수와 매도 기록을 시간순으로 남겨 나중에 거래 내역과 수익률 분석을 확장할 수 있게 한다.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테이블</w:t>
            </w:r>
          </w:p>
        </w:tc>
        <w:tc>
          <w:tcPr>
            <w:tcW w:type="dxa" w:w="4320"/>
            <w:shd w:fill="122033"/>
            <w:vAlign w:val="center"/>
          </w:tcPr>
          <w:p>
            <w:pPr>
              <w:spacing w:after="0"/>
            </w:pPr>
            <w:r/>
            <w:r>
              <w:rPr>
                <w:rFonts w:ascii="맑은 고딕" w:hAnsi="맑은 고딕" w:eastAsia="맑은 고딕"/>
                <w:b/>
                <w:color w:val="FFFFFF"/>
                <w:sz w:val="18"/>
              </w:rPr>
              <w:t>핵심 컬럼</w:t>
            </w:r>
          </w:p>
        </w:tc>
        <w:tc>
          <w:tcPr>
            <w:tcW w:type="dxa" w:w="4320"/>
            <w:shd w:fill="122033"/>
            <w:vAlign w:val="center"/>
          </w:tcPr>
          <w:p>
            <w:pPr>
              <w:spacing w:after="0"/>
            </w:pPr>
            <w:r/>
            <w:r>
              <w:rPr>
                <w:rFonts w:ascii="맑은 고딕" w:hAnsi="맑은 고딕" w:eastAsia="맑은 고딕"/>
                <w:b/>
                <w:color w:val="FFFFFF"/>
                <w:sz w:val="18"/>
              </w:rPr>
              <w:t>설계 이유</w:t>
            </w:r>
          </w:p>
        </w:tc>
      </w:tr>
      <w:tr>
        <w:tc>
          <w:tcPr>
            <w:tcW w:type="dxa" w:w="1872"/>
            <w:vAlign w:val="center"/>
          </w:tcPr>
          <w:p>
            <w:pPr>
              <w:spacing w:after="0"/>
            </w:pPr>
            <w:r/>
            <w:r>
              <w:rPr>
                <w:rFonts w:ascii="맑은 고딕" w:hAnsi="맑은 고딕" w:eastAsia="맑은 고딕"/>
                <w:b w:val="0"/>
                <w:sz w:val="18"/>
              </w:rPr>
              <w:t>members</w:t>
            </w:r>
          </w:p>
        </w:tc>
        <w:tc>
          <w:tcPr>
            <w:tcW w:type="dxa" w:w="4320"/>
            <w:vAlign w:val="center"/>
          </w:tcPr>
          <w:p>
            <w:pPr>
              <w:spacing w:after="0"/>
            </w:pPr>
            <w:r/>
            <w:r>
              <w:rPr>
                <w:rFonts w:ascii="맑은 고딕" w:hAnsi="맑은 고딕" w:eastAsia="맑은 고딕"/>
                <w:b w:val="0"/>
                <w:sz w:val="18"/>
              </w:rPr>
              <w:t>uid, name, balance</w:t>
            </w:r>
          </w:p>
        </w:tc>
        <w:tc>
          <w:tcPr>
            <w:tcW w:type="dxa" w:w="4320"/>
            <w:vAlign w:val="center"/>
          </w:tcPr>
          <w:p>
            <w:pPr>
              <w:spacing w:after="0"/>
            </w:pPr>
            <w:r/>
            <w:r>
              <w:rPr>
                <w:rFonts w:ascii="맑은 고딕" w:hAnsi="맑은 고딕" w:eastAsia="맑은 고딕"/>
                <w:b w:val="0"/>
                <w:sz w:val="18"/>
              </w:rPr>
              <w:t>단일 모의 계좌의 식별값과 현금 잔액을 유지</w:t>
            </w:r>
          </w:p>
        </w:tc>
      </w:tr>
      <w:tr>
        <w:tc>
          <w:tcPr>
            <w:tcW w:type="dxa" w:w="1872"/>
            <w:shd w:fill="F6F9FD"/>
            <w:vAlign w:val="center"/>
          </w:tcPr>
          <w:p>
            <w:pPr>
              <w:spacing w:after="0"/>
            </w:pPr>
            <w:r/>
            <w:r>
              <w:rPr>
                <w:rFonts w:ascii="맑은 고딕" w:hAnsi="맑은 고딕" w:eastAsia="맑은 고딕"/>
                <w:b w:val="0"/>
                <w:sz w:val="18"/>
              </w:rPr>
              <w:t>shares</w:t>
            </w:r>
          </w:p>
        </w:tc>
        <w:tc>
          <w:tcPr>
            <w:tcW w:type="dxa" w:w="4320"/>
            <w:shd w:fill="F6F9FD"/>
            <w:vAlign w:val="center"/>
          </w:tcPr>
          <w:p>
            <w:pPr>
              <w:spacing w:after="0"/>
            </w:pPr>
            <w:r/>
            <w:r>
              <w:rPr>
                <w:rFonts w:ascii="맑은 고딕" w:hAnsi="맑은 고딕" w:eastAsia="맑은 고딕"/>
                <w:b w:val="0"/>
                <w:sz w:val="18"/>
              </w:rPr>
              <w:t>member_uid, stock_name, quantity, purchase_price</w:t>
            </w:r>
          </w:p>
        </w:tc>
        <w:tc>
          <w:tcPr>
            <w:tcW w:type="dxa" w:w="4320"/>
            <w:shd w:fill="F6F9FD"/>
            <w:vAlign w:val="center"/>
          </w:tcPr>
          <w:p>
            <w:pPr>
              <w:spacing w:after="0"/>
            </w:pPr>
            <w:r/>
            <w:r>
              <w:rPr>
                <w:rFonts w:ascii="맑은 고딕" w:hAnsi="맑은 고딕" w:eastAsia="맑은 고딕"/>
                <w:b w:val="0"/>
                <w:sz w:val="18"/>
              </w:rPr>
              <w:t>보유 수량과 총 매입금액을 저장해 평가금액과 평균단가 계산</w:t>
            </w:r>
          </w:p>
        </w:tc>
      </w:tr>
      <w:tr>
        <w:tc>
          <w:tcPr>
            <w:tcW w:type="dxa" w:w="1872"/>
            <w:vAlign w:val="center"/>
          </w:tcPr>
          <w:p>
            <w:pPr>
              <w:spacing w:after="0"/>
            </w:pPr>
            <w:r/>
            <w:r>
              <w:rPr>
                <w:rFonts w:ascii="맑은 고딕" w:hAnsi="맑은 고딕" w:eastAsia="맑은 고딕"/>
                <w:b w:val="0"/>
                <w:sz w:val="18"/>
              </w:rPr>
              <w:t>trade_logs</w:t>
            </w:r>
          </w:p>
        </w:tc>
        <w:tc>
          <w:tcPr>
            <w:tcW w:type="dxa" w:w="4320"/>
            <w:vAlign w:val="center"/>
          </w:tcPr>
          <w:p>
            <w:pPr>
              <w:spacing w:after="0"/>
            </w:pPr>
            <w:r/>
            <w:r>
              <w:rPr>
                <w:rFonts w:ascii="맑은 고딕" w:hAnsi="맑은 고딕" w:eastAsia="맑은 고딕"/>
                <w:b w:val="0"/>
                <w:sz w:val="18"/>
              </w:rPr>
              <w:t>id, member_uid, stock_name, quantity, price, trade_type, traded_at</w:t>
            </w:r>
          </w:p>
        </w:tc>
        <w:tc>
          <w:tcPr>
            <w:tcW w:type="dxa" w:w="4320"/>
            <w:vAlign w:val="center"/>
          </w:tcPr>
          <w:p>
            <w:pPr>
              <w:spacing w:after="0"/>
            </w:pPr>
            <w:r/>
            <w:r>
              <w:rPr>
                <w:rFonts w:ascii="맑은 고딕" w:hAnsi="맑은 고딕" w:eastAsia="맑은 고딕"/>
                <w:b w:val="0"/>
                <w:sz w:val="18"/>
              </w:rPr>
              <w:t>매수/매도 기록을 남겨 거래 이력과 통계 확장에 활용</w:t>
            </w:r>
          </w:p>
        </w:tc>
      </w:tr>
    </w:tbl>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w:t>
            </w:r>
          </w:p>
        </w:tc>
        <w:tc>
          <w:tcPr>
            <w:tcW w:type="dxa" w:w="3168"/>
            <w:vAlign w:val="center"/>
          </w:tcPr>
          <w:p>
            <w:pPr>
              <w:spacing w:after="0"/>
            </w:pPr>
            <w:r/>
            <w:r>
              <w:rPr>
                <w:rFonts w:ascii="맑은 고딕" w:hAnsi="맑은 고딕" w:eastAsia="맑은 고딕"/>
                <w:b w:val="0"/>
                <w:sz w:val="18"/>
              </w:rPr>
              <w:t>선택</w:t>
            </w:r>
          </w:p>
        </w:tc>
        <w:tc>
          <w:tcPr>
            <w:tcW w:type="dxa" w:w="4320"/>
            <w:vAlign w:val="center"/>
          </w:tcPr>
          <w:p>
            <w:pPr>
              <w:spacing w:after="0"/>
            </w:pPr>
            <w:r/>
            <w:r>
              <w:rPr>
                <w:rFonts w:ascii="맑은 고딕" w:hAnsi="맑은 고딕" w:eastAsia="맑은 고딕"/>
                <w:b w:val="0"/>
                <w:sz w:val="18"/>
              </w:rPr>
              <w:t>있으면 MySQL 사용, 없거나 연결 실패 시 TSV fallback</w:t>
            </w:r>
          </w:p>
        </w:tc>
      </w:tr>
      <w:tr>
        <w:tc>
          <w:tcPr>
            <w:tcW w:type="dxa" w:w="3168"/>
            <w:shd w:fill="F6F9FD"/>
            <w:vAlign w:val="center"/>
          </w:tcPr>
          <w:p>
            <w:pPr>
              <w:spacing w:after="0"/>
            </w:pPr>
            <w:r/>
            <w:r>
              <w:rPr>
                <w:rFonts w:ascii="맑은 고딕" w:hAnsi="맑은 고딕" w:eastAsia="맑은 고딕"/>
                <w:b w:val="0"/>
                <w:sz w:val="18"/>
              </w:rPr>
              <w:t>MYSQL_PASSWORD</w:t>
            </w:r>
          </w:p>
        </w:tc>
        <w:tc>
          <w:tcPr>
            <w:tcW w:type="dxa" w:w="3168"/>
            <w:shd w:fill="F6F9FD"/>
            <w:vAlign w:val="center"/>
          </w:tcPr>
          <w:p>
            <w:pPr>
              <w:spacing w:after="0"/>
            </w:pPr>
            <w:r/>
            <w:r>
              <w:rPr>
                <w:rFonts w:ascii="맑은 고딕" w:hAnsi="맑은 고딕" w:eastAsia="맑은 고딕"/>
                <w:b w:val="0"/>
                <w:sz w:val="18"/>
              </w:rPr>
              <w:t>계정별 설정</w:t>
            </w:r>
          </w:p>
        </w:tc>
        <w:tc>
          <w:tcPr>
            <w:tcW w:type="dxa" w:w="4320"/>
            <w:shd w:fill="F6F9FD"/>
            <w:vAlign w:val="center"/>
          </w:tcPr>
          <w:p>
            <w:pPr>
              <w:spacing w:after="0"/>
            </w:pPr>
            <w:r/>
            <w:r>
              <w:rPr>
                <w:rFonts w:ascii="맑은 고딕" w:hAnsi="맑은 고딕" w:eastAsia="맑은 고딕"/>
                <w:b w:val="0"/>
                <w:sz w:val="18"/>
              </w:rPr>
              <w:t>로컬 MySQL 계정에 비밀번호가 있으면 입력, 없으면 생략 가능</w:t>
            </w:r>
          </w:p>
        </w:tc>
      </w:tr>
    </w:tbl>
    <w:p/>
    <w:p>
      <w:pPr>
        <w:pStyle w:val="Heading2"/>
      </w:pPr>
      <w:r>
        <w:t>8.3 실제 시세 연동 여부 확인</w:t>
      </w:r>
    </w:p>
    <w:p>
      <w:pPr>
        <w:spacing w:after="120"/>
      </w:pPr>
      <w:r>
        <w:t>발표 중 현재 화면의 가격이 실제 API 값인지 질문이 나올 수 있다. 이때는 /api/state 응답의 broker.source와 종목별 quoteSource 값을 보면 된다. KIS 환경변수가 설정된 상태에서는 broker.source가 한국투자증권 KIS REST API로 표시되고, 종목별 quoteSource도 한국투자증권 KIS로 표시된다.</w:t>
      </w:r>
    </w:p>
    <w:p>
      <w:pPr>
        <w:spacing w:before="60" w:after="120"/>
        <w:ind w:left="216" w:right="216"/>
        <w:shd w:fill="F1F5F9"/>
      </w:pPr>
      <w:r>
        <w:rPr>
          <w:rFonts w:ascii="Consolas" w:hAnsi="Consolas"/>
          <w:sz w:val="17"/>
        </w:rPr>
        <w:t>"broker": {</w:t>
        <w:br/>
        <w:t xml:space="preserve">  "source": "한국투자증권 KIS REST API",</w:t>
        <w:br/>
        <w:t xml:space="preserve">  "protocol": "KIS REST API"</w:t>
        <w:br/>
        <w:t>},</w:t>
        <w:br/>
        <w:t>"quoteSource": "한국투자증권 KIS"</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fill="122033"/>
            <w:vAlign w:val="center"/>
          </w:tcPr>
          <w:p>
            <w:pPr>
              <w:spacing w:after="0"/>
            </w:pPr>
            <w:r/>
            <w:r>
              <w:rPr>
                <w:rFonts w:ascii="맑은 고딕" w:hAnsi="맑은 고딕" w:eastAsia="맑은 고딕"/>
                <w:b/>
                <w:color w:val="FFFFFF"/>
                <w:sz w:val="18"/>
              </w:rPr>
              <w:t>상황</w:t>
            </w:r>
          </w:p>
        </w:tc>
        <w:tc>
          <w:tcPr>
            <w:tcW w:type="dxa" w:w="3600"/>
            <w:shd w:fill="122033"/>
            <w:vAlign w:val="center"/>
          </w:tcPr>
          <w:p>
            <w:pPr>
              <w:spacing w:after="0"/>
            </w:pPr>
            <w:r/>
            <w:r>
              <w:rPr>
                <w:rFonts w:ascii="맑은 고딕" w:hAnsi="맑은 고딕" w:eastAsia="맑은 고딕"/>
                <w:b/>
                <w:color w:val="FFFFFF"/>
                <w:sz w:val="18"/>
              </w:rPr>
              <w:t>동작</w:t>
            </w:r>
          </w:p>
        </w:tc>
        <w:tc>
          <w:tcPr>
            <w:tcW w:type="dxa" w:w="3888"/>
            <w:shd w:fill="122033"/>
            <w:vAlign w:val="center"/>
          </w:tcPr>
          <w:p>
            <w:pPr>
              <w:spacing w:after="0"/>
            </w:pPr>
            <w:r/>
            <w:r>
              <w:rPr>
                <w:rFonts w:ascii="맑은 고딕" w:hAnsi="맑은 고딕" w:eastAsia="맑은 고딕"/>
                <w:b/>
                <w:color w:val="FFFFFF"/>
                <w:sz w:val="18"/>
              </w:rPr>
              <w:t>발표 때 설명</w:t>
            </w:r>
          </w:p>
        </w:tc>
      </w:tr>
      <w:tr>
        <w:tc>
          <w:tcPr>
            <w:tcW w:type="dxa" w:w="2880"/>
            <w:vAlign w:val="center"/>
          </w:tcPr>
          <w:p>
            <w:pPr>
              <w:spacing w:after="0"/>
            </w:pPr>
            <w:r/>
            <w:r>
              <w:rPr>
                <w:rFonts w:ascii="맑은 고딕" w:hAnsi="맑은 고딕" w:eastAsia="맑은 고딕"/>
                <w:b w:val="0"/>
                <w:sz w:val="18"/>
              </w:rPr>
              <w:t>KIS 환경변수 있음</w:t>
            </w:r>
          </w:p>
        </w:tc>
        <w:tc>
          <w:tcPr>
            <w:tcW w:type="dxa" w:w="3600"/>
            <w:vAlign w:val="center"/>
          </w:tcPr>
          <w:p>
            <w:pPr>
              <w:spacing w:after="0"/>
            </w:pPr>
            <w:r/>
            <w:r>
              <w:rPr>
                <w:rFonts w:ascii="맑은 고딕" w:hAnsi="맑은 고딕" w:eastAsia="맑은 고딕"/>
                <w:b w:val="0"/>
                <w:sz w:val="18"/>
              </w:rPr>
              <w:t>KIS REST API 현재가 사용</w:t>
            </w:r>
          </w:p>
        </w:tc>
        <w:tc>
          <w:tcPr>
            <w:tcW w:type="dxa" w:w="3888"/>
            <w:vAlign w:val="center"/>
          </w:tcPr>
          <w:p>
            <w:pPr>
              <w:spacing w:after="0"/>
            </w:pPr>
            <w:r/>
            <w:r>
              <w:rPr>
                <w:rFonts w:ascii="맑은 고딕" w:hAnsi="맑은 고딕" w:eastAsia="맑은 고딕"/>
                <w:b w:val="0"/>
                <w:sz w:val="18"/>
              </w:rPr>
              <w:t>표시 가격은 현재가 API의 stck_prpr 값</w:t>
            </w:r>
          </w:p>
        </w:tc>
      </w:tr>
      <w:tr>
        <w:tc>
          <w:tcPr>
            <w:tcW w:type="dxa" w:w="2880"/>
            <w:shd w:fill="F6F9FD"/>
            <w:vAlign w:val="center"/>
          </w:tcPr>
          <w:p>
            <w:pPr>
              <w:spacing w:after="0"/>
            </w:pPr>
            <w:r/>
            <w:r>
              <w:rPr>
                <w:rFonts w:ascii="맑은 고딕" w:hAnsi="맑은 고딕" w:eastAsia="맑은 고딕"/>
                <w:b w:val="0"/>
                <w:sz w:val="18"/>
              </w:rPr>
              <w:t>KIS 환경변수 없음</w:t>
            </w:r>
          </w:p>
        </w:tc>
        <w:tc>
          <w:tcPr>
            <w:tcW w:type="dxa" w:w="3600"/>
            <w:shd w:fill="F6F9FD"/>
            <w:vAlign w:val="center"/>
          </w:tcPr>
          <w:p>
            <w:pPr>
              <w:spacing w:after="0"/>
            </w:pPr>
            <w:r/>
            <w:r>
              <w:rPr>
                <w:rFonts w:ascii="맑은 고딕" w:hAnsi="맑은 고딕" w:eastAsia="맑은 고딕"/>
                <w:b w:val="0"/>
                <w:sz w:val="18"/>
              </w:rPr>
              <w:t>내장 모의 증권사 소켓 사용</w:t>
            </w:r>
          </w:p>
        </w:tc>
        <w:tc>
          <w:tcPr>
            <w:tcW w:type="dxa" w:w="3888"/>
            <w:shd w:fill="F6F9FD"/>
            <w:vAlign w:val="center"/>
          </w:tcPr>
          <w:p>
            <w:pPr>
              <w:spacing w:after="0"/>
            </w:pPr>
            <w:r/>
            <w:r>
              <w:rPr>
                <w:rFonts w:ascii="맑은 고딕" w:hAnsi="맑은 고딕" w:eastAsia="맑은 고딕"/>
                <w:b w:val="0"/>
                <w:sz w:val="18"/>
              </w:rPr>
              <w:t>API 키 없이도 화면 시연 가능</w:t>
            </w:r>
          </w:p>
        </w:tc>
      </w:tr>
      <w:tr>
        <w:tc>
          <w:tcPr>
            <w:tcW w:type="dxa" w:w="2880"/>
            <w:vAlign w:val="center"/>
          </w:tcPr>
          <w:p>
            <w:pPr>
              <w:spacing w:after="0"/>
            </w:pPr>
            <w:r/>
            <w:r>
              <w:rPr>
                <w:rFonts w:ascii="맑은 고딕" w:hAnsi="맑은 고딕" w:eastAsia="맑은 고딕"/>
                <w:b w:val="0"/>
                <w:sz w:val="18"/>
              </w:rPr>
              <w:t>KIS 호출 일부 실패</w:t>
            </w:r>
          </w:p>
        </w:tc>
        <w:tc>
          <w:tcPr>
            <w:tcW w:type="dxa" w:w="3600"/>
            <w:vAlign w:val="center"/>
          </w:tcPr>
          <w:p>
            <w:pPr>
              <w:spacing w:after="0"/>
            </w:pPr>
            <w:r/>
            <w:r>
              <w:rPr>
                <w:rFonts w:ascii="맑은 고딕" w:hAnsi="맑은 고딕" w:eastAsia="맑은 고딕"/>
                <w:b w:val="0"/>
                <w:sz w:val="18"/>
              </w:rPr>
              <w:t>REST 폴링 유지</w:t>
            </w:r>
          </w:p>
        </w:tc>
        <w:tc>
          <w:tcPr>
            <w:tcW w:type="dxa" w:w="3888"/>
            <w:vAlign w:val="center"/>
          </w:tcPr>
          <w:p>
            <w:pPr>
              <w:spacing w:after="0"/>
            </w:pPr>
            <w:r/>
            <w:r>
              <w:rPr>
                <w:rFonts w:ascii="맑은 고딕" w:hAnsi="맑은 고딕" w:eastAsia="맑은 고딕"/>
                <w:b w:val="0"/>
                <w:sz w:val="18"/>
              </w:rPr>
              <w:t>KIS 출처 종목은 모의 Tick이 덮지 않음</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external 패키지의 MockBrokerServer와 BrokerFeedClient는 ServerSocket과 클라이언트 구독 명령을 이용해 특정 종목의 가격 Tick을 전달한다.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모의 계좌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모의 계좌의 현금, 보유 종목, 거래 기록만 저장한다. MySQL을 우선 사용하고, 연결할 수 없으면 TSV 파일 저장소로 전환한다.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모의 계좌</w:t>
            </w:r>
          </w:p>
        </w:tc>
        <w:tc>
          <w:tcPr>
            <w:tcW w:type="dxa" w:w="7632"/>
            <w:vAlign w:val="center"/>
          </w:tcPr>
          <w:p>
            <w:pPr>
              <w:spacing w:after="0"/>
            </w:pPr>
            <w:r/>
            <w:r>
              <w:rPr>
                <w:rFonts w:ascii="맑은 고딕" w:hAnsi="맑은 고딕" w:eastAsia="맑은 고딕"/>
                <w:b w:val="0"/>
                <w:sz w:val="18"/>
              </w:rPr>
              <w:t>로그인 없이 단일 모의 계좌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 우선 + TSV fallback으로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35초 길이로 접속, KIS 현재가가 들어온 종목 검색, 가격 그래프 확인, 즐겨찾기, 매수, 보유 탭 확인, 매도, 페이지 이동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0~8초</w:t>
            </w:r>
          </w:p>
        </w:tc>
        <w:tc>
          <w:tcPr>
            <w:tcW w:type="dxa" w:w="3456"/>
            <w:vAlign w:val="center"/>
          </w:tcPr>
          <w:p>
            <w:pPr>
              <w:spacing w:after="0"/>
            </w:pPr>
            <w:r/>
            <w:r>
              <w:rPr>
                <w:rFonts w:ascii="맑은 고딕" w:hAnsi="맑은 고딕" w:eastAsia="맑은 고딕"/>
                <w:b w:val="0"/>
                <w:sz w:val="18"/>
              </w:rPr>
              <w:t>웹사이트 접속과 시장 시세</w:t>
            </w:r>
          </w:p>
        </w:tc>
        <w:tc>
          <w:tcPr>
            <w:tcW w:type="dxa" w:w="5184"/>
            <w:vAlign w:val="center"/>
          </w:tcPr>
          <w:p>
            <w:pPr>
              <w:spacing w:after="0"/>
            </w:pPr>
            <w:r/>
            <w:r>
              <w:rPr>
                <w:rFonts w:ascii="맑은 고딕" w:hAnsi="맑은 고딕" w:eastAsia="맑은 고딕"/>
                <w:b w:val="0"/>
                <w:sz w:val="18"/>
              </w:rPr>
              <w:t>KIS 현재가와 거래량 기준 종목 목록 확인</w:t>
            </w:r>
          </w:p>
        </w:tc>
      </w:tr>
      <w:tr>
        <w:tc>
          <w:tcPr>
            <w:tcW w:type="dxa" w:w="1728"/>
            <w:shd w:fill="F6F9FD"/>
            <w:vAlign w:val="center"/>
          </w:tcPr>
          <w:p>
            <w:pPr>
              <w:spacing w:after="0"/>
            </w:pPr>
            <w:r/>
            <w:r>
              <w:rPr>
                <w:rFonts w:ascii="맑은 고딕" w:hAnsi="맑은 고딕" w:eastAsia="맑은 고딕"/>
                <w:b w:val="0"/>
                <w:sz w:val="18"/>
              </w:rPr>
              <w:t>8~16초</w:t>
            </w:r>
          </w:p>
        </w:tc>
        <w:tc>
          <w:tcPr>
            <w:tcW w:type="dxa" w:w="3456"/>
            <w:shd w:fill="F6F9FD"/>
            <w:vAlign w:val="center"/>
          </w:tcPr>
          <w:p>
            <w:pPr>
              <w:spacing w:after="0"/>
            </w:pPr>
            <w:r/>
            <w:r>
              <w:rPr>
                <w:rFonts w:ascii="맑은 고딕" w:hAnsi="맑은 고딕" w:eastAsia="맑은 고딕"/>
                <w:b w:val="0"/>
                <w:sz w:val="18"/>
              </w:rPr>
              <w:t>종목코드 검색</w:t>
            </w:r>
          </w:p>
        </w:tc>
        <w:tc>
          <w:tcPr>
            <w:tcW w:type="dxa" w:w="5184"/>
            <w:shd w:fill="F6F9FD"/>
            <w:vAlign w:val="center"/>
          </w:tcPr>
          <w:p>
            <w:pPr>
              <w:spacing w:after="0"/>
            </w:pPr>
            <w:r/>
            <w:r>
              <w:rPr>
                <w:rFonts w:ascii="맑은 고딕" w:hAnsi="맑은 고딕" w:eastAsia="맑은 고딕"/>
                <w:b w:val="0"/>
                <w:sz w:val="18"/>
              </w:rPr>
              <w:t>005930을 입력해 삼성전자 종목을 조회</w:t>
            </w:r>
          </w:p>
        </w:tc>
      </w:tr>
      <w:tr>
        <w:tc>
          <w:tcPr>
            <w:tcW w:type="dxa" w:w="1728"/>
            <w:vAlign w:val="center"/>
          </w:tcPr>
          <w:p>
            <w:pPr>
              <w:spacing w:after="0"/>
            </w:pPr>
            <w:r/>
            <w:r>
              <w:rPr>
                <w:rFonts w:ascii="맑은 고딕" w:hAnsi="맑은 고딕" w:eastAsia="맑은 고딕"/>
                <w:b w:val="0"/>
                <w:sz w:val="18"/>
              </w:rPr>
              <w:t>16~25초</w:t>
            </w:r>
          </w:p>
        </w:tc>
        <w:tc>
          <w:tcPr>
            <w:tcW w:type="dxa" w:w="3456"/>
            <w:vAlign w:val="center"/>
          </w:tcPr>
          <w:p>
            <w:pPr>
              <w:spacing w:after="0"/>
            </w:pPr>
            <w:r/>
            <w:r>
              <w:rPr>
                <w:rFonts w:ascii="맑은 고딕" w:hAnsi="맑은 고딕" w:eastAsia="맑은 고딕"/>
                <w:b w:val="0"/>
                <w:sz w:val="18"/>
              </w:rPr>
              <w:t>상세 화면과 주문</w:t>
            </w:r>
          </w:p>
        </w:tc>
        <w:tc>
          <w:tcPr>
            <w:tcW w:type="dxa" w:w="5184"/>
            <w:vAlign w:val="center"/>
          </w:tcPr>
          <w:p>
            <w:pPr>
              <w:spacing w:after="0"/>
            </w:pPr>
            <w:r/>
            <w:r>
              <w:rPr>
                <w:rFonts w:ascii="맑은 고딕" w:hAnsi="맑은 고딕" w:eastAsia="맑은 고딕"/>
                <w:b w:val="0"/>
                <w:sz w:val="18"/>
              </w:rPr>
              <w:t>현재가, 그래프, 즐겨찾기, 1주 매수</w:t>
            </w:r>
          </w:p>
        </w:tc>
      </w:tr>
      <w:tr>
        <w:tc>
          <w:tcPr>
            <w:tcW w:type="dxa" w:w="1728"/>
            <w:shd w:fill="F6F9FD"/>
            <w:vAlign w:val="center"/>
          </w:tcPr>
          <w:p>
            <w:pPr>
              <w:spacing w:after="0"/>
            </w:pPr>
            <w:r/>
            <w:r>
              <w:rPr>
                <w:rFonts w:ascii="맑은 고딕" w:hAnsi="맑은 고딕" w:eastAsia="맑은 고딕"/>
                <w:b w:val="0"/>
                <w:sz w:val="18"/>
              </w:rPr>
              <w:t>25~35초</w:t>
            </w:r>
          </w:p>
        </w:tc>
        <w:tc>
          <w:tcPr>
            <w:tcW w:type="dxa" w:w="3456"/>
            <w:shd w:fill="F6F9FD"/>
            <w:vAlign w:val="center"/>
          </w:tcPr>
          <w:p>
            <w:pPr>
              <w:spacing w:after="0"/>
            </w:pPr>
            <w:r/>
            <w:r>
              <w:rPr>
                <w:rFonts w:ascii="맑은 고딕" w:hAnsi="맑은 고딕" w:eastAsia="맑은 고딕"/>
                <w:b w:val="0"/>
                <w:sz w:val="18"/>
              </w:rPr>
              <w:t>보유/기록/매도와 페이지</w:t>
            </w:r>
          </w:p>
        </w:tc>
        <w:tc>
          <w:tcPr>
            <w:tcW w:type="dxa" w:w="5184"/>
            <w:shd w:fill="F6F9FD"/>
            <w:vAlign w:val="center"/>
          </w:tcPr>
          <w:p>
            <w:pPr>
              <w:spacing w:after="0"/>
            </w:pPr>
            <w:r/>
            <w:r>
              <w:rPr>
                <w:rFonts w:ascii="맑은 고딕" w:hAnsi="맑은 고딕" w:eastAsia="맑은 고딕"/>
                <w:b w:val="0"/>
                <w:sz w:val="18"/>
              </w:rPr>
              <w:t>보유 탭, 기록 탭, 매도 후 시장 페이지 이동</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모의 계좌의 보유주식과 거래기록은 MySQL을 우선 사용해 저장한다. MySQL 연결이 불가능한 환경에서는 TSV 파일 저장소로 전환된다. 사용자는 종목을 검색하거나 즐겨찾기하고, 상세 화면에서 가격 그래프를 확인한 뒤 매수/매도를 진행할 수 있다. 화면에서는 1초 단위 표시용 가격 변동을 보여주되, 매수/매도 입력창은 불필요하게 다시 그리지 않아 주문 흐름을 방해하지 않는다.</w:t>
      </w:r>
    </w:p>
    <w:p>
      <w:pPr>
        <w:spacing w:after="120"/>
      </w:pPr>
      <w:r>
        <w:t>향후 개선한다면 실제 KIS 테스트베드에서 WebSocket 구독 성공 여부를 확인하고, service 패키지 안의 MiniProject를 TradingService, PortfolioService, MarketService로 더 세분화할 수 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