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우선 저장, 실패 시 로컬 파일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 또는 로컬 파일 저장소를 통한 과제용 투자자/보유/거래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우선 저장, 실패 시 로컬 파일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우선 사용하고, 로컬 과제 실행 환경에서 MySQL 인증이 실패하면 data/local-database.tsv 파일 저장소로 자동 전환한다.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과제용 투자자,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DomainModels.java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DatabaseIntegration.java</w:t>
            </w:r>
          </w:p>
        </w:tc>
        <w:tc>
          <w:tcPr>
            <w:tcW w:type="dxa" w:w="7488"/>
            <w:vAlign w:val="center"/>
          </w:tcPr>
          <w:p>
            <w:pPr>
              <w:spacing w:after="0"/>
            </w:pPr>
            <w:r/>
            <w:r>
              <w:rPr>
                <w:rFonts w:ascii="맑은 고딕" w:hAnsi="맑은 고딕" w:eastAsia="맑은 고딕"/>
                <w:b w:val="0"/>
                <w:sz w:val="18"/>
              </w:rPr>
              <w:t>MySQL 연결, 테이블 생성, 로컬 파일 저장 전환</w:t>
            </w:r>
          </w:p>
        </w:tc>
      </w:tr>
      <w:tr>
        <w:tc>
          <w:tcPr>
            <w:tcW w:type="dxa" w:w="3024"/>
            <w:shd w:fill="F6F9FD"/>
            <w:vAlign w:val="center"/>
          </w:tcPr>
          <w:p>
            <w:pPr>
              <w:spacing w:after="0"/>
            </w:pPr>
            <w:r/>
            <w:r>
              <w:rPr>
                <w:rFonts w:ascii="맑은 고딕" w:hAnsi="맑은 고딕" w:eastAsia="맑은 고딕"/>
                <w:b w:val="0"/>
                <w:sz w:val="18"/>
              </w:rPr>
              <w:t>KisIntegration.java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StockCategoryProfiles.java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BrokerIntegration.java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WebPages.java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MiniProjectApp</w:t>
        <w:br/>
        <w:t xml:space="preserve"> ├─ MiniHandler ── MiniProject ── Member / Stock / Share / TradeLog</w:t>
        <w:br/>
        <w:t xml:space="preserve"> │                 ├─ MySqlDatabase</w:t>
        <w:br/>
        <w:t xml:space="preserve"> │                 ├─ KisQuoteClient / KisQuotePoller ── KIS Open API</w:t>
        <w:br/>
        <w:t xml:space="preserve"> │                 └─ BrokerClient / BrokerServer ── TCP Socket</w:t>
        <w:br/>
        <w:t xml:space="preserve"> └─ WebPages</w:t>
      </w:r>
    </w:p>
    <w:p>
      <w:pPr>
        <w:pStyle w:val="Heading2"/>
      </w:pPr>
      <w:r>
        <w:t>3.2 클래스/라이브러리 구조 상세</w:t>
      </w:r>
    </w:p>
    <w:p>
      <w:pPr>
        <w:spacing w:after="120"/>
      </w:pPr>
      <w:r>
        <w:t>프로젝트는 현재 과제 제출과 단일 javac 컴파일을 쉽게 하기 위해 루트 디렉터리 중심으로 구성했다. 다만 내부 역할은 서버, 핵심 서비스, 도메인 모델, 외부 시세, 저장소, 화면 생성으로 나누어 볼 수 있다. 발표에서는 아래 표를 기준으로 어떤 클래스가 어떤 Java 라이브러리를 사용했는지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MiniProjectApp, 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과제용 투자자,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LocalFileDatabase, DatabaseSnapshot</w:t>
            </w:r>
          </w:p>
        </w:tc>
        <w:tc>
          <w:tcPr>
            <w:tcW w:type="dxa" w:w="3168"/>
            <w:vAlign w:val="center"/>
          </w:tcPr>
          <w:p>
            <w:pPr>
              <w:spacing w:after="0"/>
            </w:pPr>
            <w:r/>
            <w:r>
              <w:rPr>
                <w:rFonts w:ascii="맑은 고딕" w:hAnsi="맑은 고딕" w:eastAsia="맑은 고딕"/>
                <w:b w:val="0"/>
                <w:sz w:val="18"/>
              </w:rPr>
              <w:t>JDBC, DriverManager, Files, Path</w:t>
            </w:r>
          </w:p>
        </w:tc>
        <w:tc>
          <w:tcPr>
            <w:tcW w:type="dxa" w:w="3312"/>
            <w:vAlign w:val="center"/>
          </w:tcPr>
          <w:p>
            <w:pPr>
              <w:spacing w:after="0"/>
            </w:pPr>
            <w:r/>
            <w:r>
              <w:rPr>
                <w:rFonts w:ascii="맑은 고딕" w:hAnsi="맑은 고딕" w:eastAsia="맑은 고딕"/>
                <w:b w:val="0"/>
                <w:sz w:val="18"/>
              </w:rPr>
              <w:t>MySQL 우선 저장, 실패 시 로컬 파일 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WebPages, 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나중에 유지보수를 더 쉽게 하려면 controller, service, domain, repository, security, ui 패키지로 물리적인 파일 위치까지 분리할 수 있다. 현재 보고서에서는 실제 코드가 루트 중심이라는 점과, 논리적으로는 위 계층으로 나뉜다는 점을 구분해서 설명한다.</w:t>
      </w:r>
    </w:p>
    <w:p>
      <w:pPr>
        <w:pStyle w:val="Heading2"/>
      </w:pPr>
      <w:r>
        <w:t>3.3 주요 코드 일부</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KisIntegration.java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DatabaseIntegration.java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과제용 투자자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과제용 투자자, 보유 주식, 거래 기록을 MySQL 또는 로컬 파일 저장소에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회원,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Files / Path</w:t>
            </w:r>
          </w:p>
        </w:tc>
        <w:tc>
          <w:tcPr>
            <w:tcW w:type="dxa" w:w="7200"/>
            <w:shd w:fill="F6F9FD"/>
            <w:vAlign w:val="center"/>
          </w:tcPr>
          <w:p>
            <w:pPr>
              <w:spacing w:after="0"/>
            </w:pPr>
            <w:r/>
            <w:r>
              <w:rPr>
                <w:rFonts w:ascii="맑은 고딕" w:hAnsi="맑은 고딕" w:eastAsia="맑은 고딕"/>
                <w:b w:val="0"/>
                <w:sz w:val="18"/>
              </w:rPr>
              <w:t>초기 설정, 스크립트, 문서 산출물 관리</w:t>
            </w:r>
          </w:p>
        </w:tc>
      </w:tr>
      <w:tr>
        <w:tc>
          <w:tcPr>
            <w:tcW w:type="dxa" w:w="3168"/>
            <w:vAlign w:val="center"/>
          </w:tcPr>
          <w:p>
            <w:pPr>
              <w:spacing w:after="0"/>
            </w:pPr>
            <w:r/>
            <w:r>
              <w:rPr>
                <w:rFonts w:ascii="맑은 고딕" w:hAnsi="맑은 고딕" w:eastAsia="맑은 고딕"/>
                <w:b w:val="0"/>
                <w:sz w:val="18"/>
              </w:rPr>
              <w:t>LocalDateTime</w:t>
            </w:r>
          </w:p>
        </w:tc>
        <w:tc>
          <w:tcPr>
            <w:tcW w:type="dxa" w:w="7200"/>
            <w:vAlign w:val="center"/>
          </w:tcPr>
          <w:p>
            <w:pPr>
              <w:spacing w:after="0"/>
            </w:pPr>
            <w:r/>
            <w:r>
              <w:rPr>
                <w:rFonts w:ascii="맑은 고딕" w:hAnsi="맑은 고딕" w:eastAsia="맑은 고딕"/>
                <w:b w:val="0"/>
                <w:sz w:val="18"/>
              </w:rPr>
              <w:t>거래 시간, 시세 갱신 시각 표시</w:t>
            </w:r>
          </w:p>
        </w:tc>
      </w:tr>
      <w:tr>
        <w:tc>
          <w:tcPr>
            <w:tcW w:type="dxa" w:w="3168"/>
            <w:shd w:fill="F6F9FD"/>
            <w:vAlign w:val="center"/>
          </w:tcPr>
          <w:p>
            <w:pPr>
              <w:spacing w:after="0"/>
            </w:pPr>
            <w:r/>
            <w:r>
              <w:rPr>
                <w:rFonts w:ascii="맑은 고딕" w:hAnsi="맑은 고딕" w:eastAsia="맑은 고딕"/>
                <w:b w:val="0"/>
                <w:sz w:val="18"/>
              </w:rPr>
              <w:t>AtomicLong / AtomicInteger</w:t>
            </w:r>
          </w:p>
        </w:tc>
        <w:tc>
          <w:tcPr>
            <w:tcW w:type="dxa" w:w="7200"/>
            <w:shd w:fill="F6F9FD"/>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우선 저장, 실패 시 data/local-database.tsv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선택</w:t>
            </w:r>
          </w:p>
        </w:tc>
        <w:tc>
          <w:tcPr>
            <w:tcW w:type="dxa" w:w="4320"/>
            <w:vAlign w:val="center"/>
          </w:tcPr>
          <w:p>
            <w:pPr>
              <w:spacing w:after="0"/>
            </w:pPr>
            <w:r/>
            <w:r>
              <w:rPr>
                <w:rFonts w:ascii="맑은 고딕" w:hAnsi="맑은 고딕" w:eastAsia="맑은 고딕"/>
                <w:b w:val="0"/>
                <w:sz w:val="18"/>
              </w:rPr>
              <w:t>MySQL 연결 정보, 실패 시 로컬 파일 저장소로 전환</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BrokerIntegration은 ServerSocket과 클라이언트 구독 명령을 이용해 특정 종목의 가격 Tick을 전달하는 구조다.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과제용 투자자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과제용 투자자의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과제용 투자자</w:t>
            </w:r>
          </w:p>
        </w:tc>
        <w:tc>
          <w:tcPr>
            <w:tcW w:type="dxa" w:w="7632"/>
            <w:vAlign w:val="center"/>
          </w:tcPr>
          <w:p>
            <w:pPr>
              <w:spacing w:after="0"/>
            </w:pPr>
            <w:r/>
            <w:r>
              <w:rPr>
                <w:rFonts w:ascii="맑은 고딕" w:hAnsi="맑은 고딕" w:eastAsia="맑은 고딕"/>
                <w:b w:val="0"/>
                <w:sz w:val="18"/>
              </w:rPr>
              <w:t>로그인 없이 단일 투자자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저장소에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과제용 투자자의 보유주식과 거래기록은 MySQL 또는 로컬 파일 저장소에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controller, service, repository, model 패키지로 소스 구조를 분리하는 작업이 우선이다. 현재는 과제 제출과 컴파일 검증을 쉽게 하기 위해 루트 디렉터리 중심 구조를 유지했다.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