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계좌,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사용한다. MYSQL_URL, MYSQL_USER, MYSQL_PASSWORD 설정이 없거나 MySQL 연결에 실패하면 서버 실행을 중단해 저장 방식이 조건부로 바뀌지 않게 했다.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external/KisQuotePoller.java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domain/StockCategories.java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external/MockBrokerServer.java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view/MiniDashboardPage.java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util/Json.java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w:t>
            </w:r>
          </w:p>
        </w:tc>
        <w:tc>
          <w:tcPr>
            <w:tcW w:type="dxa" w:w="3312"/>
            <w:vAlign w:val="center"/>
          </w:tcPr>
          <w:p>
            <w:pPr>
              <w:spacing w:after="0"/>
            </w:pPr>
            <w:r/>
            <w:r>
              <w:rPr>
                <w:rFonts w:ascii="맑은 고딕" w:hAnsi="맑은 고딕" w:eastAsia="맑은 고딕"/>
                <w:b w:val="0"/>
                <w:sz w:val="18"/>
              </w:rPr>
              <w:t>MySQL 테이블 생성, 데이터 로드/저장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흐름</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정보, 보유 주식, 거래 기록을 MySQL에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ListBullet"/>
        <w:spacing w:after="60"/>
      </w:pPr>
      <w:r>
        <w:t>최종 UI: 실제 증권 웹앱을 참고한 흰 배경, 표 중심, 상승 빨강/하락 파랑 색상 체계</w:t>
      </w:r>
    </w:p>
    <w:p>
      <w:pPr>
        <w:jc w:val="center"/>
      </w:pPr>
      <w:r>
        <w:drawing>
          <wp:inline xmlns:a="http://schemas.openxmlformats.org/drawingml/2006/main" xmlns:pic="http://schemas.openxmlformats.org/drawingml/2006/picture">
            <wp:extent cx="3108960" cy="5077180"/>
            <wp:docPr id="1" name="Picture 1"/>
            <wp:cNvGraphicFramePr>
              <a:graphicFrameLocks noChangeAspect="1"/>
            </wp:cNvGraphicFramePr>
            <a:graphic>
              <a:graphicData uri="http://schemas.openxmlformats.org/drawingml/2006/picture">
                <pic:pic>
                  <pic:nvPicPr>
                    <pic:cNvPr id="0" name="ui-crop-01-market.png"/>
                    <pic:cNvPicPr/>
                  </pic:nvPicPr>
                  <pic:blipFill>
                    <a:blip r:embed="rId9"/>
                    <a:stretch>
                      <a:fillRect/>
                    </a:stretch>
                  </pic:blipFill>
                  <pic:spPr>
                    <a:xfrm>
                      <a:off x="0" y="0"/>
                      <a:ext cx="3108960" cy="5077180"/>
                    </a:xfrm>
                    <a:prstGeom prst="rect"/>
                  </pic:spPr>
                </pic:pic>
              </a:graphicData>
            </a:graphic>
          </wp:inline>
        </w:drawing>
      </w:r>
    </w:p>
    <w:p>
      <w:pPr>
        <w:jc w:val="center"/>
      </w:pPr>
      <w:r>
        <w:rPr>
          <w:color w:val="667085"/>
          <w:sz w:val="17"/>
        </w:rPr>
        <w:t>화면 1. 시장 시세: 거래량 상위 종목, 검색창, 즐겨찾기, 페이지 이동</w:t>
      </w:r>
    </w:p>
    <w:p>
      <w:pPr>
        <w:jc w:val="center"/>
      </w:pPr>
      <w:r>
        <w:drawing>
          <wp:inline xmlns:a="http://schemas.openxmlformats.org/drawingml/2006/main" xmlns:pic="http://schemas.openxmlformats.org/drawingml/2006/picture">
            <wp:extent cx="5852160" cy="3978279"/>
            <wp:docPr id="2" name="Picture 2"/>
            <wp:cNvGraphicFramePr>
              <a:graphicFrameLocks noChangeAspect="1"/>
            </wp:cNvGraphicFramePr>
            <a:graphic>
              <a:graphicData uri="http://schemas.openxmlformats.org/drawingml/2006/picture">
                <pic:pic>
                  <pic:nvPicPr>
                    <pic:cNvPr id="0" name="ui-crop-02-detail-order.png"/>
                    <pic:cNvPicPr/>
                  </pic:nvPicPr>
                  <pic:blipFill>
                    <a:blip r:embed="rId10"/>
                    <a:stretch>
                      <a:fillRect/>
                    </a:stretch>
                  </pic:blipFill>
                  <pic:spPr>
                    <a:xfrm>
                      <a:off x="0" y="0"/>
                      <a:ext cx="5852160" cy="3978279"/>
                    </a:xfrm>
                    <a:prstGeom prst="rect"/>
                  </pic:spPr>
                </pic:pic>
              </a:graphicData>
            </a:graphic>
          </wp:inline>
        </w:drawing>
      </w:r>
    </w:p>
    <w:p>
      <w:pPr>
        <w:jc w:val="center"/>
      </w:pPr>
      <w:r>
        <w:rPr>
          <w:color w:val="667085"/>
          <w:sz w:val="17"/>
        </w:rPr>
        <w:t>화면 2. 종목 상세: 현재가, 등락률, 거래량, 회사 설명, 매수/매도 입력</w:t>
      </w:r>
    </w:p>
    <w:p>
      <w:pPr>
        <w:jc w:val="center"/>
      </w:pPr>
      <w:r>
        <w:drawing>
          <wp:inline xmlns:a="http://schemas.openxmlformats.org/drawingml/2006/main" xmlns:pic="http://schemas.openxmlformats.org/drawingml/2006/picture">
            <wp:extent cx="5852160" cy="664918"/>
            <wp:docPr id="3" name="Picture 3"/>
            <wp:cNvGraphicFramePr>
              <a:graphicFrameLocks noChangeAspect="1"/>
            </wp:cNvGraphicFramePr>
            <a:graphic>
              <a:graphicData uri="http://schemas.openxmlformats.org/drawingml/2006/picture">
                <pic:pic>
                  <pic:nvPicPr>
                    <pic:cNvPr id="0" name="ui-crop-03-portfolio.png"/>
                    <pic:cNvPicPr/>
                  </pic:nvPicPr>
                  <pic:blipFill>
                    <a:blip r:embed="rId11"/>
                    <a:stretch>
                      <a:fillRect/>
                    </a:stretch>
                  </pic:blipFill>
                  <pic:spPr>
                    <a:xfrm>
                      <a:off x="0" y="0"/>
                      <a:ext cx="5852160" cy="664918"/>
                    </a:xfrm>
                    <a:prstGeom prst="rect"/>
                  </pic:spPr>
                </pic:pic>
              </a:graphicData>
            </a:graphic>
          </wp:inline>
        </w:drawing>
      </w:r>
    </w:p>
    <w:p>
      <w:pPr>
        <w:jc w:val="center"/>
      </w:pPr>
      <w:r>
        <w:rPr>
          <w:color w:val="667085"/>
          <w:sz w:val="17"/>
        </w:rPr>
        <w:t>화면 3. 보유 탭: 보유 수량, 평가금액, 손익, 수익률, 매도 입력</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모의 계좌,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모의 계좌,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w:t>
            </w:r>
          </w:p>
        </w:tc>
        <w:tc>
          <w:tcPr>
            <w:tcW w:type="dxa" w:w="7200"/>
            <w:vAlign w:val="center"/>
          </w:tcPr>
          <w:p>
            <w:pPr>
              <w:spacing w:after="0"/>
            </w:pPr>
            <w:r/>
            <w:r>
              <w:rPr>
                <w:rFonts w:ascii="맑은 고딕" w:hAnsi="맑은 고딕" w:eastAsia="맑은 고딕"/>
                <w:b w:val="0"/>
                <w:sz w:val="18"/>
              </w:rPr>
              <w:t>모의 계좌 번호와 시세 Tick 카운트 관리</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테이블에 상시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실행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44초 길이로 접속, 종목코드 검색,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0~8초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8~17초</w:t>
            </w:r>
          </w:p>
        </w:tc>
        <w:tc>
          <w:tcPr>
            <w:tcW w:type="dxa" w:w="3456"/>
            <w:shd w:fill="F6F9FD"/>
            <w:vAlign w:val="center"/>
          </w:tcPr>
          <w:p>
            <w:pPr>
              <w:spacing w:after="0"/>
            </w:pPr>
            <w:r/>
            <w:r>
              <w:rPr>
                <w:rFonts w:ascii="맑은 고딕" w:hAnsi="맑은 고딕" w:eastAsia="맑은 고딕"/>
                <w:b w:val="0"/>
                <w:sz w:val="18"/>
              </w:rPr>
              <w:t>종목코드 검색</w:t>
            </w:r>
          </w:p>
        </w:tc>
        <w:tc>
          <w:tcPr>
            <w:tcW w:type="dxa" w:w="5184"/>
            <w:shd w:fill="F6F9FD"/>
            <w:vAlign w:val="center"/>
          </w:tcPr>
          <w:p>
            <w:pPr>
              <w:spacing w:after="0"/>
            </w:pPr>
            <w:r/>
            <w:r>
              <w:rPr>
                <w:rFonts w:ascii="맑은 고딕" w:hAnsi="맑은 고딕" w:eastAsia="맑은 고딕"/>
                <w:b w:val="0"/>
                <w:sz w:val="18"/>
              </w:rPr>
              <w:t>009150을 입력해 삼성전기 종목을 조회</w:t>
            </w:r>
          </w:p>
        </w:tc>
      </w:tr>
      <w:tr>
        <w:tc>
          <w:tcPr>
            <w:tcW w:type="dxa" w:w="1728"/>
            <w:vAlign w:val="center"/>
          </w:tcPr>
          <w:p>
            <w:pPr>
              <w:spacing w:after="0"/>
            </w:pPr>
            <w:r/>
            <w:r>
              <w:rPr>
                <w:rFonts w:ascii="맑은 고딕" w:hAnsi="맑은 고딕" w:eastAsia="맑은 고딕"/>
                <w:b w:val="0"/>
                <w:sz w:val="18"/>
              </w:rPr>
              <w:t>17~30초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30~44초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