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2980B9" w:sz="6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RÚBRICA ANALÍTICA — COMPETENCIA: ESCRIBE DIVERSOS TIPOS DE TEXTOS EN LENGUA MATERNA</w:t>
      </w:r>
    </w:p>
    <w:p>
      <w:pPr>
        <w:spacing w:after="8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Área: Comunicación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Grado y sección: 1.° A, B, C, D, E, F, G, H</w:t>
            </w:r>
          </w:p>
        </w:tc>
      </w:tr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Docente: LIZARRAGA AMAYA, Osmer Andres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Unidad: 1  —  «Voces que cuentan: explorando textos narrativos de nuestra región»</w:t>
            </w:r>
          </w:p>
        </w:tc>
      </w:tr>
      <w:tr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Año escolar: 2026</w:t>
            </w:r>
          </w:p>
        </w:tc>
        <w:tc>
          <w:tcPr>
            <w:tcW w:type="dxa" w:w="648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Evidencia: Texto narrativo propio (cuento o crónica local) — versión final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54360"/>
          <w:sz w:val="18"/>
          <w:szCs w:val="18"/>
        </w:rPr>
        <w:t xml:space="preserve">PROPÓSITO: </w:t>
      </w:r>
      <w:r>
        <w:rPr>
          <w:rFonts w:ascii="Arial" w:cs="Arial" w:eastAsia="Arial" w:hAnsi="Arial"/>
          <w:sz w:val="18"/>
          <w:szCs w:val="18"/>
        </w:rPr>
        <w:t xml:space="preserve">Valorar el nivel de desarrollo de la competencia de escritura al producir un texto narrativo (cuento o crónica sobre la región San Martín). Los criterios se derivan del estándar Ciclo VI y los desempeños de 1.° grado del CNEB (RVM 094-2020, mod. RVM 048-2024). Se aplica al producto final de la Unidad 1.</w:t>
      </w:r>
    </w:p>
    <w:p>
      <w:pPr>
        <w:spacing w:after="1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15"/>
        <w:gridCol w:w="2515"/>
        <w:gridCol w:w="2515"/>
        <w:gridCol w:w="2515"/>
      </w:tblGrid>
      <w:tr>
        <w:trPr>
          <w:tblHeader/>
        </w:trPr>
        <w:tc>
          <w:tcPr>
            <w:tcW w:type="dxa" w:w="29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515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INICIO (1)</w:t>
            </w:r>
          </w:p>
        </w:tc>
        <w:tc>
          <w:tcPr>
            <w:tcW w:type="dxa" w:w="2515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PROCESO (2)</w:t>
            </w:r>
          </w:p>
        </w:tc>
        <w:tc>
          <w:tcPr>
            <w:tcW w:type="dxa" w:w="2515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D834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LOGRO ESPERADO (3)</w:t>
            </w:r>
          </w:p>
        </w:tc>
        <w:tc>
          <w:tcPr>
            <w:tcW w:type="dxa" w:w="2515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LOGRO DESTACADO (4)</w:t>
            </w:r>
          </w:p>
        </w:tc>
      </w:tr>
      <w:tr>
        <w:tc>
          <w:tcPr>
            <w:tcW w:type="dxa" w:w="2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Adecuación al propósito y destinatario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texto no se ajusta al propósito ni al destinatario. No hay distinción de registro (formal/informal).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texto se ajusta parcialmente al propósito y destinatario. El registro no es consistente a lo largo del texto.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Adecúa el texto al propósito, tipo textual y destinatario. Mantiene el registro formal o informal de manera consistente.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Adapta con precisión el texto al propósito, género discursivo y destinatario. El registro es sofisticado y refuerza la intención comunicativa.</w:t>
            </w:r>
          </w:p>
        </w:tc>
      </w:tr>
      <w:tr>
        <w:tc>
          <w:tcPr>
            <w:tcW w:type="dxa" w:w="2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Coherencia y cohesión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 ideas no están organizadas en torno a un tema. Ausencia de conectores y referentes.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 algunas ideas en torno al tema, pero hay digresiones o saltos lógicos. Usa pocos conectores.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Ordena las ideas en subtemas e ideas principales sin digresiones. Establece relaciones lógicas usando referentes y conectores variados.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Desarrolla las ideas con jerarquía clara y progresión lógica. Usa conectores variados (contraste, consecuencia, comparación) con precisión y fluidez.</w:t>
            </w:r>
          </w:p>
        </w:tc>
      </w:tr>
      <w:tr>
        <w:tc>
          <w:tcPr>
            <w:tcW w:type="dxa" w:w="2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Uso de convenciones del lenguaje escrito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Presenta errores ortográficos frecuentes (tildes, puntuación) que dificultan la comprensión.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 el punto y aparte con cierta inconsistencia. Comete errores ortográficos puntuales.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 recursos gramaticales y ortográficos (punto y aparte) de forma pertinente. Emplea hipérbole u otras figuras retóricas.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Domina convenciones ortográficas con exactitud. Emplea figuras retóricas (hipérbole) y recursos textuales con intencionalidad estética.</w:t>
            </w:r>
          </w:p>
        </w:tc>
      </w:tr>
      <w:tr>
        <w:tc>
          <w:tcPr>
            <w:tcW w:type="dxa" w:w="2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Revisión y reflexión sobre el texto escrito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revisa su texto. No identifica contradicciones ni errores de cohesión.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 parcialmente el texto, señalando algunos errores pero sin corregir problemas de cohesión o registro.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Evalúa si el texto se ajusta a la situación comunicativa, identifica contradicciones y verifica el uso de conectores.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 de manera crítica y sistemática su texto. Evalúa el efecto sobre el lector y realiza ajustes sustantivos en la versión final.</w:t>
            </w:r>
          </w:p>
        </w:tc>
      </w:tr>
      <w:tr>
        <w:tc>
          <w:tcPr>
            <w:tcW w:type="dxa" w:w="290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punto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puntos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puntos</w:t>
            </w:r>
          </w:p>
        </w:tc>
        <w:tc>
          <w:tcPr>
            <w:tcW w:type="dxa" w:w="25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 puntos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54360"/>
          <w:sz w:val="18"/>
          <w:szCs w:val="18"/>
        </w:rPr>
        <w:t xml:space="preserve">ESCALA DE CONVERSIÓN: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 literal</w:t>
            </w:r>
          </w:p>
        </w:tc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sugerida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Inicio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Acompañamiento personalizado en planificación textual.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8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Proceso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Refuerzo en coherencia y cohesión.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13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Logro Esperado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Ampliar con géneros más complejos.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– 16 puntos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Logro Destacado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Participar en concursos literarios (JFEN u otros).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54360"/>
          <w:sz w:val="18"/>
          <w:szCs w:val="18"/>
        </w:rPr>
        <w:t xml:space="preserve">CAMPO SOCIOEMOCIONAL (Prioridad 1 — RM 501-2025-MINEDU):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8424"/>
      </w:tblGrid>
      <w:tr>
        <w:tc>
          <w:tcPr>
            <w:tcW w:type="dxa" w:w="4536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8424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 del docente</w:t>
            </w:r>
          </w:p>
        </w:tc>
      </w:tr>
      <w:tr>
        <w:tc>
          <w:tcPr>
            <w:tcW w:type="dxa" w:w="453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Disposición afectiva hacia la escritura:</w:t>
            </w:r>
          </w:p>
        </w:tc>
        <w:tc>
          <w:tcPr>
            <w:tcW w:type="dxa" w:w="842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453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Bloqueo o frustración observada:</w:t>
            </w:r>
          </w:p>
        </w:tc>
        <w:tc>
          <w:tcPr>
            <w:tcW w:type="dxa" w:w="842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______________________________________________________________________</w:t>
            </w:r>
          </w:p>
        </w:tc>
      </w:tr>
    </w:tbl>
    <w:p>
      <w:pPr>
        <w:spacing w:after="120"/>
      </w:pPr>
    </w:p>
    <w:p>
      <w:pPr>
        <w:pBdr>
          <w:top w:val="single" w:color="2980B9" w:sz="4" w:space="4"/>
        </w:pBdr>
        <w:spacing w:after="60"/>
      </w:pPr>
      <w:r>
        <w:rPr>
          <w:rFonts w:ascii="Arial" w:cs="Arial" w:eastAsia="Arial" w:hAnsi="Arial"/>
          <w:b/>
          <w:bCs/>
          <w:color w:val="154360"/>
          <w:sz w:val="18"/>
          <w:szCs w:val="18"/>
        </w:rPr>
        <w:t xml:space="preserve">FIRMAS INSTITUCIONALES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V°B°</w:t>
            </w:r>
          </w:p>
        </w:tc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— Revisó</w:t>
            </w:r>
          </w:p>
        </w:tc>
        <w:tc>
          <w:tcPr>
            <w:tcW w:type="dxa" w:w="3240"/>
            <w:tcBorders>
              <w:top w:val="single" w:color="1B4F72" w:sz="6"/>
              <w:left w:val="single" w:color="1B4F72" w:sz="6"/>
              <w:bottom w:val="single" w:color="1B4F72" w:sz="6"/>
              <w:right w:val="single" w:color="1B4F72" w:sz="6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— Aprobó</w:t>
            </w:r>
          </w:p>
        </w:tc>
      </w:tr>
      <w:tr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324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2026-03-29T22:11:31.763Z</dcterms:created>
  <dcterms:modified xsi:type="dcterms:W3CDTF">2026-03-29T22:11:31.764Z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