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</w:r>
    </w:p>
    <w:p/>
    <w:p/>
    <w:p/>
    <w:p/>
    <w:p/>
    <w:p/>
    <w:p/>
    <w:p/>
    <w:p>
      <w:pPr>
        <w:jc w:val="center"/>
      </w:pPr>
      <w:r>
        <w:rPr>
          <w:b/>
          <w:color w:val="1F4E78"/>
          <w:sz w:val="48"/>
        </w:rPr>
        <w:t>CENTRO DE INSTRUMENTOS PEDAGÓGICOS</w:t>
      </w:r>
    </w:p>
    <w:p>
      <w:pPr>
        <w:jc w:val="center"/>
      </w:pPr>
      <w:r>
        <w:rPr>
          <w:color w:val="2E75B6"/>
          <w:sz w:val="36"/>
        </w:rPr>
        <w:t>Sistemita_Nuevo</w:t>
      </w:r>
    </w:p>
    <w:p/>
    <w:p>
      <w:pPr>
        <w:jc w:val="center"/>
      </w:pPr>
      <w:r>
        <w:rPr>
          <w:i/>
          <w:sz w:val="28"/>
        </w:rPr>
        <w:t>Guía Completa de Uso</w:t>
      </w:r>
    </w:p>
    <w:p/>
    <w:p/>
    <w:p/>
    <w:p/>
    <w:p/>
    <w:p>
      <w:pPr>
        <w:jc w:val="center"/>
      </w:pPr>
      <w:r>
        <w:rPr>
          <w:color w:val="646464"/>
          <w:sz w:val="22"/>
        </w:rPr>
        <w:t>Versión 1.0 - Abril 2026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spacing w:after="240"/>
      </w:pPr>
      <w:r>
        <w:t>Bienvenido al Centro de Instrumentos Pedagógicos de Sistemita_Nuevo. Este sistema proporciona herramientas profesionales y autónomas para la evaluación y registro académico de estudiantes, diseñadas especialmente para docentes del MINEDU.</w:t>
      </w:r>
    </w:p>
    <w:p>
      <w:pPr>
        <w:spacing w:after="240"/>
      </w:pPr>
      <w:r>
        <w:t>Los instrumentos están construidos en formato HTML interactivo, lo que permite utilizarlos directamente en cualquier navegador web moderno sin necesidad de instalaciones adicionales.</w:t>
      </w:r>
    </w:p>
    <w:p>
      <w:pPr>
        <w:pStyle w:val="Title"/>
      </w:pPr>
      <w:r>
        <w:t>2. Características Principales</w:t>
      </w:r>
    </w:p>
    <w:p>
      <w:pPr>
        <w:pStyle w:val="Heading2"/>
      </w:pPr>
      <w:r>
        <w:t>2.1 Autonomía e Independencia</w:t>
      </w:r>
    </w:p>
    <w:p>
      <w:pPr>
        <w:spacing w:after="240"/>
      </w:pPr>
      <w:r>
        <w:t>Cada instrumento se abre como una sesión completamente nueva e independiente. No recupera datos de usos anteriores, lo que garantiza que siempre trabajes con un formulario limpio.</w:t>
      </w:r>
    </w:p>
    <w:p>
      <w:pPr>
        <w:spacing w:after="240"/>
      </w:pPr>
      <w:r>
        <w:t>Ventaja: Es imposible contaminar datos. Si abres la Rúbrica 5 veces en el mismo día para 5 estudiantes diferentes, cada apertura estará vacía.</w:t>
      </w:r>
    </w:p>
    <w:p>
      <w:pPr>
        <w:pStyle w:val="Heading2"/>
      </w:pPr>
      <w:r>
        <w:t>2.2 Controles Unificados</w:t>
      </w:r>
    </w:p>
    <w:p>
      <w:pPr>
        <w:spacing w:after="240"/>
      </w:pPr>
      <w:r>
        <w:t>Todos los instrumentos cuentan con 4 botones principales: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💾 BOTÓN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⚙️ FUNCIÓN</w:t>
            </w:r>
          </w:p>
        </w:tc>
      </w:tr>
      <w:tr>
        <w:tc>
          <w:tcPr>
            <w:tcW w:type="dxa" w:w="4320"/>
          </w:tcPr>
          <w:p>
            <w:r>
              <w:t>💾 Guardar</w:t>
            </w:r>
          </w:p>
        </w:tc>
        <w:tc>
          <w:tcPr>
            <w:tcW w:type="dxa" w:w="4320"/>
          </w:tcPr>
          <w:p>
            <w:r>
              <w:t>Descarga los datos en formato JSON</w:t>
            </w:r>
          </w:p>
        </w:tc>
      </w:tr>
      <w:tr>
        <w:tc>
          <w:tcPr>
            <w:tcW w:type="dxa" w:w="4320"/>
          </w:tcPr>
          <w:p>
            <w:r>
              <w:t>🗑️ Limpiar</w:t>
            </w:r>
          </w:p>
        </w:tc>
        <w:tc>
          <w:tcPr>
            <w:tcW w:type="dxa" w:w="4320"/>
          </w:tcPr>
          <w:p>
            <w:r>
              <w:t>Elimina todos los datos y reinicia</w:t>
            </w:r>
          </w:p>
        </w:tc>
      </w:tr>
      <w:tr>
        <w:tc>
          <w:tcPr>
            <w:tcW w:type="dxa" w:w="4320"/>
          </w:tcPr>
          <w:p>
            <w:r>
              <w:t>✏️ Editar</w:t>
            </w:r>
          </w:p>
        </w:tc>
        <w:tc>
          <w:tcPr>
            <w:tcW w:type="dxa" w:w="4320"/>
          </w:tcPr>
          <w:p>
            <w:r>
              <w:t>Personaliza títulos, encabezados y escalas</w:t>
            </w:r>
          </w:p>
        </w:tc>
      </w:tr>
      <w:tr>
        <w:tc>
          <w:tcPr>
            <w:tcW w:type="dxa" w:w="4320"/>
          </w:tcPr>
          <w:p>
            <w:r>
              <w:t>❌ Cerrar</w:t>
            </w:r>
          </w:p>
        </w:tc>
        <w:tc>
          <w:tcPr>
            <w:tcW w:type="dxa" w:w="4320"/>
          </w:tcPr>
          <w:p>
            <w:r>
              <w:t>Cierra la ventana del instrumento</w:t>
            </w:r>
          </w:p>
        </w:tc>
      </w:tr>
    </w:tbl>
    <w:p/>
    <w:p>
      <w:pPr>
        <w:pStyle w:val="Title"/>
      </w:pPr>
      <w:r>
        <w:t>3. Instrumentos Disponibles</w:t>
      </w:r>
    </w:p>
    <w:p>
      <w:pPr>
        <w:pStyle w:val="Heading2"/>
      </w:pPr>
      <w:r>
        <w:t>3.1 Rúbrica de Evaluación</w:t>
      </w:r>
    </w:p>
    <w:p>
      <w:pPr>
        <w:spacing w:after="240"/>
      </w:pPr>
      <w:r>
        <w:rPr>
          <w:b/>
        </w:rPr>
        <w:t xml:space="preserve">Archivo: </w:t>
      </w:r>
      <w:r>
        <w:t>rubrica_evaluacion.html</w:t>
      </w:r>
    </w:p>
    <w:p>
      <w:pPr>
        <w:spacing w:after="240"/>
      </w:pPr>
      <w:r>
        <w:t>Instrumento para evaluar competencias y desempeños utilizando criterios claros con escalas diferenciadas.</w:t>
      </w:r>
    </w:p>
    <w:p>
      <w:pPr>
        <w:pStyle w:val="ListBullet"/>
      </w:pPr>
      <w:r>
        <w:t>Características:</w:t>
      </w:r>
    </w:p>
    <w:p>
      <w:pPr>
        <w:pStyle w:val="ListBullet2"/>
      </w:pPr>
      <w:r>
        <w:t>Información general (estudiante, área, fecha, docente)</w:t>
      </w:r>
    </w:p>
    <w:p>
      <w:pPr>
        <w:pStyle w:val="ListBullet2"/>
      </w:pPr>
      <w:r>
        <w:t>Tabla de criterios con escalas de 1 a 4 puntos</w:t>
      </w:r>
    </w:p>
    <w:p>
      <w:pPr>
        <w:pStyle w:val="ListBullet2"/>
      </w:pPr>
      <w:r>
        <w:t>Agregar/eliminar criterios dinámicamente</w:t>
      </w:r>
    </w:p>
    <w:p>
      <w:pPr>
        <w:pStyle w:val="ListBullet2"/>
      </w:pPr>
      <w:r>
        <w:t>Campo de observaciones</w:t>
      </w:r>
    </w:p>
    <w:p>
      <w:pPr>
        <w:pStyle w:val="Heading2"/>
      </w:pPr>
      <w:r>
        <w:t>3.2 Ficha de Observación</w:t>
      </w:r>
    </w:p>
    <w:p>
      <w:pPr>
        <w:spacing w:after="240"/>
      </w:pPr>
      <w:r>
        <w:rPr>
          <w:b/>
        </w:rPr>
        <w:t xml:space="preserve">Archivo: </w:t>
      </w:r>
      <w:r>
        <w:t>ficha_observacion.html</w:t>
      </w:r>
    </w:p>
    <w:p>
      <w:pPr>
        <w:spacing w:after="240"/>
      </w:pPr>
      <w:r>
        <w:t>Herramienta para documentar conductas, comportamientos y actitudes de estudiantes en contextos reales.</w:t>
      </w:r>
    </w:p>
    <w:p>
      <w:pPr>
        <w:pStyle w:val="ListBullet"/>
      </w:pPr>
      <w:r>
        <w:t>Características:</w:t>
      </w:r>
    </w:p>
    <w:p>
      <w:pPr>
        <w:pStyle w:val="ListBullet2"/>
      </w:pPr>
      <w:r>
        <w:t>Información de observación (estudiante, grado, fecha, contexto)</w:t>
      </w:r>
    </w:p>
    <w:p>
      <w:pPr>
        <w:pStyle w:val="ListBullet2"/>
      </w:pPr>
      <w:r>
        <w:t>Tabla de conductas con frecuencias</w:t>
      </w:r>
    </w:p>
    <w:p>
      <w:pPr>
        <w:pStyle w:val="ListBullet2"/>
      </w:pPr>
      <w:r>
        <w:t>Checkboxes de actitudes predefinidas</w:t>
      </w:r>
    </w:p>
    <w:p>
      <w:pPr>
        <w:pStyle w:val="ListBullet2"/>
      </w:pPr>
      <w:r>
        <w:t>Notas y observaciones detalladas</w:t>
      </w:r>
    </w:p>
    <w:p>
      <w:pPr>
        <w:pStyle w:val="Heading2"/>
      </w:pPr>
      <w:r>
        <w:t>3.3 Registro de Calificaciones</w:t>
      </w:r>
    </w:p>
    <w:p>
      <w:pPr>
        <w:spacing w:after="240"/>
      </w:pPr>
      <w:r>
        <w:rPr>
          <w:b/>
        </w:rPr>
        <w:t xml:space="preserve">Archivo: </w:t>
      </w:r>
      <w:r>
        <w:t>registro_calificaciones.html</w:t>
      </w:r>
    </w:p>
    <w:p>
      <w:pPr>
        <w:spacing w:after="240"/>
      </w:pPr>
      <w:r>
        <w:t>Sistema para registrar y consolidar calificaciones de estudiantes con cálculo automático de promedios.</w:t>
      </w:r>
    </w:p>
    <w:p>
      <w:pPr>
        <w:pStyle w:val="ListBullet"/>
      </w:pPr>
      <w:r>
        <w:t>Características:</w:t>
      </w:r>
    </w:p>
    <w:p>
      <w:pPr>
        <w:pStyle w:val="ListBullet2"/>
      </w:pPr>
      <w:r>
        <w:t>Información general (período, área, grado, docente)</w:t>
      </w:r>
    </w:p>
    <w:p>
      <w:pPr>
        <w:pStyle w:val="ListBullet2"/>
      </w:pPr>
      <w:r>
        <w:t>Tabla de calificaciones múltiples por estudiante</w:t>
      </w:r>
    </w:p>
    <w:p>
      <w:pPr>
        <w:pStyle w:val="ListBullet2"/>
      </w:pPr>
      <w:r>
        <w:t>Cálculo automático de promedios</w:t>
      </w:r>
    </w:p>
    <w:p>
      <w:pPr>
        <w:pStyle w:val="ListBullet2"/>
      </w:pPr>
      <w:r>
        <w:t>Estadísticas en vivo (total, promedio, máxima, mínima)</w:t>
      </w:r>
    </w:p>
    <w:p>
      <w:pPr>
        <w:pStyle w:val="ListBullet2"/>
      </w:pPr>
      <w:r>
        <w:t>Observaciones generales del grupo</w:t>
      </w:r>
    </w:p>
    <w:p>
      <w:r>
        <w:br w:type="page"/>
      </w:r>
    </w:p>
    <w:p>
      <w:pPr>
        <w:pStyle w:val="Title"/>
      </w:pPr>
      <w:r>
        <w:t>4. Guía de Uso Paso a Paso</w:t>
      </w:r>
    </w:p>
    <w:p>
      <w:pPr>
        <w:pStyle w:val="Heading2"/>
      </w:pPr>
      <w:r>
        <w:t>4.1 Acceso a los Instrumentos</w:t>
      </w:r>
    </w:p>
    <w:p>
      <w:pPr>
        <w:spacing w:after="240"/>
      </w:pPr>
      <w:r>
        <w:rPr>
          <w:b/>
        </w:rPr>
        <w:t>Opción A: Panel de Control (Recomendado)</w:t>
      </w:r>
    </w:p>
    <w:p>
      <w:pPr>
        <w:pStyle w:val="ListNumber"/>
      </w:pPr>
      <w:r>
        <w:t>Abre el archivo index.html en tu navegador</w:t>
      </w:r>
    </w:p>
    <w:p>
      <w:pPr>
        <w:pStyle w:val="ListNumber"/>
      </w:pPr>
      <w:r>
        <w:t>Verás tarjetas de los tres instrumentos</w:t>
      </w:r>
    </w:p>
    <w:p>
      <w:pPr>
        <w:pStyle w:val="ListNumber"/>
      </w:pPr>
      <w:r>
        <w:t>Haz clic en "Abrir →" para lanzar el instrumento</w:t>
      </w:r>
    </w:p>
    <w:p>
      <w:pPr>
        <w:spacing w:after="240"/>
      </w:pPr>
      <w:r>
        <w:rPr>
          <w:b/>
        </w:rPr>
        <w:t>Opción B: Acceso Directo</w:t>
      </w:r>
    </w:p>
    <w:p>
      <w:pPr>
        <w:pStyle w:val="ListNumber"/>
      </w:pPr>
      <w:r>
        <w:t>Abre directamente el archivo HTML del instrumento</w:t>
      </w:r>
    </w:p>
    <w:p>
      <w:pPr>
        <w:pStyle w:val="ListNumber"/>
      </w:pPr>
      <w:r>
        <w:t>Se cargará en tu navegador</w:t>
      </w:r>
    </w:p>
    <w:p>
      <w:pPr>
        <w:pStyle w:val="Heading2"/>
      </w:pPr>
      <w:r>
        <w:t>4.2 Usando un Instrumento</w:t>
      </w:r>
    </w:p>
    <w:p>
      <w:pPr>
        <w:pStyle w:val="ListNumber"/>
      </w:pPr>
      <w:r>
        <w:t>Rellenar información general</w:t>
      </w:r>
    </w:p>
    <w:p>
      <w:pPr>
        <w:pStyle w:val="ListNumber2"/>
      </w:pPr>
      <w:r>
        <w:t>Completa los campos básicos</w:t>
      </w:r>
    </w:p>
    <w:p>
      <w:pPr>
        <w:pStyle w:val="ListNumber"/>
      </w:pPr>
      <w:r>
        <w:t>Personalizar (opcional)</w:t>
      </w:r>
    </w:p>
    <w:p>
      <w:pPr>
        <w:pStyle w:val="ListNumber2"/>
      </w:pPr>
      <w:r>
        <w:t>Haz clic en Editar para cambios</w:t>
      </w:r>
    </w:p>
    <w:p>
      <w:pPr>
        <w:pStyle w:val="ListNumber"/>
      </w:pPr>
      <w:r>
        <w:t>Agregar datos</w:t>
      </w:r>
    </w:p>
    <w:p>
      <w:pPr>
        <w:pStyle w:val="ListNumber2"/>
      </w:pPr>
      <w:r>
        <w:t>Completa los campos de la tabla</w:t>
      </w:r>
    </w:p>
    <w:p>
      <w:pPr>
        <w:pStyle w:val="ListNumber"/>
      </w:pPr>
      <w:r>
        <w:t>Guardar</w:t>
      </w:r>
    </w:p>
    <w:p>
      <w:pPr>
        <w:pStyle w:val="ListNumber2"/>
      </w:pPr>
      <w:r>
        <w:t>Descarga los datos en JSON</w:t>
      </w:r>
    </w:p>
    <w:p>
      <w:pPr>
        <w:pStyle w:val="ListNumber"/>
      </w:pPr>
      <w:r>
        <w:t>Cerrar</w:t>
      </w:r>
    </w:p>
    <w:p>
      <w:pPr>
        <w:pStyle w:val="ListNumber2"/>
      </w:pPr>
      <w:r>
        <w:t>Termina la sesión</w:t>
      </w:r>
    </w:p>
    <w:p>
      <w:pPr>
        <w:pStyle w:val="Title"/>
      </w:pPr>
      <w:r>
        <w:t>5. Recomendaciones y Mejores Prácticas</w:t>
      </w:r>
    </w:p>
    <w:p>
      <w:pPr>
        <w:pStyle w:val="ListBullet"/>
      </w:pPr>
      <w:r>
        <w:t>Guarda regularmente: descarga en pasos intermedios</w:t>
      </w:r>
    </w:p>
    <w:p>
      <w:pPr>
        <w:pStyle w:val="ListBullet"/>
      </w:pPr>
      <w:r>
        <w:t>Personaliza una vez: reutiliza configuración</w:t>
      </w:r>
    </w:p>
    <w:p>
      <w:pPr>
        <w:pStyle w:val="ListBullet"/>
      </w:pPr>
      <w:r>
        <w:t>Organiza archivos: crea carpetas por mes/unidad</w:t>
      </w:r>
    </w:p>
    <w:p>
      <w:pPr>
        <w:pStyle w:val="ListBullet"/>
      </w:pPr>
      <w:r>
        <w:t>Documenta cambios: agrega notas en observaciones</w:t>
      </w:r>
    </w:p>
    <w:p>
      <w:pPr>
        <w:pStyle w:val="ListBullet"/>
      </w:pPr>
      <w:r>
        <w:t>Respaldo: mantén copias en la nube</w:t>
      </w:r>
    </w:p>
    <w:p>
      <w:pPr>
        <w:pStyle w:val="Title"/>
      </w:pPr>
      <w:r>
        <w:t>6. Soporte Técnico</w:t>
      </w:r>
    </w:p>
    <w:p>
      <w:pPr>
        <w:spacing w:after="480"/>
      </w:pPr>
      <w:r>
        <w:t>Los instrumentos están diseñados para ser intuitivos. Si encuentras problemas o necesitas personalizaciones adicionales, contacta para ajustes específicos.</w:t>
      </w:r>
    </w:p>
    <w:p>
      <w:pPr>
        <w:jc w:val="center"/>
      </w:pPr>
      <w:r>
        <w:rPr>
          <w:b/>
        </w:rPr>
        <w:t>═════════════════════════════════════════════</w:t>
        <w:br/>
        <w:t>Sistema listo para usar. ¡Éxito en tu labor pedagógica!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