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2C5F8A"/>
          <w:sz w:val="56"/>
          <w:szCs w:val="56"/>
        </w:rPr>
        <w:t xml:space="preserve">MEDIOS DE PAGO Y GESTIÓN DE RIESGO</w:t>
      </w:r>
    </w:p>
    <w:p>
      <w:pPr>
        <w:jc w:val="center"/>
      </w:pPr>
      <w:r>
        <w:rPr>
          <w:rFonts w:ascii="Arial" w:cs="Arial" w:eastAsia="Arial" w:hAnsi="Arial"/>
          <w:b/>
          <w:bCs/>
          <w:color w:val="444444"/>
          <w:sz w:val="30"/>
          <w:szCs w:val="30"/>
        </w:rPr>
        <w:t xml:space="preserve">Lista de investigación y plan de acción</w:t>
      </w:r>
    </w:p>
    <w:p>
      <w:r>
        <w:t xml:space="preserve"/>
      </w:r>
    </w:p>
    <w:p>
      <w:pPr>
        <w:jc w:val="center"/>
      </w:pPr>
      <w:r>
        <w:rPr>
          <w:rFonts w:ascii="Arial" w:cs="Arial" w:eastAsia="Arial" w:hAnsi="Arial"/>
          <w:color w:val="888888"/>
          <w:sz w:val="22"/>
          <w:szCs w:val="22"/>
        </w:rPr>
        <w:t xml:space="preserve">Estado: </w:t>
      </w:r>
      <w:r>
        <w:rPr>
          <w:rFonts w:ascii="Arial" w:cs="Arial" w:eastAsia="Arial" w:hAnsi="Arial"/>
          <w:color w:val="856404"/>
          <w:sz w:val="18"/>
          <w:szCs w:val="18"/>
          <w:shd w:fill="FFF3CD" w:val="clear"/>
        </w:rPr>
        <w:t xml:space="preserve"> PROVISIONAL — v0.1 </w:t>
      </w:r>
      <w:r>
        <w:rPr>
          <w:rFonts w:ascii="Arial" w:cs="Arial" w:eastAsia="Arial" w:hAnsi="Arial"/>
          <w:color w:val="888888"/>
          <w:sz w:val="22"/>
          <w:szCs w:val="22"/>
        </w:rPr>
        <w:t xml:space="preserve">   Septiembre 2026</w:t>
      </w:r>
    </w:p>
    <w:p>
      <w:r>
        <w:t xml:space="preserve"/>
      </w:r>
    </w:p>
    <w:p>
      <w:r>
        <w:t xml:space="preserve"/>
      </w:r>
    </w:p>
    <w:p>
      <w:pPr>
        <w:pStyle w:val="Heading1"/>
      </w:pPr>
      <w:r>
        <w:rPr>
          <w:rFonts w:ascii="Arial" w:cs="Arial" w:eastAsia="Arial" w:hAnsi="Arial"/>
        </w:rPr>
        <w:t xml:space="preserve">1. Propósito y Objetivo de Negocio</w:t>
      </w:r>
    </w:p>
    <w:p>
      <w:r>
        <w:rPr>
          <w:rFonts w:ascii="Arial" w:cs="Arial" w:eastAsia="Arial" w:hAnsi="Arial"/>
          <w:sz w:val="22"/>
          <w:szCs w:val="22"/>
        </w:rPr>
        <w:t xml:space="preserve">Este documento condensa el trabajo de exploración de datos de Solidgate (Finance Report + muestra de Card Orders) realizado hasta ahora, y traduce los hallazgos en una lista de investigación y un plan de acción concreto para mejorar el control y la gestión de los medios de pago y del riesgo asociado.</w:t>
      </w:r>
    </w:p>
    <w:p>
      <w:r>
        <w:t xml:space="preserve"/>
      </w:r>
    </w:p>
    <w:p>
      <w:r>
        <w:rPr>
          <w:rFonts w:ascii="Arial" w:cs="Arial" w:eastAsia="Arial" w:hAnsi="Arial"/>
          <w:sz w:val="22"/>
          <w:szCs w:val="22"/>
        </w:rPr>
        <w:t xml:space="preserve">Objetivo de negocio declarado: optimizar el ratio de aceptación de los medios de pago. Esto implica dos cosas distintas que hay que tratar por separado:</w:t>
      </w:r>
    </w:p>
    <w:p>
      <w:r>
        <w:t xml:space="preserve"/>
      </w:r>
    </w:p>
    <w:p>
      <w:pPr>
        <w:pStyle w:val="ListParagraph"/>
        <w:numPr>
          <w:ilvl w:val="0"/>
          <w:numId w:val="2"/>
        </w:numPr>
      </w:pPr>
      <w:r>
        <w:rPr>
          <w:rFonts w:ascii="Arial" w:cs="Arial" w:eastAsia="Arial" w:hAnsi="Arial"/>
          <w:sz w:val="22"/>
          <w:szCs w:val="22"/>
        </w:rPr>
        <w:t xml:space="preserve">Medir: tener una serie temporal fiable del ratio de aceptación (cuánto aceptamos/rechazamos, y cómo evoluciona).</w:t>
      </w:r>
    </w:p>
    <w:p>
      <w:pPr>
        <w:pStyle w:val="ListParagraph"/>
        <w:numPr>
          <w:ilvl w:val="0"/>
          <w:numId w:val="2"/>
        </w:numPr>
      </w:pPr>
      <w:r>
        <w:rPr>
          <w:rFonts w:ascii="Arial" w:cs="Arial" w:eastAsia="Arial" w:hAnsi="Arial"/>
          <w:sz w:val="22"/>
          <w:szCs w:val="22"/>
        </w:rPr>
        <w:t xml:space="preserve">Explicar: entender por qué rechazamos (código de rechazo, banco emisor, 3DS, routing/cascada, marca de tarjeta) para poder actuar sobre ello.</w:t>
      </w:r>
    </w:p>
    <w:p>
      <w:r>
        <w:t xml:space="preserve"/>
      </w:r>
    </w:p>
    <w:p>
      <w:pPr>
        <w:pStyle w:val="Heading1"/>
      </w:pPr>
      <w:r>
        <w:rPr>
          <w:rFonts w:ascii="Arial" w:cs="Arial" w:eastAsia="Arial" w:hAnsi="Arial"/>
        </w:rPr>
        <w:t xml:space="preserve">2. Resumen Ejecutivo — Lo Confirmado Hasta Ahora</w:t>
      </w:r>
    </w:p>
    <w:p>
      <w:r>
        <w:rPr>
          <w:rFonts w:ascii="Arial" w:cs="Arial" w:eastAsia="Arial" w:hAnsi="Arial"/>
          <w:sz w:val="22"/>
          <w:szCs w:val="22"/>
        </w:rPr>
        <w:t xml:space="preserve">Estos son los hallazgos ya validados con datos reales (no solo con la documentación teórica), con el razonamiento que llevó a cada conclusión.</w:t>
      </w:r>
    </w:p>
    <w:p>
      <w:r>
        <w:t xml:space="preserve"/>
      </w:r>
    </w:p>
    <w:p>
      <w:pPr>
        <w:pStyle w:val="Heading2"/>
      </w:pPr>
      <w:r>
        <w:rPr>
          <w:rFonts w:ascii="Arial" w:cs="Arial" w:eastAsia="Arial" w:hAnsi="Arial"/>
        </w:rPr>
        <w:t xml:space="preserve">2.1 El Finance Report contiene una señal indirecta de rechazos</w:t>
      </w:r>
    </w:p>
    <w:p>
      <w:r>
        <w:rPr>
          <w:rFonts w:ascii="Arial" w:cs="Arial" w:eastAsia="Arial" w:hAnsi="Arial"/>
          <w:sz w:val="22"/>
          <w:szCs w:val="22"/>
        </w:rPr>
        <w:t xml:space="preserve">Hipótesis inicial: el histórico de SG_Orders solo contiene órdenes Settled/Refunded (filtro de exportación), por lo que no se puede calcular un ratio de aceptación — falta el denominador completo.</w:t>
      </w:r>
    </w:p>
    <w:p>
      <w:r>
        <w:t xml:space="preserve"/>
      </w:r>
    </w:p>
    <w:p>
      <w:r>
        <w:rPr>
          <w:rFonts w:ascii="Arial" w:cs="Arial" w:eastAsia="Arial" w:hAnsi="Arial"/>
          <w:sz w:val="22"/>
          <w:szCs w:val="22"/>
        </w:rPr>
        <w:t xml:space="preserve">Al analizar la muestra completa del Finance Report (510.803 filas, 51.504 order_id únicos, may-2025 → ago-2026) se observó que el 99,7% de las órdenes generan un cargo AUTHORIZATION_FEE (y FRAUD_SCREENING_FEE), aparentemente cobrado por intento independientemente del resultado, mientras que solo el 45,8% generan un registro SALE. Esto sugiere que la diferencia (AUTHORIZATION_FEE sin SALE) es un proxy de intentos rechazados.</w:t>
      </w:r>
    </w:p>
    <w:p>
      <w:r>
        <w:t xml:space="preserve"/>
      </w:r>
    </w:p>
    <w:p>
      <w:r>
        <w:rPr>
          <w:rFonts w:ascii="Arial" w:cs="Arial" w:eastAsia="Arial" w:hAnsi="Arial"/>
          <w:color w:val="4A235A"/>
          <w:sz w:val="18"/>
          <w:szCs w:val="18"/>
          <w:shd w:fill="E2D9F3" w:val="clear"/>
        </w:rPr>
        <w:t xml:space="preserve"> NOTA </w:t>
      </w:r>
      <w:r>
        <w:rPr>
          <w:rFonts w:ascii="Arial" w:cs="Arial" w:eastAsia="Arial" w:hAnsi="Arial"/>
          <w:color w:val="4A235A"/>
          <w:sz w:val="20"/>
          <w:szCs w:val="20"/>
        </w:rPr>
        <w:t xml:space="preserve">  Esta hipótesis se puso a prueba cruzando 326 order_id de una muestra real de Card Orders (con order_status explícito) contra el Finance Report. Resultado: 100% de acierto — 229/229 auth_failed → sin SALE, 97/97 settle_ok+refunded → con SALE. El proxy queda VALIDADO como base de medición a gran escala.</w:t>
      </w:r>
    </w:p>
    <w:p>
      <w:r>
        <w:t xml:space="preserve"/>
      </w:r>
    </w:p>
    <w:p>
      <w:r>
        <w:rPr>
          <w:rFonts w:ascii="Arial" w:cs="Arial" w:eastAsia="Arial" w:hAnsi="Arial"/>
          <w:sz w:val="22"/>
          <w:szCs w:val="22"/>
        </w:rPr>
        <w:t xml:space="preserve">Matiz: 13 de 242 órdenes auth_failed de la muestra (5,4%) no dejan ninguna huella en el Finance Report (ni SALE ni AUTHORIZATION_FEE). El proxy podría infra-contar el denominador real en ese orden de magnitud.</w:t>
      </w:r>
    </w:p>
    <w:p>
      <w:r>
        <w:t xml:space="preserve"/>
      </w:r>
    </w:p>
    <w:p>
      <w:pPr>
        <w:pStyle w:val="Heading2"/>
      </w:pPr>
      <w:r>
        <w:rPr>
          <w:rFonts w:ascii="Arial" w:cs="Arial" w:eastAsia="Arial" w:hAnsi="Arial"/>
        </w:rPr>
        <w:t xml:space="preserve">2.2 Decisión: Finances como serie temporal maestra, Orders como capa explicativa</w:t>
      </w:r>
    </w:p>
    <w:p>
      <w:r>
        <w:rPr>
          <w:rFonts w:ascii="Arial" w:cs="Arial" w:eastAsia="Arial" w:hAnsi="Arial"/>
          <w:sz w:val="22"/>
          <w:szCs w:val="22"/>
        </w:rPr>
        <w:t xml:space="preserve">El Finance Report no tiene columnas de causa de rechazo (código de decline, 3DS, banco emisor, cascada de routing) — esas solo existen en el Card Orders report. Pero el Card Orders report tiene filtros de exportación mucho más restrictivos (un descriptor / rango corto por exportación), por lo que replicarlo como histórico completo mensual (como se hizo con Finances) tendría un coste de mantenimiento manual alto para un beneficio incierto.</w:t>
      </w:r>
    </w:p>
    <w:p>
      <w:r>
        <w:t xml:space="preserve"/>
      </w:r>
    </w:p>
    <w:p>
      <w:r>
        <w:rPr>
          <w:rFonts w:ascii="Arial" w:cs="Arial" w:eastAsia="Arial" w:hAnsi="Arial"/>
          <w:sz w:val="22"/>
          <w:szCs w:val="22"/>
        </w:rPr>
        <w:t xml:space="preserve">Se decidió: usar el Finance Report (ya validado) como serie temporal maestra del ratio de aceptación, y complementarlo con muestras periódicas (no continuas) de Card Orders — 1-2 meses por trimestre y por descriptor principal — como capa explicativa de causas. Se revisará esta cadencia si los patrones de rechazo resultan más volátiles de lo esperado.</w:t>
      </w:r>
    </w:p>
    <w:p>
      <w:r>
        <w:t xml:space="preserve"/>
      </w:r>
    </w:p>
    <w:p>
      <w:pPr>
        <w:pStyle w:val="Heading2"/>
      </w:pPr>
      <w:r>
        <w:rPr>
          <w:rFonts w:ascii="Arial" w:cs="Arial" w:eastAsia="Arial" w:hAnsi="Arial"/>
        </w:rPr>
        <w:t xml:space="preserve">2.3 MIDs / sitios con movimiento (proxy desde nombre de fichero)</w:t>
      </w:r>
    </w:p>
    <w:p>
      <w:r>
        <w:rPr>
          <w:rFonts w:ascii="Arial" w:cs="Arial" w:eastAsia="Arial" w:hAnsi="Arial"/>
          <w:sz w:val="22"/>
          <w:szCs w:val="22"/>
        </w:rPr>
        <w:t xml:space="preserve">El Finance Report no exporta una columna Descriptor/MID explícita. Se derivó una agrupación por sitio a partir del nombre de fichero de exportación (Source.Name), cruzable después con la hoja MID + el campo provider para obtener el Descriptor real.</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700"/>
      </w:tblGrid>
      <w:tr>
        <w:tc>
          <w:tcPr>
            <w:tcW w:type="dxa" w:w="43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Sitio (proxy MID)</w:t>
            </w:r>
          </w:p>
        </w:tc>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 del volumen</w:t>
            </w:r>
          </w:p>
        </w:tc>
        <w:tc>
          <w:tcPr>
            <w:tcW w:type="dxa" w:w="27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Estado en hoja MID</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tfn_e_docshub_org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58,5%</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55724"/>
                <w:sz w:val="18"/>
                <w:szCs w:val="18"/>
                <w:shd w:fill="D4EDDA" w:val="clear"/>
              </w:rPr>
              <w:t xml:space="preserve"> VALIDADO </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itin_norgenic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5724"/>
                <w:sz w:val="18"/>
                <w:szCs w:val="18"/>
                <w:shd w:fill="D4EDDA" w:val="clear"/>
              </w:rPr>
              <w:t xml:space="preserve"> VALIDADO </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tfn_norgenic</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13,0%</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55724"/>
                <w:sz w:val="18"/>
                <w:szCs w:val="18"/>
                <w:shd w:fill="D4EDDA" w:val="clear"/>
              </w:rPr>
              <w:t xml:space="preserve"> VALIDADO </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ukpa_e_docshub_net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55724"/>
                <w:sz w:val="18"/>
                <w:szCs w:val="18"/>
                <w:shd w:fill="D4EDDA" w:val="clear"/>
              </w:rPr>
              <w:t xml:space="preserve"> VALIDADO </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aca_e_docshub_com / abn_norgenic / abn_australia / utf_taxesonline / ein_norgenic / norgenic / utf_norgenic</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&lt;0,5% combinado</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55724"/>
                <w:sz w:val="18"/>
                <w:szCs w:val="18"/>
                <w:shd w:fill="D4EDDA" w:val="clear"/>
              </w:rPr>
              <w:t xml:space="preserve"> VALIDADO </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nzbc_norgenic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21C24"/>
                <w:sz w:val="18"/>
                <w:szCs w:val="18"/>
                <w:shd w:fill="F8D7DA" w:val="clear"/>
              </w:rPr>
              <w:t xml:space="preserve"> BLOQUEANTE </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app_taxgov_org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&lt;0,1%</w:t>
            </w:r>
          </w:p>
        </w:tc>
        <w:tc>
          <w:tcPr>
            <w:tcW w:type="dxa" w:w="2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721C24"/>
                <w:sz w:val="18"/>
                <w:szCs w:val="18"/>
                <w:shd w:fill="F8D7DA" w:val="clear"/>
              </w:rPr>
              <w:t xml:space="preserve"> BLOQUEANTE </w:t>
            </w:r>
          </w:p>
        </w:tc>
      </w:tr>
    </w:tbl>
    <w:p>
      <w:r>
        <w:t xml:space="preserve"/>
      </w:r>
    </w:p>
    <w:p>
      <w:r>
        <w:rPr>
          <w:rFonts w:ascii="Arial" w:cs="Arial" w:eastAsia="Arial" w:hAnsi="Arial"/>
          <w:sz w:val="22"/>
          <w:szCs w:val="22"/>
        </w:rPr>
        <w:t xml:space="preserve">nzbc_norgenic y app_taxgov_org no existen en la hoja MID de referencia actual — o son sitios nuevos sin dar de alta, o el nombre de fichero no sigue la convención esperada. Sin resolver esto, cualquier fórmula que dependa de la hoja MID (ej. columna Connector en SG_Orders) fallará silenciosamente para esas órdenes.</w:t>
      </w:r>
    </w:p>
    <w:p>
      <w:r>
        <w:t xml:space="preserve"/>
      </w:r>
    </w:p>
    <w:p>
      <w:pPr>
        <w:pStyle w:val="Heading2"/>
      </w:pPr>
      <w:r>
        <w:rPr>
          <w:rFonts w:ascii="Arial" w:cs="Arial" w:eastAsia="Arial" w:hAnsi="Arial"/>
        </w:rPr>
        <w:t xml:space="preserve">2.4 Anomalía sin explicar: patrón de ventas +X / −X / +X</w:t>
      </w:r>
    </w:p>
    <w:p>
      <w:r>
        <w:rPr>
          <w:rFonts w:ascii="Arial" w:cs="Arial" w:eastAsia="Arial" w:hAnsi="Arial"/>
          <w:sz w:val="22"/>
          <w:szCs w:val="22"/>
        </w:rPr>
        <w:t xml:space="preserve">El 32,7% de las órdenes (16.848 de 51.504) presentan exactamente 3 registros SALE por order_id: la venta original, seguida horas/días después de un par reverso+recreación (−X seguido de +X) con el mismo importe, al mismo timestamp. El efecto económico neto es 0€, pero cualquier conteo de "número de ventas" que no agrupe por order_id queda inflado. No es un evento puntual — aparece repartido en decenas de fechas distintas a lo largo de todo el periodo.</w:t>
      </w:r>
    </w:p>
    <w:p>
      <w:r>
        <w:t xml:space="preserve"/>
      </w:r>
    </w:p>
    <w:p>
      <w:r>
        <w:rPr>
          <w:rFonts w:ascii="Arial" w:cs="Arial" w:eastAsia="Arial" w:hAnsi="Arial"/>
          <w:color w:val="4A235A"/>
          <w:sz w:val="18"/>
          <w:szCs w:val="18"/>
          <w:shd w:fill="E2D9F3" w:val="clear"/>
        </w:rPr>
        <w:t xml:space="preserve"> NOTA </w:t>
      </w:r>
      <w:r>
        <w:rPr>
          <w:rFonts w:ascii="Arial" w:cs="Arial" w:eastAsia="Arial" w:hAnsi="Arial"/>
          <w:color w:val="4A235A"/>
          <w:sz w:val="20"/>
          <w:szCs w:val="20"/>
        </w:rPr>
        <w:t xml:space="preserve">  Causa desconocida. Candidatos a investigar: reintento automático de captura, corrección de MID/routing, o mecanismo ligado a la resolución de disputas (Export_Report_Disputes ya advertía de que "los datos se sobrescriben"). No bloquea el uso del proxy de aceptación (que se mide por presencia/ausencia de SALE, no por su conteo), pero sí bloquea cualquier análisis futuro que cuente volumen de ventas por fila.</w:t>
      </w:r>
    </w:p>
    <w:p>
      <w:r>
        <w:t xml:space="preserve"/>
      </w:r>
    </w:p>
    <w:p>
      <w:pPr>
        <w:pStyle w:val="Heading1"/>
      </w:pPr>
      <w:r>
        <w:rPr>
          <w:rFonts w:ascii="Arial" w:cs="Arial" w:eastAsia="Arial" w:hAnsi="Arial"/>
        </w:rPr>
        <w:t xml:space="preserve">3. Lista de Cosas a Buscar / Confirmar</w:t>
      </w:r>
    </w:p>
    <w:p>
      <w:r>
        <w:rPr>
          <w:rFonts w:ascii="Arial" w:cs="Arial" w:eastAsia="Arial" w:hAnsi="Arial"/>
          <w:sz w:val="22"/>
          <w:szCs w:val="22"/>
        </w:rPr>
        <w:t xml:space="preserve">Organizada por área. La prioridad refleja impacto potencial sobre el objetivo de optimizar el ratio de aceptación, no dificultad de obtención.</w:t>
      </w:r>
    </w:p>
    <w:p>
      <w:r>
        <w:t xml:space="preserve"/>
      </w:r>
    </w:p>
    <w:p>
      <w:pPr>
        <w:pStyle w:val="Heading2"/>
      </w:pPr>
      <w:r>
        <w:rPr>
          <w:rFonts w:ascii="Arial" w:cs="Arial" w:eastAsia="Arial" w:hAnsi="Arial"/>
        </w:rPr>
        <w:t xml:space="preserve">3.1 Causas de rechazo (el núcleo del análisis)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200"/>
      </w:tblGrid>
      <w:tr>
        <w:tc>
          <w:tcPr>
            <w:tcW w:type="dxa" w:w="43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Qué buscar</w:t>
            </w:r>
          </w:p>
        </w:tc>
        <w:tc>
          <w:tcPr>
            <w:tcW w:type="dxa" w:w="29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Dónde</w:t>
            </w:r>
          </w:p>
        </w:tc>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Prioridad</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Catálogo completo de order_error_code y su significado (decline reason)</w:t>
            </w:r>
          </w:p>
        </w:tc>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Card Orders report / documentación de Solidgate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721C24"/>
                <w:sz w:val="18"/>
                <w:szCs w:val="18"/>
                <w:shd w:fill="F8D7DA" w:val="clear"/>
              </w:rPr>
              <w:t xml:space="preserve"> PRIORIDAD ALTA </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Distribución de order_error_code por MID, banco emisor y marca de tarjeta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Muestra trimestral de Card Orders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21C24"/>
                <w:sz w:val="18"/>
                <w:szCs w:val="18"/>
                <w:shd w:fill="F8D7DA" w:val="clear"/>
              </w:rPr>
              <w:t xml:space="preserve"> PRIORIDAD ALTA </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Efecto de transaction_authorization_type (3DS vs no-3DS) sobre la tasa de aceptación</w:t>
            </w:r>
          </w:p>
        </w:tc>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Card Orders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721C24"/>
                <w:sz w:val="18"/>
                <w:szCs w:val="18"/>
                <w:shd w:fill="F8D7DA" w:val="clear"/>
              </w:rPr>
              <w:t xml:space="preserve"> PRIORIDAD ALTA </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Efecto de routing.cascade_number — ¿los reintentos de cascada recuperan ventas o solo añaden fricción?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Orders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56404"/>
                <w:sz w:val="18"/>
                <w:szCs w:val="18"/>
                <w:shd w:fill="FFF3CD" w:val="clear"/>
              </w:rPr>
              <w:t xml:space="preserve"> PRIORIDAD MEDIA </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¿Existen reglas de routing/cascada configurables en Solidgate que no se estén aprovechando?</w:t>
            </w:r>
          </w:p>
        </w:tc>
        <w:tc>
          <w:tcPr>
            <w:tcW w:type="dxa" w:w="2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Panel de Solidgate Hub / soporte Solidgate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856404"/>
                <w:sz w:val="18"/>
                <w:szCs w:val="18"/>
                <w:shd w:fill="FFF3CD" w:val="clear"/>
              </w:rPr>
              <w:t xml:space="preserve"> PRIORIDAD MEDIA </w:t>
            </w:r>
          </w:p>
        </w:tc>
      </w:tr>
    </w:tbl>
    <w:p>
      <w:r>
        <w:t xml:space="preserve"/>
      </w:r>
    </w:p>
    <w:p>
      <w:pPr>
        <w:pStyle w:val="Heading2"/>
      </w:pPr>
      <w:r>
        <w:rPr>
          <w:rFonts w:ascii="Arial" w:cs="Arial" w:eastAsia="Arial" w:hAnsi="Arial"/>
        </w:rPr>
        <w:t xml:space="preserve">3.2 Validación y cobertura de datos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1800"/>
      </w:tblGrid>
      <w:tr>
        <w:tc>
          <w:tcPr>
            <w:tcW w:type="dxa" w:w="43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Qué buscar</w:t>
            </w:r>
          </w:p>
        </w:tc>
        <w:tc>
          <w:tcPr>
            <w:tcW w:type="dxa" w:w="33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Dónde</w:t>
            </w:r>
          </w:p>
        </w:tc>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Prioridad</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Por qué el 5,4% de auth_failed no deja huella en el Finance Report (¿tipo de rechazo sin fee?)</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Cruce Card Orders ↔ Finance Report a mayor escala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856404"/>
                <w:sz w:val="18"/>
                <w:szCs w:val="18"/>
                <w:shd w:fill="FFF3CD" w:val="clear"/>
              </w:rPr>
              <w:t xml:space="preserve"> PRIORIDAD MEDIA </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Explicación del patrón +X/−X/+X en SALE (32,7% de las órdenes)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Soporte Solidgate / comparación con fechas de disputas y de settlement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21C24"/>
                <w:sz w:val="18"/>
                <w:szCs w:val="18"/>
                <w:shd w:fill="F8D7DA" w:val="clear"/>
              </w:rPr>
              <w:t xml:space="preserve"> PRIORIDAD ALTA </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Confirmar mapeo completo de nzbc_norgenic y app_taxgov_org (¿sitios nuevos? ¿naming distinto?)</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Equipo interno / hoja MID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721C24"/>
                <w:sz w:val="18"/>
                <w:szCs w:val="18"/>
                <w:shd w:fill="F8D7DA" w:val="clear"/>
              </w:rPr>
              <w:t xml:space="preserve"> PRIORIDAD ALTA </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Confirmar mapeo completo de códigos de estado del CSV histórico (TFN, ACA...) → estados reales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 identificado en el contexto previo — sigue pendiente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56404"/>
                <w:sz w:val="18"/>
                <w:szCs w:val="18"/>
                <w:shd w:fill="FFF3CD" w:val="clear"/>
              </w:rPr>
              <w:t xml:space="preserve"> PRIORIDAD MEDIA </w:t>
            </w:r>
          </w:p>
        </w:tc>
      </w:tr>
    </w:tbl>
    <w:p>
      <w:r>
        <w:t xml:space="preserve"/>
      </w:r>
    </w:p>
    <w:p>
      <w:pPr>
        <w:pStyle w:val="Heading2"/>
      </w:pPr>
      <w:r>
        <w:rPr>
          <w:rFonts w:ascii="Arial" w:cs="Arial" w:eastAsia="Arial" w:hAnsi="Arial"/>
        </w:rPr>
        <w:t xml:space="preserve">3.3 Medios de pago (detalle)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1800"/>
      </w:tblGrid>
      <w:tr>
        <w:tc>
          <w:tcPr>
            <w:tcW w:type="dxa" w:w="43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Qué buscar</w:t>
            </w:r>
          </w:p>
        </w:tc>
        <w:tc>
          <w:tcPr>
            <w:tcW w:type="dxa" w:w="33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Dónde</w:t>
            </w:r>
          </w:p>
        </w:tc>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Prioridad</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¿Existen medios de pago más allá de tarjeta (wallets, Revolut directo, APM)? La muestra actual es ~100% card</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Card Orders / Solidgate Hub, filtrando por payment_method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856404"/>
                <w:sz w:val="18"/>
                <w:szCs w:val="18"/>
                <w:shd w:fill="FFF3CD" w:val="clear"/>
              </w:rPr>
              <w:t xml:space="preserve"> PRIORIDAD MEDIA </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Distribución de card_brand y bank por MID — ¿algún banco/marca concentra los rechazos?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Orders + Finance Report (card_brand ya disponible en 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21C24"/>
                <w:sz w:val="18"/>
                <w:szCs w:val="18"/>
                <w:shd w:fill="F8D7DA" w:val="clear"/>
              </w:rPr>
              <w:t xml:space="preserve"> PRIORIDAD ALTA </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Mismatch geo_country vs issuing_country / transaction.card.country — señal de fraude o de fricción real</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Finance Report (ya disponible) + Card Orders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856404"/>
                <w:sz w:val="18"/>
                <w:szCs w:val="18"/>
                <w:shd w:fill="FFF3CD" w:val="clear"/>
              </w:rPr>
              <w:t xml:space="preserve"> PRIORIDAD MEDIA </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order_fraudulent y order_is_secured — ¿aportan valor una vez rellenos, o siguen vacíos en producción?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Orders (vacíos en la muestra actual)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83D41"/>
                <w:sz w:val="18"/>
                <w:szCs w:val="18"/>
                <w:shd w:fill="E2E3E5" w:val="clear"/>
              </w:rPr>
              <w:t xml:space="preserve"> PRIORIDAD BAJA </w:t>
            </w:r>
          </w:p>
        </w:tc>
      </w:tr>
    </w:tbl>
    <w:p>
      <w:r>
        <w:t xml:space="preserve"/>
      </w:r>
    </w:p>
    <w:p>
      <w:pPr>
        <w:pStyle w:val="Heading2"/>
      </w:pPr>
      <w:r>
        <w:rPr>
          <w:rFonts w:ascii="Arial" w:cs="Arial" w:eastAsia="Arial" w:hAnsi="Arial"/>
        </w:rPr>
        <w:t xml:space="preserve">3.4 Fraude y disputas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1800"/>
      </w:tblGrid>
      <w:tr>
        <w:tc>
          <w:tcPr>
            <w:tcW w:type="dxa" w:w="43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Qué buscar</w:t>
            </w:r>
          </w:p>
        </w:tc>
        <w:tc>
          <w:tcPr>
            <w:tcW w:type="dxa" w:w="33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Dónde</w:t>
            </w:r>
          </w:p>
        </w:tc>
        <w:tc>
          <w:tcPr>
            <w:tcW w:type="dxa" w:w="18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Prioridad</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Reevaluar el reporte de Alertas ("sin valor" fue documentado, pero no está claro si se evaluó para este objetivo)</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/fraud-prevention/alerts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856404"/>
                <w:sz w:val="18"/>
                <w:szCs w:val="18"/>
                <w:shd w:fill="FFF3CD" w:val="clear"/>
              </w:rPr>
              <w:t xml:space="preserve"> PRIORIDAD MEDIA </w:t>
            </w:r>
          </w:p>
        </w:tc>
      </w:tr>
      <w:tr>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Relación entre chargeback_reason_code / VAMP y el order_error_code de la orden original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Export_Report_Disputes cruzado con Card 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56404"/>
                <w:sz w:val="18"/>
                <w:szCs w:val="18"/>
                <w:shd w:fill="FFF3CD" w:val="clear"/>
              </w:rPr>
              <w:t xml:space="preserve"> PRIORIDAD MEDIA </w:t>
            </w:r>
          </w:p>
        </w:tc>
      </w:tr>
      <w:tr>
        <w:tc>
          <w:tcPr>
            <w:tcW w:type="dxa" w:w="4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volumen de RDR (aparecen como "venta" y no como "refund") distorsiona algún cálculo de aceptación?</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Ya detectado en Export_Report_Finances — evaluar impacto en el proxy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383D41"/>
                <w:sz w:val="18"/>
                <w:szCs w:val="18"/>
                <w:shd w:fill="E2E3E5" w:val="clear"/>
              </w:rPr>
              <w:t xml:space="preserve"> PRIORIDAD BAJA </w:t>
            </w:r>
          </w:p>
        </w:tc>
      </w:tr>
    </w:tbl>
    <w:p>
      <w:r>
        <w:t xml:space="preserve"/>
      </w:r>
    </w:p>
    <w:p>
      <w:pPr>
        <w:pStyle w:val="Heading1"/>
      </w:pPr>
      <w:r>
        <w:rPr>
          <w:rFonts w:ascii="Arial" w:cs="Arial" w:eastAsia="Arial" w:hAnsi="Arial"/>
        </w:rPr>
        <w:t xml:space="preserve">4. Plan de Acción por Fases</w:t>
      </w:r>
    </w:p>
    <w:p>
      <w:pPr>
        <w:pStyle w:val="Heading2"/>
      </w:pPr>
      <w:r>
        <w:rPr>
          <w:rFonts w:ascii="Arial" w:cs="Arial" w:eastAsia="Arial" w:hAnsi="Arial"/>
        </w:rPr>
        <w:t xml:space="preserve">Fase 1 — Consolidar la medición (base ya validada)</w:t>
      </w:r>
    </w:p>
    <w:p>
      <w:pPr>
        <w:pStyle w:val="ListParagraph"/>
        <w:numPr>
          <w:ilvl w:val="0"/>
          <w:numId w:val="3"/>
        </w:numPr>
      </w:pPr>
      <w:r>
        <w:rPr>
          <w:rFonts w:ascii="Arial" w:cs="Arial" w:eastAsia="Arial" w:hAnsi="Arial"/>
          <w:sz w:val="22"/>
          <w:szCs w:val="22"/>
        </w:rPr>
        <w:t xml:space="preserve">Construir el ratio de aceptación proxy (SALE / (SALE ∪ AUTHORIZATION_FEE)) sobre el histórico completo del Finance Report, agrupado por order_id.</w:t>
      </w:r>
    </w:p>
    <w:p>
      <w:pPr>
        <w:pStyle w:val="ListParagraph"/>
        <w:numPr>
          <w:ilvl w:val="0"/>
          <w:numId w:val="3"/>
        </w:numPr>
      </w:pPr>
      <w:r>
        <w:rPr>
          <w:rFonts w:ascii="Arial" w:cs="Arial" w:eastAsia="Arial" w:hAnsi="Arial"/>
          <w:sz w:val="22"/>
          <w:szCs w:val="22"/>
        </w:rPr>
        <w:t xml:space="preserve">Desglosar la serie temporal por sitio/MID (usando la tabla de la sección 2.3) para detectar si algún MID concreto tiene peor ratio.</w:t>
      </w:r>
    </w:p>
    <w:p>
      <w:pPr>
        <w:pStyle w:val="ListParagraph"/>
        <w:numPr>
          <w:ilvl w:val="0"/>
          <w:numId w:val="3"/>
        </w:numPr>
      </w:pPr>
      <w:r>
        <w:rPr>
          <w:rFonts w:ascii="Arial" w:cs="Arial" w:eastAsia="Arial" w:hAnsi="Arial"/>
          <w:sz w:val="22"/>
          <w:szCs w:val="22"/>
        </w:rPr>
        <w:t xml:space="preserve">Resolver el mapeo de nzbc_norgenic y app_taxgov_org antes de dar el desglose por MID como definitivo.</w:t>
      </w:r>
    </w:p>
    <w:p>
      <w:r>
        <w:t xml:space="preserve"/>
      </w:r>
    </w:p>
    <w:p>
      <w:pPr>
        <w:pStyle w:val="Heading2"/>
      </w:pPr>
      <w:r>
        <w:rPr>
          <w:rFonts w:ascii="Arial" w:cs="Arial" w:eastAsia="Arial" w:hAnsi="Arial"/>
        </w:rPr>
        <w:t xml:space="preserve">Fase 2 — Añadir la capa explicativa</w:t>
      </w:r>
    </w:p>
    <w:p>
      <w:pPr>
        <w:pStyle w:val="ListParagraph"/>
        <w:numPr>
          <w:ilvl w:val="0"/>
          <w:numId w:val="3"/>
        </w:numPr>
      </w:pPr>
      <w:r>
        <w:rPr>
          <w:rFonts w:ascii="Arial" w:cs="Arial" w:eastAsia="Arial" w:hAnsi="Arial"/>
          <w:sz w:val="22"/>
          <w:szCs w:val="22"/>
        </w:rPr>
        <w:t xml:space="preserve">Definir con el equipo qué 2-3 MIDs/periodos priorizar para la primera muestra trimestral de Card Orders (candidatos naturales: los de peor ratio detectado en la Fase 1).</w:t>
      </w:r>
    </w:p>
    <w:p>
      <w:pPr>
        <w:pStyle w:val="ListParagraph"/>
        <w:numPr>
          <w:ilvl w:val="0"/>
          <w:numId w:val="3"/>
        </w:numPr>
      </w:pPr>
      <w:r>
        <w:rPr>
          <w:rFonts w:ascii="Arial" w:cs="Arial" w:eastAsia="Arial" w:hAnsi="Arial"/>
          <w:sz w:val="22"/>
          <w:szCs w:val="22"/>
        </w:rPr>
        <w:t xml:space="preserve">Exportar esa muestra sin el filtro que excluye auth_failed, con las columnas ya identificadas como de alto valor (order_status, order_error_code, transaction_authorization_type, routing.cascade_number, transaction.card.brand/bank/country, mid).</w:t>
      </w:r>
    </w:p>
    <w:p>
      <w:pPr>
        <w:pStyle w:val="ListParagraph"/>
        <w:numPr>
          <w:ilvl w:val="0"/>
          <w:numId w:val="3"/>
        </w:numPr>
      </w:pPr>
      <w:r>
        <w:rPr>
          <w:rFonts w:ascii="Arial" w:cs="Arial" w:eastAsia="Arial" w:hAnsi="Arial"/>
          <w:sz w:val="22"/>
          <w:szCs w:val="22"/>
        </w:rPr>
        <w:t xml:space="preserve">Cruzar por order_id contra el Finance Report del mismo periodo para anclar causas de rechazo a la serie temporal ya validada.</w:t>
      </w:r>
    </w:p>
    <w:p>
      <w:r>
        <w:t xml:space="preserve"/>
      </w:r>
    </w:p>
    <w:p>
      <w:pPr>
        <w:pStyle w:val="Heading2"/>
      </w:pPr>
      <w:r>
        <w:rPr>
          <w:rFonts w:ascii="Arial" w:cs="Arial" w:eastAsia="Arial" w:hAnsi="Arial"/>
        </w:rPr>
        <w:t xml:space="preserve">Fase 3 — Investigar anomalías bloqueantes</w:t>
      </w:r>
    </w:p>
    <w:p>
      <w:pPr>
        <w:pStyle w:val="ListParagraph"/>
        <w:numPr>
          <w:ilvl w:val="0"/>
          <w:numId w:val="3"/>
        </w:numPr>
      </w:pPr>
      <w:r>
        <w:rPr>
          <w:rFonts w:ascii="Arial" w:cs="Arial" w:eastAsia="Arial" w:hAnsi="Arial"/>
          <w:sz w:val="22"/>
          <w:szCs w:val="22"/>
        </w:rPr>
        <w:t xml:space="preserve">Escalar a soporte de Solidgate (o revisar documentación de reprocesamiento) el patrón +X/−X/+X en SALE.</w:t>
      </w:r>
    </w:p>
    <w:p>
      <w:pPr>
        <w:pStyle w:val="ListParagraph"/>
        <w:numPr>
          <w:ilvl w:val="0"/>
          <w:numId w:val="3"/>
        </w:numPr>
      </w:pPr>
      <w:r>
        <w:rPr>
          <w:rFonts w:ascii="Arial" w:cs="Arial" w:eastAsia="Arial" w:hAnsi="Arial"/>
          <w:sz w:val="22"/>
          <w:szCs w:val="22"/>
        </w:rPr>
        <w:t xml:space="preserve">Confirmar con el equipo si nzbc_norgenic y app_taxgov_org son sitios nuevos legítimos; si lo son, actualizar la hoja MID.</w:t>
      </w:r>
    </w:p>
    <w:p>
      <w:r>
        <w:t xml:space="preserve"/>
      </w:r>
    </w:p>
    <w:p>
      <w:pPr>
        <w:pStyle w:val="Heading2"/>
      </w:pPr>
      <w:r>
        <w:rPr>
          <w:rFonts w:ascii="Arial" w:cs="Arial" w:eastAsia="Arial" w:hAnsi="Arial"/>
        </w:rPr>
        <w:t xml:space="preserve">Fase 4 — Pasar de medir a actuar</w:t>
      </w:r>
    </w:p>
    <w:p>
      <w:pPr>
        <w:pStyle w:val="ListParagraph"/>
        <w:numPr>
          <w:ilvl w:val="0"/>
          <w:numId w:val="3"/>
        </w:numPr>
      </w:pPr>
      <w:r>
        <w:rPr>
          <w:rFonts w:ascii="Arial" w:cs="Arial" w:eastAsia="Arial" w:hAnsi="Arial"/>
          <w:sz w:val="22"/>
          <w:szCs w:val="22"/>
        </w:rPr>
        <w:t xml:space="preserve">Con la capa explicativa ya cruzada, identificar palancas de mejora accionables: ¿activar/ajustar 3DS selectivamente? ¿revisar reglas de cascada de routing? ¿retirar un banco/BIN problemático de un MID concreto?</w:t>
      </w:r>
    </w:p>
    <w:p>
      <w:pPr>
        <w:pStyle w:val="ListParagraph"/>
        <w:numPr>
          <w:ilvl w:val="0"/>
          <w:numId w:val="3"/>
        </w:numPr>
      </w:pPr>
      <w:r>
        <w:rPr>
          <w:rFonts w:ascii="Arial" w:cs="Arial" w:eastAsia="Arial" w:hAnsi="Arial"/>
          <w:sz w:val="22"/>
          <w:szCs w:val="22"/>
        </w:rPr>
        <w:t xml:space="preserve">Definir el formato final de seguimiento (dashboard en Sheets, o migrar a una herramienta de mayor capacidad de tratamiento si el volumen — ya en cientos de miles de filas — lo justifica).</w:t>
      </w:r>
    </w:p>
    <w:p>
      <w:r>
        <w:t xml:space="preserve"/>
      </w:r>
    </w:p>
    <w:p>
      <w:pPr>
        <w:pStyle w:val="Heading1"/>
      </w:pPr>
      <w:r>
        <w:rPr>
          <w:rFonts w:ascii="Arial" w:cs="Arial" w:eastAsia="Arial" w:hAnsi="Arial"/>
        </w:rPr>
        <w:t xml:space="preserve">5. Diario de Decisiones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700"/>
      </w:tblGrid>
      <w:tr>
        <w:tc>
          <w:tcPr>
            <w:tcW w:type="dxa" w:w="26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Decisión</w:t>
            </w:r>
          </w:p>
        </w:tc>
        <w:tc>
          <w:tcPr>
            <w:tcW w:type="dxa" w:w="31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Alternativas valoradas</w:t>
            </w:r>
          </w:p>
        </w:tc>
        <w:tc>
          <w:tcPr>
            <w:tcW w:type="dxa" w:w="37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vAlign w:val="center"/>
          </w:tcPr>
          <w:p>
            <w:r>
              <w:rPr>
                <w:rFonts w:ascii="Arial" w:cs="Arial" w:eastAsia="Arial" w:hAnsi="Arial"/>
                <w:b/>
                <w:bCs/>
                <w:color w:val="FFFFFF"/>
                <w:sz w:val="19"/>
                <w:szCs w:val="19"/>
              </w:rPr>
              <w:t xml:space="preserve">Razonamiento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Usar el proxy SALE/AUTHORIZATION_FEE del Finance Report como medición del ratio de aceptación</w:t>
            </w:r>
          </w:p>
        </w:tc>
        <w:tc>
          <w:tcPr>
            <w:tcW w:type="dxa" w:w="3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Solo proxy Finance; B) Migrar todo a Card Orders; C) Híbrido proxy + validación cruzada</w:t>
            </w:r>
          </w:p>
        </w:tc>
        <w:tc>
          <w:tcPr>
            <w:tcW w:type="dxa" w:w="3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 eligió C: el proxy es barato (dato ya disponible) y se validó al 100% contra una muestra real de Card Orders. B se descartó por el coste de exportación recurrente del Card Orders report (filtros restrictivos, sin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replicar el histórico completo de Card Orders con la misma cadencia que Finances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Espejo mensual completo vs. muestreo trimestral por MID prioritario</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Orders aporta causas (variables explicativas), no la serie temporal en sí. Se asume que la distribución de causas de rechazo es más estable en el tiempo que el propio ratio, por lo que un muestreo periódico es suficiente salvo que se demuestre lo contrario.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Excluir columnas de PII (email, nombre, dirección, nº de tarjeta) de cualquier histórico agregado de Card Orders</w:t>
            </w:r>
          </w:p>
        </w:tc>
        <w:tc>
          <w:tcPr>
            <w:tcW w:type="dxa" w:w="3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Incluir todo el export tal cual vs. filtrar antes de consolidar</w:t>
            </w:r>
          </w:p>
        </w:tc>
        <w:tc>
          <w:tcPr>
            <w:tcW w:type="dxa" w:w="3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aportan valor al análisis estadístico de aceptación/fraude a nivel agregado, y su inclusión innecesaria en una capa de análisis/dashboard incrementa el riesgo de exposición de datos personales.</w:t>
            </w:r>
          </w:p>
        </w:tc>
      </w:tr>
    </w:tbl>
    <w:p>
      <w:r>
        <w:t xml:space="preserve"/>
      </w:r>
    </w:p>
    <w:p>
      <w:r>
        <w:t xml:space="preserve"/>
      </w:r>
    </w:p>
    <w:p>
      <w:pPr>
        <w:jc w:val="center"/>
      </w:pPr>
      <w:r>
        <w:rPr>
          <w:rFonts w:ascii="Arial" w:cs="Arial" w:eastAsia="Arial" w:hAnsi="Arial"/>
          <w:i/>
          <w:iCs/>
          <w:color w:val="AAAAAA"/>
          <w:sz w:val="20"/>
          <w:szCs w:val="20"/>
        </w:rPr>
        <w:t xml:space="preserve">— Documento provisional v0.1. Sujeto a revisión continua a medida que avance la investigación.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F8A" w:sz="4" w:space="4"/>
      </w:pBdr>
      <w:spacing w:after="160" w:before="400"/>
      <w:outlineLvl w:val="0"/>
    </w:pPr>
    <w:rPr>
      <w:rFonts w:ascii="Arial" w:cs="Arial" w:eastAsia="Arial" w:hAnsi="Arial"/>
      <w:b/>
      <w:bCs/>
      <w:color w:val="2C5F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2026-09-08T13:14:08.547Z</dcterms:created>
  <dcterms:modified xsi:type="dcterms:W3CDTF">2026-09-08T13:14:08.558Z</dcterms:modified>
</cp:coreProperties>
</file>

<file path=docProps/custom.xml><?xml version="1.0" encoding="utf-8"?>
<Properties xmlns="http://schemas.openxmlformats.org/officeDocument/2006/custom-properties" xmlns:vt="http://schemas.openxmlformats.org/officeDocument/2006/docPropsVTypes"/>
</file>