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1"/>
          <w:bCs w:val="1"/>
          <w:i w:val="0"/>
          <w:iCs w:val="0"/>
          <w:smallCaps w:val="0"/>
          <w:strike w:val="0"/>
          <w:color w:val="000000"/>
          <w:sz w:val="36"/>
          <w:szCs w:val="36"/>
          <w:u w:val="none"/>
          <w:shd w:fill="auto" w:val="clear"/>
          <w:vertAlign w:val="baseline"/>
        </w:rPr>
        <w:sectPr>
          <w:footerReference r:id="rId6" w:type="even"/>
          <w:pgSz w:h="15840" w:w="12240" w:orient="portrait"/>
          <w:pgMar w:bottom="1440" w:top="1080" w:left="1080" w:right="1080" w:header="720" w:footer="720"/>
          <w:pgNumType w:start="1"/>
        </w:sect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Phase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Tony Nguyen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Owen Sartele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Garrett Vukovich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continuous"/>
          <w:pgSz w:h="15840" w:w="12240" w:orient="portrait"/>
          <w:pgMar w:bottom="1440" w:top="1080" w:left="1080" w:right="1080" w:header="720" w:footer="720"/>
          <w:cols w:equalWidth="0" w:num="3">
            <w:col w:space="0" w:w="3360"/>
            <w:col w:space="0" w:w="3360"/>
            <w:col w:space="0" w:w="3360"/>
          </w:cols>
        </w:sectPr>
      </w:pPr>
      <w:r w:rsidDel="00000000" w:rsidR="00000000" w:rsidRPr="00000000">
        <w:rPr>
          <w:rtl w:val="0"/>
        </w:rPr>
      </w:r>
    </w:p>
    <w:p w:rsidR="00000000" w:rsidDel="00000000" w:rsidP="00000000" w:rsidRDefault="00000000" w:rsidRPr="00000000" w14:paraId="00000008">
      <w:pPr>
        <w:pStyle w:val="Heading1"/>
        <w:numPr>
          <w:ilvl w:val="0"/>
          <w:numId w:val="1"/>
        </w:numPr>
        <w:spacing w:before="120" w:lineRule="auto"/>
        <w:rPr/>
      </w:pPr>
      <w:r w:rsidDel="00000000" w:rsidR="00000000" w:rsidRPr="00000000">
        <w:rPr>
          <w:rtl w:val="0"/>
        </w:rPr>
        <w:t xml:space="preserve">INTRODUCTION</w:t>
      </w:r>
    </w:p>
    <w:p w:rsidR="00000000" w:rsidDel="00000000" w:rsidP="00000000" w:rsidRDefault="00000000" w:rsidRPr="00000000" w14:paraId="00000009">
      <w:pPr>
        <w:pStyle w:val="Heading1"/>
        <w:spacing w:before="120" w:lineRule="auto"/>
        <w:ind w:firstLine="720"/>
        <w:rPr>
          <w:b w:val="0"/>
          <w:bCs w:val="0"/>
          <w:sz w:val="18"/>
          <w:szCs w:val="18"/>
        </w:rPr>
      </w:pPr>
      <w:r w:rsidDel="00000000" w:rsidR="00000000" w:rsidRPr="00000000">
        <w:rPr>
          <w:b w:val="0"/>
          <w:bCs w:val="0"/>
          <w:sz w:val="18"/>
          <w:szCs w:val="18"/>
          <w:rtl w:val="0"/>
        </w:rPr>
        <w:t xml:space="preserve">Modern software development relies heavily on automated testing to ensure reliability and correctness, yet creating and maintaining high-quality test suites remains costly in both time and resources. Tests must be continuously updated as source code evolves, and shortcomings in current automated testing strategies often lead to fragile or unrealistic test scenarios that developers find difficult to understand [1]. This challenge is particularly significant given that software maintenance is widely recognized as both difficult and expensive, commonly accounting for around 60% of the total software costs [1]. Furthermore, two recent analyses of test case failures across 211 Apache Software Foundation projects and 61 open-source projects reported that broken test cases account for 14% and 22% of failures, respectively [2]. Broken or outdated test cases that remain unrepaired can degrade the effectiveness of a test suite, disrupt development workflows, and waste valuable engineering effort. Additionally, false alarms caused by faulty test code rather than actual system defects can further reduce productivity.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Due to the bottleneck that test maintenance creates in the software development pipeline, Automatic Test Repair (ATR) has become a popular field of study. The literature for automatic test repair (ATR) can be categorized into three distinct phases, or waves. Wave 1 is characterized by algorithmic and rule-based approaches to ATR. Groundbreaking tools such as ReAssert utilized a combination of dynamic execution analysis and static code transformation to suggest repairs for broken assertions. [3] Another tool, SITAR, handles broken GUI tests by reverse engineering an updated application to create an event-flow graph to identify alternative paths to satisfy the original test goal [4]. Although the deterministic methodologies of these tools yielded high precision, they are limited by their reliance on rigid templates and inability to handle complex semantic shifts. As a result, they cannot keep up with the pace of modern continuous integration and development cycles. This has been further complicated by modern microservice architectures where dependencies and interfaces evolve rapidly. [5]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t xml:space="preserve">The evolution of Large Language Models (LLMs) and their introduction to the testing lifecycle introduced a Wave 2 in ATR research focused on zero-shot prompting of LLMs. Unlike the previous Wave 1 tools limited by rigid heuristics, using LLMs new tools could reason about code structure and semantics. One tool, ChatUniTest, bridges the gap between Wave 1 and Wave 2 by using the static analysis concepts from Wave 1 to craft more descriptive prompts for the LLM achieving 59.6% line coverage in newly generated test suites outperforming Wave 1 tools such as EvoSuite [6]. By first converting java files to an Abstract Syntax Tree (AST) and extracting information at the class and method levels, the LLM is provided only the relevant details about the focal method. However, establishing this traceability in large codebases using static analysis remains a challenge. ChatUniTest then uses a prompt template and extracts code from the LLM response and validates it based on syntax, ability to compile, and runtime errors. If a validation step is failed, ChatUniTest uses either a rule-based repair or LLM-based repair to iteratively repair the test until it passes [6]. This framework lays the foundation for Wave 3 agentic AI ATR by arguing that zero-shot prompting is not sufficient for test generation and showing the efficacy of an iterative repair loop.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t xml:space="preserve">While ChatUnitTest showed promising improvements in test coverage through iterative repair with LLMs, it still operates in a closed loop. The emergence of agentic AI has brought on the third wave of ATR research in Agentic Testing. Using multiple agents with shared memory and reinforcement signals from execution outcomes tests can be autonomously refined until reaching specified convergence criteria. Studies on Agentic Testing Architectures (ATA) have shown a reduction in invalid test cases by 60% and an improvement in code coverage by 30% over the Wave 2 static LLM-based testing [5].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t xml:space="preserve">Despite the promise of agentic AI, gaps remain in the process of systematic synchronization between tests and source code. Existing research often assumes simple 1:1 mappings between tests and focal methods; however, in large-scale Java projects identifying which method is targeted by a test is rarely simple [7]. The LLM and agentic AI tools for ATR typically rely on naming conventions which are brittle and prone to failure, or file-level context which has been shown to increase hallucination in the agents [7]. In the existing literature, an ai agent may be capable of “fixing” a test to pass against the modified source code; it does so by updating the assertions to match the new behavior without semantic validation, referred to as regression blindness. None of the current explored frameworks investigate a combination of precise AST-based mapping while also doing a comparative analysis of agentic repair versus human-written ground truth tests.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To address these gaps in existing research, we propose a hybrid algorithmic and agentic framework for autonomous test synchronization. Our solution will first implement a deterministic tool to predict the method-to-test mappings using Abstract Syntax Tree (AST) parsing. By identifying focal method invocations within JUnit test methods, we will provide the AI agent with a more specific context thereby reducing noise and improving the accuracy of repairs. We will evaluate two different approaches to synchronization. (1.) A regenerative synchronization approach where the agent generates a new test suite based on the modified source code and merges it with the existing test suite. (2.) An iterative healing approach where an agent analyzes the failure logs to apply patches specifically to broken tests. The effectiveness of each approach will be measured by comparing the resulting test suites against the original human-written tests using statement coverage and mutation testing. The aim of our research is to quantify whether AI agents can maintain the health of a test suite while autonomously keeping the test suite in sync with the evolving focal class.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numPr>
          <w:ilvl w:val="0"/>
          <w:numId w:val="1"/>
        </w:numPr>
        <w:spacing w:before="120" w:lineRule="auto"/>
        <w:rPr/>
      </w:pPr>
      <w:r w:rsidDel="00000000" w:rsidR="00000000" w:rsidRPr="00000000">
        <w:rPr>
          <w:rtl w:val="0"/>
        </w:rPr>
        <w:t xml:space="preserve">REFERENCES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Sina Shamshiri, José Miguel Rojas, Juan Pablo Galeotti, Neil Walkinshaw, and Gordon Fraser. 2018. How Do Automatically Generated Unit Tests Influence Software Maintenance?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Proceedings of the 2018 IEEE 11th International Conference on Software Testing, Verification and Validation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(ICST '18). IEEE Computer Society, USA, 250–261.</w:t>
      </w:r>
      <w:hyperlink r:id="rId7">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 </w:t>
        </w:r>
      </w:hyperlink>
      <w:hyperlink r:id="rId8">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https://doi.org/10.1109/ICST.2018.00033</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Abdansaboor Yaraghi, Daniel Holden, Niloofar Kahani, and Lionel Briand. 2025. Automated Test Case Repair Using Language Models.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IEEE Trans. Softw. Eng.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(2025).</w:t>
      </w:r>
      <w:hyperlink r:id="rId9">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 https://doi.org/10.48550/arXiv.2401.06765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Brett Daniel, Vilas Jagannath, Digant Joshi, Marin Marinov, Darko Marinov, and Munawar Hafiz. 2009.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ReAssert: Suggesting Repairs for Broken Unit Tests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 Proceedings of the 2009 IEEE/ACM International Conference on Automated Software Engineering (ASE '09). IEEE Computer Society, USA, 433–444.</w:t>
      </w:r>
      <w:hyperlink r:id="rId10">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https://doi.org/10.1109/ASE.2009.17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Zeyu Gao, Zhenyu Chen, Yun Zhan, Ziyuan Wang, Yehua Cao, Baowen Xu, and Atif M. Memon. 2016.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SITAR: GUI Test Script Repair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IEEE Trans. Softw. Eng. 42, 2 (Feb. 2016), 170–186.</w:t>
      </w:r>
      <w:hyperlink r:id="rId11">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 xml:space="preserve"> https://doi.org/10.1109/TSE.2015.2454510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Saba Naqvi, Mohammad Baqar, and Nawaz Ali Mohammad. 2026.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The Rise of Agentic Testing: Multi-Agent Systems for Robust Software Quality Assurance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arXiv preprint arXiv:2601.02454v1. </w:t>
      </w:r>
      <w:hyperlink r:id="rId12">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https://doi.org/10.1109/TSE.2015.2454510</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Yinghao Chen, Zehao Hu, Junxiao Han, and Shuiguang Deng. 2024.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ChatUniTest: A Framework for LLM-Based Test Generation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arXiv preprint arXiv:2305.04764v2.</w:t>
      </w:r>
      <w:hyperlink r:id="rId13">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 </w:t>
        </w:r>
      </w:hyperlink>
      <w:hyperlink r:id="rId14">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https://doi.org/10.48550/arXiv.2305.04764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Michele Tufano, Dawn Drain, Alexey Svyatkovskiy, Shao Kun Deng, and Neel Sundaresan. 2021.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Unit Test Case Generation with Transformers and Focal Context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arXiv preprint arXiv:2009.05617v2.</w:t>
      </w:r>
      <w:hyperlink r:id="rId15">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 </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https://doi.org/10.48550/arXiv.2009.05617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5840" w:w="12240" w:orient="portrait"/>
          <w:pgMar w:bottom="1440" w:top="1080" w:left="1080" w:right="1080" w:header="720" w:footer="720"/>
          <w:cols w:equalWidth="0" w:num="2">
            <w:col w:space="475" w:w="4802.5"/>
            <w:col w:space="0" w:w="4802.5"/>
          </w:cols>
        </w:sect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tl w:val="0"/>
        </w:rPr>
      </w:r>
    </w:p>
    <w:sectPr>
      <w:type w:val="continuous"/>
      <w:pgSz w:h="15840" w:w="12240" w:orient="portrait"/>
      <w:pgMar w:bottom="144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360" w:hanging="360"/>
      </w:pPr>
      <w:rPr>
        <w:rFonts w:ascii="Times New Roman" w:cs="Times New Roman" w:eastAsia="Times New Roman" w:hAnsi="Times New Roman"/>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40" w:lineRule="auto"/>
      <w:jc w:val="left"/>
    </w:pPr>
    <w:rPr>
      <w:b w:val="1"/>
      <w:bCs w:val="1"/>
      <w:sz w:val="24"/>
      <w:szCs w:val="24"/>
    </w:rPr>
  </w:style>
  <w:style w:type="paragraph" w:styleId="Heading2">
    <w:name w:val="heading 2"/>
    <w:basedOn w:val="Normal"/>
    <w:next w:val="Normal"/>
    <w:pPr>
      <w:keepNext w:val="1"/>
      <w:spacing w:after="0" w:before="40" w:lineRule="auto"/>
      <w:jc w:val="left"/>
    </w:pPr>
    <w:rPr>
      <w:b w:val="1"/>
      <w:bCs w:val="1"/>
      <w:sz w:val="24"/>
      <w:szCs w:val="24"/>
    </w:rPr>
  </w:style>
  <w:style w:type="paragraph" w:styleId="Heading3">
    <w:name w:val="heading 3"/>
    <w:basedOn w:val="Normal"/>
    <w:next w:val="Normal"/>
    <w:pPr>
      <w:keepNext w:val="1"/>
      <w:spacing w:after="0" w:before="40" w:lineRule="auto"/>
      <w:jc w:val="left"/>
    </w:pPr>
    <w:rPr>
      <w:b w:val="0"/>
      <w:bCs w:val="0"/>
      <w:i w:val="1"/>
      <w:iCs w:val="1"/>
      <w:sz w:val="22"/>
      <w:szCs w:val="22"/>
    </w:rPr>
  </w:style>
  <w:style w:type="paragraph" w:styleId="Heading4">
    <w:name w:val="heading 4"/>
    <w:basedOn w:val="Normal"/>
    <w:next w:val="Normal"/>
    <w:pPr>
      <w:keepNext w:val="1"/>
      <w:spacing w:after="0" w:before="40" w:lineRule="auto"/>
      <w:jc w:val="left"/>
    </w:pPr>
    <w:rPr>
      <w:b w:val="0"/>
      <w:bCs w:val="0"/>
      <w:i w:val="1"/>
      <w:iCs w:val="1"/>
      <w:sz w:val="22"/>
      <w:szCs w:val="22"/>
    </w:rPr>
  </w:style>
  <w:style w:type="paragraph" w:styleId="Heading5">
    <w:name w:val="heading 5"/>
    <w:basedOn w:val="Normal"/>
    <w:next w:val="Normal"/>
    <w:pPr>
      <w:spacing w:after="0" w:before="40" w:lineRule="auto"/>
      <w:ind w:left="0" w:firstLine="0"/>
      <w:jc w:val="left"/>
    </w:pPr>
    <w:rPr>
      <w:i w:val="1"/>
      <w:iCs w:val="1"/>
      <w:sz w:val="22"/>
      <w:szCs w:val="22"/>
    </w:rPr>
  </w:style>
  <w:style w:type="paragraph" w:styleId="Heading6">
    <w:name w:val="heading 6"/>
    <w:basedOn w:val="Normal"/>
    <w:next w:val="Normal"/>
    <w:pPr>
      <w:spacing w:after="60" w:before="240" w:lineRule="auto"/>
    </w:pPr>
    <w:rPr>
      <w:rFonts w:ascii="Arial" w:cs="Arial" w:eastAsia="Arial" w:hAnsi="Arial"/>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09/TSE.2015.2454510" TargetMode="External"/><Relationship Id="rId10" Type="http://schemas.openxmlformats.org/officeDocument/2006/relationships/hyperlink" Target="https://doi.org/10.1109/ASE.2009.17" TargetMode="External"/><Relationship Id="rId13" Type="http://schemas.openxmlformats.org/officeDocument/2006/relationships/hyperlink" Target="https://arxiv.org/abs/2305.04764" TargetMode="External"/><Relationship Id="rId12" Type="http://schemas.openxmlformats.org/officeDocument/2006/relationships/hyperlink" Target="https://doi.org/10.1109/TSE.2015.24545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48550/arXiv.2401.06765" TargetMode="External"/><Relationship Id="rId15" Type="http://schemas.openxmlformats.org/officeDocument/2006/relationships/hyperlink" Target="https://arxiv.org/abs/2009.05617" TargetMode="External"/><Relationship Id="rId14" Type="http://schemas.openxmlformats.org/officeDocument/2006/relationships/hyperlink" Target="https://doi.org/10.48550/arXiv.2305.04764" TargetMode="External"/><Relationship Id="rId16" Type="http://schemas.openxmlformats.org/officeDocument/2006/relationships/hyperlink" Target="https://doi.org/10.48550/arXiv.2009.05617"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www.google.com/search?q=https://doi.org/10.1109/ICST.2018.00033&amp;authuser=1" TargetMode="External"/><Relationship Id="rId8" Type="http://schemas.openxmlformats.org/officeDocument/2006/relationships/hyperlink" Target="https://doi.org/10.1109/ICST.2018.0003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