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64" w:rsidRDefault="001357BB" w:rsidP="001357BB">
      <w:pPr>
        <w:jc w:val="center"/>
        <w:rPr>
          <w:sz w:val="24"/>
        </w:rPr>
      </w:pPr>
      <w:r>
        <w:rPr>
          <w:sz w:val="24"/>
        </w:rPr>
        <w:t>Software Challenge</w:t>
      </w:r>
    </w:p>
    <w:p w:rsidR="001357BB" w:rsidRDefault="001357BB" w:rsidP="001357BB">
      <w:pPr>
        <w:jc w:val="center"/>
        <w:rPr>
          <w:sz w:val="24"/>
        </w:rPr>
      </w:pPr>
      <w:r>
        <w:rPr>
          <w:sz w:val="24"/>
        </w:rPr>
        <w:t>Genome Assembly</w:t>
      </w:r>
    </w:p>
    <w:p w:rsidR="001357BB" w:rsidRDefault="001357BB" w:rsidP="001357BB">
      <w:pPr>
        <w:jc w:val="center"/>
        <w:rPr>
          <w:sz w:val="24"/>
        </w:rPr>
      </w:pPr>
      <w:r>
        <w:rPr>
          <w:sz w:val="24"/>
        </w:rPr>
        <w:t>Owais Sarwar</w:t>
      </w:r>
    </w:p>
    <w:p w:rsidR="001357BB" w:rsidRDefault="00B260EC" w:rsidP="001357BB">
      <w:pPr>
        <w:jc w:val="center"/>
        <w:rPr>
          <w:sz w:val="24"/>
        </w:rPr>
      </w:pPr>
      <w:r>
        <w:rPr>
          <w:sz w:val="24"/>
        </w:rPr>
        <w:t>Fall 2020</w:t>
      </w:r>
    </w:p>
    <w:p w:rsidR="00B260EC" w:rsidRDefault="005F1422" w:rsidP="00B260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N75 statistic is the maximal </w:t>
      </w:r>
      <w:proofErr w:type="spellStart"/>
      <w:r>
        <w:rPr>
          <w:sz w:val="24"/>
        </w:rPr>
        <w:t>contig</w:t>
      </w:r>
      <w:proofErr w:type="spellEnd"/>
      <w:r>
        <w:rPr>
          <w:sz w:val="24"/>
        </w:rPr>
        <w:t xml:space="preserve"> length for which all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 greater than or equal to that length comprise at least </w:t>
      </w:r>
      <w:r w:rsidRPr="005F1422">
        <w:rPr>
          <w:b/>
          <w:sz w:val="24"/>
        </w:rPr>
        <w:t>75%</w:t>
      </w:r>
      <w:r>
        <w:rPr>
          <w:sz w:val="24"/>
        </w:rPr>
        <w:t xml:space="preserve"> of the sum of the lengths of all the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. </w:t>
      </w:r>
    </w:p>
    <w:p w:rsidR="005F1422" w:rsidRDefault="005F1422" w:rsidP="005F1422">
      <w:pPr>
        <w:pStyle w:val="ListParagraph"/>
        <w:numPr>
          <w:ilvl w:val="0"/>
          <w:numId w:val="1"/>
        </w:numPr>
        <w:rPr>
          <w:sz w:val="24"/>
        </w:rPr>
      </w:pPr>
      <w:r w:rsidRPr="005F1422">
        <w:rPr>
          <w:b/>
          <w:sz w:val="24"/>
        </w:rPr>
        <w:t>N50 = 100</w:t>
      </w:r>
      <w:r>
        <w:rPr>
          <w:sz w:val="24"/>
        </w:rPr>
        <w:t xml:space="preserve"> (100 + 200 = 300 = 600 * 50%); </w:t>
      </w:r>
      <w:r w:rsidRPr="005F1422">
        <w:rPr>
          <w:b/>
          <w:sz w:val="24"/>
        </w:rPr>
        <w:t xml:space="preserve">N75 = 60 </w:t>
      </w:r>
      <w:r>
        <w:rPr>
          <w:sz w:val="24"/>
        </w:rPr>
        <w:t>(60 + 60 + 80 + 100 + 200 = 500 &gt; 450 = 600 * 75%)</w:t>
      </w:r>
    </w:p>
    <w:p w:rsidR="00E617D2" w:rsidRDefault="00E617D2" w:rsidP="00E617D2">
      <w:pPr>
        <w:pStyle w:val="ListParagraph"/>
        <w:numPr>
          <w:ilvl w:val="0"/>
          <w:numId w:val="1"/>
        </w:numPr>
        <w:rPr>
          <w:sz w:val="24"/>
        </w:rPr>
      </w:pPr>
      <w:r w:rsidRPr="00E617D2">
        <w:rPr>
          <w:b/>
          <w:sz w:val="24"/>
        </w:rPr>
        <w:t xml:space="preserve">NG50 = 60 </w:t>
      </w:r>
      <w:r>
        <w:rPr>
          <w:sz w:val="24"/>
        </w:rPr>
        <w:t>(</w:t>
      </w:r>
      <w:r>
        <w:rPr>
          <w:sz w:val="24"/>
        </w:rPr>
        <w:t xml:space="preserve">60 + 60 + 80 + 100 + 200 = 500 </w:t>
      </w:r>
      <w:r>
        <w:rPr>
          <w:sz w:val="24"/>
        </w:rPr>
        <w:t>=</w:t>
      </w:r>
      <w:r>
        <w:rPr>
          <w:sz w:val="24"/>
        </w:rPr>
        <w:t xml:space="preserve"> </w:t>
      </w:r>
      <w:r>
        <w:rPr>
          <w:sz w:val="24"/>
        </w:rPr>
        <w:t>1000 * 50</w:t>
      </w:r>
      <w:r>
        <w:rPr>
          <w:sz w:val="24"/>
        </w:rPr>
        <w:t>%)</w:t>
      </w:r>
    </w:p>
    <w:p w:rsidR="00E617D2" w:rsidRDefault="0064379C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</w:t>
      </w:r>
      <w:r w:rsidR="00E617D2">
        <w:rPr>
          <w:b/>
          <w:sz w:val="24"/>
        </w:rPr>
        <w:t>G</w:t>
      </w:r>
      <w:r>
        <w:rPr>
          <w:b/>
          <w:sz w:val="24"/>
        </w:rPr>
        <w:t>A</w:t>
      </w:r>
      <w:bookmarkStart w:id="0" w:name="_GoBack"/>
      <w:bookmarkEnd w:id="0"/>
      <w:r w:rsidR="00E617D2">
        <w:rPr>
          <w:b/>
          <w:sz w:val="24"/>
        </w:rPr>
        <w:t xml:space="preserve">50 = 50 </w:t>
      </w:r>
      <w:r w:rsidR="00E617D2">
        <w:rPr>
          <w:sz w:val="24"/>
        </w:rPr>
        <w:t xml:space="preserve">(New </w:t>
      </w:r>
      <w:proofErr w:type="spellStart"/>
      <w:r w:rsidR="00E617D2">
        <w:rPr>
          <w:sz w:val="24"/>
        </w:rPr>
        <w:t>Contigs</w:t>
      </w:r>
      <w:proofErr w:type="spellEnd"/>
      <w:r w:rsidR="00E617D2">
        <w:rPr>
          <w:sz w:val="24"/>
        </w:rPr>
        <w:t xml:space="preserve"> = [20, 20, 30, 30, 50, 50, 60, 60, 80, 200]; 200 + 80 + 60 + 60 + 50 + 50 = 500 = 1000 * 50%)</w:t>
      </w:r>
    </w:p>
    <w:p w:rsidR="007D2570" w:rsidRDefault="007D2570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First, we could </w:t>
      </w:r>
      <w:r w:rsidR="00E617D2">
        <w:rPr>
          <w:sz w:val="24"/>
        </w:rPr>
        <w:t xml:space="preserve">use the total estimated length of the genome to determine the approximate length of the gaps between the </w:t>
      </w:r>
      <w:proofErr w:type="spellStart"/>
      <w:r w:rsidR="00E617D2">
        <w:rPr>
          <w:sz w:val="24"/>
        </w:rPr>
        <w:t>contigs</w:t>
      </w:r>
      <w:proofErr w:type="spellEnd"/>
      <w:r w:rsidR="00E617D2">
        <w:rPr>
          <w:sz w:val="24"/>
        </w:rPr>
        <w:t xml:space="preserve"> in the scaffold</w:t>
      </w:r>
      <w:r>
        <w:rPr>
          <w:sz w:val="24"/>
        </w:rPr>
        <w:t xml:space="preserve"> (as well as the placement of the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>, if we have a reference)</w:t>
      </w:r>
      <w:r w:rsidR="00E617D2">
        <w:rPr>
          <w:sz w:val="24"/>
        </w:rPr>
        <w:t xml:space="preserve">. We would also use the sequence and length of the </w:t>
      </w:r>
      <w:proofErr w:type="spellStart"/>
      <w:r w:rsidR="00E617D2">
        <w:rPr>
          <w:sz w:val="24"/>
        </w:rPr>
        <w:t>contigs</w:t>
      </w:r>
      <w:proofErr w:type="spellEnd"/>
      <w:r>
        <w:rPr>
          <w:sz w:val="24"/>
        </w:rPr>
        <w:t xml:space="preserve"> as key pieces of information</w:t>
      </w:r>
      <w:r w:rsidR="00E617D2">
        <w:rPr>
          <w:sz w:val="24"/>
        </w:rPr>
        <w:t xml:space="preserve"> to figure out where to place them in the scaffold (e.g. by comparing it to the reference)</w:t>
      </w:r>
      <w:r>
        <w:rPr>
          <w:sz w:val="24"/>
        </w:rPr>
        <w:t xml:space="preserve">, since the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>’ sequence is the key informative characteristic</w:t>
      </w:r>
      <w:r w:rsidR="00E617D2">
        <w:rPr>
          <w:sz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76"/>
        <w:gridCol w:w="2139"/>
        <w:gridCol w:w="2190"/>
      </w:tblGrid>
      <w:tr w:rsidR="007D2570" w:rsidTr="007D2570">
        <w:tc>
          <w:tcPr>
            <w:tcW w:w="2337" w:type="dxa"/>
          </w:tcPr>
          <w:p w:rsidR="007D2570" w:rsidRPr="007D2570" w:rsidRDefault="007D2570" w:rsidP="007D257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2337" w:type="dxa"/>
          </w:tcPr>
          <w:p w:rsidR="007D2570" w:rsidRPr="007D2570" w:rsidRDefault="007D2570" w:rsidP="007D2570">
            <w:pPr>
              <w:rPr>
                <w:sz w:val="24"/>
              </w:rPr>
            </w:pPr>
            <w:r>
              <w:rPr>
                <w:sz w:val="24"/>
              </w:rPr>
              <w:t>N50</w:t>
            </w:r>
          </w:p>
        </w:tc>
        <w:tc>
          <w:tcPr>
            <w:tcW w:w="2338" w:type="dxa"/>
          </w:tcPr>
          <w:p w:rsidR="007D2570" w:rsidRPr="007D2570" w:rsidRDefault="007D2570" w:rsidP="007D2570">
            <w:pPr>
              <w:rPr>
                <w:sz w:val="24"/>
              </w:rPr>
            </w:pPr>
            <w:r>
              <w:rPr>
                <w:sz w:val="24"/>
              </w:rPr>
              <w:t>#LC</w:t>
            </w:r>
          </w:p>
        </w:tc>
        <w:tc>
          <w:tcPr>
            <w:tcW w:w="2338" w:type="dxa"/>
          </w:tcPr>
          <w:p w:rsidR="007D2570" w:rsidRPr="007D2570" w:rsidRDefault="007D2570" w:rsidP="007D25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TLoLC</w:t>
            </w:r>
            <w:proofErr w:type="spellEnd"/>
          </w:p>
        </w:tc>
      </w:tr>
      <w:tr w:rsidR="007D2570" w:rsidTr="007D2570">
        <w:tc>
          <w:tcPr>
            <w:tcW w:w="2337" w:type="dxa"/>
          </w:tcPr>
          <w:p w:rsidR="007D2570" w:rsidRPr="007D2570" w:rsidRDefault="007D2570" w:rsidP="007D257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37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59595</w:t>
            </w:r>
          </w:p>
        </w:tc>
        <w:tc>
          <w:tcPr>
            <w:tcW w:w="2338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38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2802857</w:t>
            </w:r>
          </w:p>
        </w:tc>
      </w:tr>
      <w:tr w:rsidR="007D2570" w:rsidTr="007D2570">
        <w:tc>
          <w:tcPr>
            <w:tcW w:w="2337" w:type="dxa"/>
          </w:tcPr>
          <w:p w:rsidR="007D2570" w:rsidRPr="007D2570" w:rsidRDefault="007D2570" w:rsidP="007D2570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337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159616</w:t>
            </w:r>
          </w:p>
        </w:tc>
        <w:tc>
          <w:tcPr>
            <w:tcW w:w="2338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338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2821839</w:t>
            </w:r>
          </w:p>
        </w:tc>
      </w:tr>
      <w:tr w:rsidR="007D2570" w:rsidTr="007D2570">
        <w:tc>
          <w:tcPr>
            <w:tcW w:w="2337" w:type="dxa"/>
          </w:tcPr>
          <w:p w:rsidR="007D2570" w:rsidRPr="007D2570" w:rsidRDefault="007D2570" w:rsidP="007D2570">
            <w:pPr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337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188896</w:t>
            </w:r>
          </w:p>
        </w:tc>
        <w:tc>
          <w:tcPr>
            <w:tcW w:w="2338" w:type="dxa"/>
          </w:tcPr>
          <w:p w:rsidR="007D2570" w:rsidRPr="007D2570" w:rsidRDefault="00D31509" w:rsidP="007D257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38" w:type="dxa"/>
          </w:tcPr>
          <w:p w:rsidR="007D2570" w:rsidRPr="007D2570" w:rsidRDefault="00D31509" w:rsidP="00D31509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bdr w:val="none" w:sz="0" w:space="0" w:color="auto" w:frame="1"/>
              </w:rPr>
              <w:t>2825752</w:t>
            </w:r>
          </w:p>
        </w:tc>
      </w:tr>
    </w:tbl>
    <w:p w:rsidR="00E617D2" w:rsidRDefault="00E617D2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</w:p>
    <w:p w:rsidR="007D2570" w:rsidRDefault="00D31509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k=85 sample performed the best because it had the highest N50, the lowest number of long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, and the greatest total length of long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. This likely performed the best because long </w:t>
      </w:r>
      <w:proofErr w:type="spellStart"/>
      <w:r>
        <w:rPr>
          <w:sz w:val="24"/>
        </w:rPr>
        <w:t>kmers</w:t>
      </w:r>
      <w:proofErr w:type="spellEnd"/>
      <w:r>
        <w:rPr>
          <w:sz w:val="24"/>
        </w:rPr>
        <w:t xml:space="preserve"> achieve longer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 (</w:t>
      </w:r>
      <w:r w:rsidR="00E17602">
        <w:rPr>
          <w:sz w:val="24"/>
        </w:rPr>
        <w:t xml:space="preserve">which correlate favorably with all of the statistics mentioned) since each </w:t>
      </w:r>
      <w:proofErr w:type="spellStart"/>
      <w:r w:rsidR="00E17602">
        <w:rPr>
          <w:sz w:val="24"/>
        </w:rPr>
        <w:t>kmer</w:t>
      </w:r>
      <w:proofErr w:type="spellEnd"/>
      <w:r w:rsidR="00E17602">
        <w:rPr>
          <w:sz w:val="24"/>
        </w:rPr>
        <w:t xml:space="preserve"> contains more information that would avoid the uncertainties that shorten </w:t>
      </w:r>
      <w:proofErr w:type="spellStart"/>
      <w:r w:rsidR="00E17602">
        <w:rPr>
          <w:sz w:val="24"/>
        </w:rPr>
        <w:t>contigs</w:t>
      </w:r>
      <w:proofErr w:type="spellEnd"/>
      <w:r w:rsidR="00E17602">
        <w:rPr>
          <w:sz w:val="24"/>
        </w:rPr>
        <w:t xml:space="preserve">. </w:t>
      </w:r>
    </w:p>
    <w:p w:rsidR="00E17602" w:rsidRDefault="00E17602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Assuming the rest of the questions are asking for the k=85 case only, there were 29 misassembles. </w:t>
      </w:r>
    </w:p>
    <w:p w:rsidR="00E17602" w:rsidRDefault="00E17602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number of </w:t>
      </w:r>
      <w:proofErr w:type="spellStart"/>
      <w:r>
        <w:rPr>
          <w:sz w:val="24"/>
        </w:rPr>
        <w:t>misassemblies</w:t>
      </w:r>
      <w:proofErr w:type="spellEnd"/>
      <w:r>
        <w:rPr>
          <w:sz w:val="24"/>
        </w:rPr>
        <w:t xml:space="preserve"> has a significant effect on the resulting assembly. We can see (as shown in the results for the next question), NGA50 is reduced significantly from the NG50. </w:t>
      </w:r>
    </w:p>
    <w:p w:rsidR="00E17602" w:rsidRPr="00E17602" w:rsidRDefault="00E17602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NG50 = </w:t>
      </w:r>
      <w:r>
        <w:rPr>
          <w:rFonts w:ascii="Verdana" w:hAnsi="Verdana"/>
          <w:color w:val="000000"/>
          <w:sz w:val="18"/>
          <w:szCs w:val="18"/>
        </w:rPr>
        <w:t>202267</w:t>
      </w:r>
      <w:r>
        <w:rPr>
          <w:sz w:val="24"/>
        </w:rPr>
        <w:t xml:space="preserve"> ; NGA50 = </w:t>
      </w:r>
      <w:r>
        <w:rPr>
          <w:rFonts w:ascii="Verdana" w:hAnsi="Verdana"/>
          <w:color w:val="000000"/>
          <w:sz w:val="18"/>
          <w:szCs w:val="18"/>
        </w:rPr>
        <w:t>87161</w:t>
      </w:r>
    </w:p>
    <w:p w:rsidR="00E17602" w:rsidRDefault="00E17602" w:rsidP="00E617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NGA50 is understandably smaller than the N50 because the NGA50 statistic has broken the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 at their </w:t>
      </w:r>
      <w:proofErr w:type="spellStart"/>
      <w:r>
        <w:rPr>
          <w:sz w:val="24"/>
        </w:rPr>
        <w:t>misassembly</w:t>
      </w:r>
      <w:proofErr w:type="spellEnd"/>
      <w:r>
        <w:rPr>
          <w:sz w:val="24"/>
        </w:rPr>
        <w:t xml:space="preserve"> points, resulting in </w:t>
      </w:r>
      <w:proofErr w:type="gramStart"/>
      <w:r>
        <w:rPr>
          <w:sz w:val="24"/>
        </w:rPr>
        <w:t>more smaller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contigs</w:t>
      </w:r>
      <w:proofErr w:type="spellEnd"/>
      <w:r>
        <w:rPr>
          <w:sz w:val="24"/>
        </w:rPr>
        <w:t xml:space="preserve"> which bring the </w:t>
      </w:r>
      <w:r w:rsidR="0064379C">
        <w:rPr>
          <w:sz w:val="24"/>
        </w:rPr>
        <w:t xml:space="preserve">NG50 statistic down. The NG50 statistic is actually higher than the N50 statistic, which must be because the assembly length is greater than the reference genome length </w:t>
      </w:r>
    </w:p>
    <w:p w:rsidR="00E17602" w:rsidRPr="00E17602" w:rsidRDefault="00E17602" w:rsidP="00E17602">
      <w:pPr>
        <w:rPr>
          <w:sz w:val="24"/>
        </w:rPr>
      </w:pPr>
    </w:p>
    <w:p w:rsidR="005F1422" w:rsidRPr="005F1422" w:rsidRDefault="005F1422" w:rsidP="00E617D2">
      <w:pPr>
        <w:pStyle w:val="ListParagraph"/>
        <w:rPr>
          <w:sz w:val="24"/>
        </w:rPr>
      </w:pPr>
    </w:p>
    <w:sectPr w:rsidR="005F1422" w:rsidRPr="005F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20F0B"/>
    <w:multiLevelType w:val="hybridMultilevel"/>
    <w:tmpl w:val="871E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0D"/>
    <w:rsid w:val="000B5C64"/>
    <w:rsid w:val="001357BB"/>
    <w:rsid w:val="005F1422"/>
    <w:rsid w:val="0064379C"/>
    <w:rsid w:val="007D2570"/>
    <w:rsid w:val="00A7150D"/>
    <w:rsid w:val="00B260EC"/>
    <w:rsid w:val="00D31509"/>
    <w:rsid w:val="00E17602"/>
    <w:rsid w:val="00E6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931C"/>
  <w15:chartTrackingRefBased/>
  <w15:docId w15:val="{FA2BF902-B1CF-4F56-82C9-BB4476CA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EC"/>
    <w:pPr>
      <w:ind w:left="720"/>
      <w:contextualSpacing/>
    </w:pPr>
  </w:style>
  <w:style w:type="table" w:styleId="TableGrid">
    <w:name w:val="Table Grid"/>
    <w:basedOn w:val="TableNormal"/>
    <w:uiPriority w:val="39"/>
    <w:rsid w:val="007D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Sarwar</dc:creator>
  <cp:keywords/>
  <dc:description/>
  <cp:lastModifiedBy>Owais Sarwar</cp:lastModifiedBy>
  <cp:revision>5</cp:revision>
  <dcterms:created xsi:type="dcterms:W3CDTF">2020-09-12T20:23:00Z</dcterms:created>
  <dcterms:modified xsi:type="dcterms:W3CDTF">2020-09-12T21:52:00Z</dcterms:modified>
</cp:coreProperties>
</file>