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AURA FOUNDERS’ AGREEMENT</w:t>
      </w:r>
    </w:p>
    <w:p>
      <w:pPr>
        <w:jc w:val="center"/>
      </w:pPr>
      <w:r>
        <w:rPr>
          <w:i/>
        </w:rPr>
        <w:t>Working Draft for Discussion and Nigerian Legal Review</w:t>
      </w:r>
    </w:p>
    <w:p>
      <w:r>
        <w:t>AURA | CONFIDENTIAL WORKING DRAFT | 18 September 2026</w:t>
      </w:r>
    </w:p>
    <w:p>
      <w:pPr>
        <w:pStyle w:val="Heading1"/>
      </w:pPr>
      <w:r>
        <w:t>Status</w:t>
      </w:r>
    </w:p>
    <w:p>
      <w:r>
        <w:t>Working draft for discussion and Nigerian legal review only. Not legal advice and not ready for signature. Complete placeholders and obtain advice on company structure, enforceability, tax, and execution.</w:t>
      </w:r>
    </w:p>
    <w:p>
      <w:pPr>
        <w:pStyle w:val="Heading1"/>
      </w:pPr>
      <w:r>
        <w:t>Parties</w:t>
      </w:r>
    </w:p>
    <w:p>
      <w:r>
        <w:t>Founder 1: [FULL LEGAL NAME, ADDRESS]. Founder 2: [FULL LEGAL NAME, ADDRESS]. Company: [EXACT CAC NAME, RC NUMBER/STATUS, ADDRESS]. Effective date: [DATE]. If not incorporated, counsel must advise how obligations bind now and how the Company adopts them.</w:t>
      </w:r>
    </w:p>
    <w:p>
      <w:pPr>
        <w:pStyle w:val="Heading1"/>
      </w:pPr>
      <w:r>
        <w:t>Purpose</w:t>
      </w:r>
    </w:p>
    <w:p>
      <w:r>
        <w:t>The founders intend to build AURA, an AI-native fundraising infrastructure platform initially focused on Nigeria, combining conversational campaign creation, evidence and identity checks, human trust operations, and approved payment-provider integrations.</w:t>
      </w:r>
    </w:p>
    <w:p>
      <w:pPr>
        <w:pStyle w:val="Heading1"/>
      </w:pPr>
      <w:r>
        <w:t>Roles</w:t>
      </w:r>
    </w:p>
    <w:p>
      <w:r>
        <w:t>Founder 1 (proposed): technology/product, engineering, AI, architecture, cloud, security and technical delivery. Founder 2 (proposed): operations, trust workflows, support, partnerships, business development, community and operational policy. Complete responsibilities, authority, deliverables and time commitments in Schedule A.</w:t>
      </w:r>
    </w:p>
    <w:p>
      <w:pPr>
        <w:pStyle w:val="Heading1"/>
      </w:pPr>
      <w:r>
        <w:t>Contributions</w:t>
      </w:r>
    </w:p>
    <w:p>
      <w:r>
        <w:t>Cash, services, assets, expenses and time commitments: [DETAILS]. No additional capital contribution is required unless agreed in writing and properly approved. Expense reimbursement requires documentation and policy approval.</w:t>
      </w:r>
    </w:p>
    <w:p>
      <w:pPr>
        <w:pStyle w:val="Heading1"/>
      </w:pPr>
      <w:r>
        <w:t>Equity and vesting — unresolved</w:t>
      </w:r>
    </w:p>
    <w:p>
      <w:r>
        <w:t>Founder 1: [__]%; Founder 2: [__]%; reserve: [__]%. Vesting: [TERMS/TO BE AGREED], start date [__], leaver treatment [__]. This document does not issue or transfer shares. Counsel must align with corporate records and statutory requirements.</w:t>
      </w:r>
    </w:p>
    <w:p>
      <w:pPr>
        <w:pStyle w:val="Heading1"/>
      </w:pPr>
      <w:r>
        <w:t>Governance</w:t>
      </w:r>
    </w:p>
    <w:p>
      <w:r>
        <w:t>Day-to-day authority follows a written responsibility matrix and approved budget. Both founders’ written approval is proposed for share issuance, material borrowing/contracts, core IP sale, related-party transactions, founder compensation, material payment/custody changes, sale/merger/dissolution, and other reserved matters listed in Schedule A. Complete thresholds and corporate approval mechanics.</w:t>
      </w:r>
    </w:p>
    <w:p>
      <w:pPr>
        <w:pStyle w:val="Heading1"/>
      </w:pPr>
      <w:r>
        <w:t>Deadlock</w:t>
      </w:r>
    </w:p>
    <w:p>
      <w:r>
        <w:t>Good-faith meeting within [5] business days, written issue statement, then mediation. If unresolved, use a counsel-drafted mechanism in the shareholders’ agreement. No forced buyout or casting vote is implied.</w:t>
      </w:r>
    </w:p>
    <w:p>
      <w:pPr>
        <w:pStyle w:val="Heading1"/>
      </w:pPr>
      <w:r>
        <w:t>Intellectual property</w:t>
      </w:r>
    </w:p>
    <w:p>
      <w:r>
        <w:t>Disclose pre-existing and third-party assets in Schedule B. Only rights the founder owns or controls may be assigned. New AURA work should be assigned under a separate IP instrument, subject to applicable law. Pre-existing assets remain owned by their owner unless expressly assigned/licensed. Respect open-source and third-party terms.</w:t>
      </w:r>
    </w:p>
    <w:p>
      <w:pPr>
        <w:pStyle w:val="Heading1"/>
      </w:pPr>
      <w:r>
        <w:t>Confidentiality and data</w:t>
      </w:r>
    </w:p>
    <w:p>
      <w:r>
        <w:t>Protect confidential business, technical, financial, donor, beneficiary and verification information; use only for authorized purposes; apply security controls; report incidents; and comply with applicable data-protection law. Supplement with NDA and Company policies.</w:t>
      </w:r>
    </w:p>
    <w:p>
      <w:pPr>
        <w:pStyle w:val="Heading1"/>
      </w:pPr>
      <w:r>
        <w:t>Conflicts and outside work</w:t>
      </w:r>
    </w:p>
    <w:p>
      <w:r>
        <w:t>Promptly disclose conflicts, related-party transactions and competing commitments. Outside work is subject to agreed duties, confidentiality, IP and conflict rules.</w:t>
      </w:r>
    </w:p>
    <w:p>
      <w:pPr>
        <w:pStyle w:val="Heading1"/>
      </w:pPr>
      <w:r>
        <w:t>Compensation and funding</w:t>
      </w:r>
    </w:p>
    <w:p>
      <w:r>
        <w:t>Founder compensation: [TERMS]. Funding and grants belong to the Company and are used for approved purposes. Reimburse only reasonable, documented, approved expenses. Do not represent funds as committed unless documented.</w:t>
      </w:r>
    </w:p>
    <w:p>
      <w:pPr>
        <w:pStyle w:val="Heading1"/>
      </w:pPr>
      <w:r>
        <w:t>Departure</w:t>
      </w:r>
    </w:p>
    <w:p>
      <w:r>
        <w:t>Notice period [30/60/90 days]. Handover, return of property, access revocation and continuing confidentiality apply. Shares, vesting, good/bad leaver, death/incapacity and transfer rights must be expressly handled in the shareholders’ agreement; no automatic forfeiture is intended.</w:t>
      </w:r>
    </w:p>
    <w:p>
      <w:pPr>
        <w:pStyle w:val="Heading1"/>
      </w:pPr>
      <w:r>
        <w:t>Compliance and conduct</w:t>
      </w:r>
    </w:p>
    <w:p>
      <w:r>
        <w:t>Act honestly, comply with law and Company policy, avoid misleading users, and never claim a fundraiser is verified unless the approved process supports it. No unauthorized commitments.</w:t>
      </w:r>
    </w:p>
    <w:p>
      <w:pPr>
        <w:pStyle w:val="Heading1"/>
      </w:pPr>
      <w:r>
        <w:t>Disputes and general</w:t>
      </w:r>
    </w:p>
    <w:p>
      <w:r>
        <w:t>Proposed governing law: Nigeria, subject to counsel. Forum [courts/arbitration/venue to be selected]. Amendments in writing. This draft does not override mandatory law, constitutional documents or valid corporate acts.</w:t>
      </w:r>
    </w:p>
    <w:p>
      <w:pPr>
        <w:pStyle w:val="Heading1"/>
      </w:pPr>
      <w:r>
        <w:t>Schedule A — roles and reserved matters</w:t>
      </w:r>
    </w:p>
    <w:p>
      <w:r>
        <w:t>Founder responsibilities, deliverables, time, authority limits, approval thresholds, shared duties, review cadence; list reserved matters and required approvals.</w:t>
      </w:r>
    </w:p>
    <w:p>
      <w:pPr>
        <w:pStyle w:val="Heading1"/>
      </w:pPr>
      <w:r>
        <w:t>Schedule B — pre-existing IP</w:t>
      </w:r>
    </w:p>
    <w:p>
      <w:r>
        <w:t>Asset | owner | description/repository/domain | third-party dependencies | proposed assignment/license | conditions.</w:t>
      </w:r>
    </w:p>
    <w:p>
      <w:pPr>
        <w:pStyle w:val="Heading1"/>
      </w:pPr>
      <w:r>
        <w:t>Open decisions</w:t>
      </w:r>
    </w:p>
    <w:p>
      <w:r>
        <w:t>Entity name/status; founder names; equity; vesting; dates; time; compensation; thresholds; leaver rules; dispute forum; IP ownership; signing formalities.</w:t>
      </w:r>
    </w:p>
    <w:p>
      <w:pPr>
        <w:pStyle w:val="Heading1"/>
      </w:pPr>
      <w:r>
        <w:t>Signatures — after review only</w:t>
      </w:r>
    </w:p>
    <w:p>
      <w:r>
        <w:t>Founder 1: __________________ Date: ____  Founder 2: __________________ Date: ____  Company (if applicable): __________________ Date: ____  Witness/formalities: [COUNSEL TO ADVISE].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