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AURA SHAREHOLDERS’ AGREEMENT</w:t>
      </w:r>
    </w:p>
    <w:p>
      <w:pPr>
        <w:jc w:val="center"/>
      </w:pPr>
      <w:r>
        <w:rPr>
          <w:i/>
        </w:rPr>
        <w:t>Working Draft for Discussion and Nigerian Legal Review</w:t>
      </w:r>
    </w:p>
    <w:p>
      <w:r>
        <w:t>AURA | CONFIDENTIAL WORKING DRAFT | 18 September 2026</w:t>
      </w:r>
    </w:p>
    <w:p>
      <w:pPr>
        <w:pStyle w:val="Heading1"/>
      </w:pPr>
      <w:r>
        <w:t>Status</w:t>
      </w:r>
    </w:p>
    <w:p>
      <w:r>
        <w:t>Preliminary framework for Nigerian legal review. Must be reconciled with CAC records, constitution, share capital, applicable law and financing documents.</w:t>
      </w:r>
    </w:p>
    <w:p>
      <w:pPr>
        <w:pStyle w:val="Heading1"/>
      </w:pPr>
      <w:r>
        <w:t>Parties and company</w:t>
      </w:r>
    </w:p>
    <w:p>
      <w:r>
        <w:t>Company [EXACT NAME, RC NO., REGISTERED OFFICE]. Shareholders [FULL LEGAL NAMES]. Effective date [__]. Current share capital/holdings in Schedule 1.</w:t>
      </w:r>
    </w:p>
    <w:p>
      <w:pPr>
        <w:pStyle w:val="Heading1"/>
      </w:pPr>
      <w:r>
        <w:t>Purpose and precedence</w:t>
      </w:r>
    </w:p>
    <w:p>
      <w:r>
        <w:t>Regulates shareholder relations, governance, transfers, financing and exits. Counsel must specify interaction with the Company constitution and mandatory law.</w:t>
      </w:r>
    </w:p>
    <w:p>
      <w:pPr>
        <w:pStyle w:val="Heading1"/>
      </w:pPr>
      <w:r>
        <w:t>Capitalization</w:t>
      </w:r>
    </w:p>
    <w:p>
      <w:r>
        <w:t>Record class, number, nominal value, paid-up status, holder and percentage in Schedule 1. This draft does not issue shares; all allotments/transfers require proper approvals, filings and advice.</w:t>
      </w:r>
    </w:p>
    <w:p>
      <w:pPr>
        <w:pStyle w:val="Heading1"/>
      </w:pPr>
      <w:r>
        <w:t>Board and governance</w:t>
      </w:r>
    </w:p>
    <w:p>
      <w:r>
        <w:t>Board composition [__], appointment/removal rights [__], quorum [__], notice/cadence [__], delegated authority [__], signing limits [__]. Align with constitution and law.</w:t>
      </w:r>
    </w:p>
    <w:p>
      <w:pPr>
        <w:pStyle w:val="Heading1"/>
      </w:pPr>
      <w:r>
        <w:t>Reserved matters</w:t>
      </w:r>
    </w:p>
    <w:p>
      <w:r>
        <w:t>Complete approval thresholds for share issues, constitutional changes, borrowing/security, major spend/contracts, acquisitions/disposals, core IP, related-party dealings, dividends, business changes, directors, sale/merger/dissolution and material payment/custody changes.</w:t>
      </w:r>
    </w:p>
    <w:p>
      <w:pPr>
        <w:pStyle w:val="Heading1"/>
      </w:pPr>
      <w:r>
        <w:t>Funding and dilution</w:t>
      </w:r>
    </w:p>
    <w:p>
      <w:r>
        <w:t>Specify future financing, pre-emption, excluded issuances, valuation, investor rights and dilution. No shareholder is obliged to fund absent separate agreement.</w:t>
      </w:r>
    </w:p>
    <w:p>
      <w:pPr>
        <w:pStyle w:val="Heading1"/>
      </w:pPr>
      <w:r>
        <w:t>Transfer restrictions</w:t>
      </w:r>
    </w:p>
    <w:p>
      <w:r>
        <w:t>Specify permitted transfers, notice, right of first refusal/offer, timing, valuation, accession deed, pledges and indirect transfers.</w:t>
      </w:r>
    </w:p>
    <w:p>
      <w:pPr>
        <w:pStyle w:val="Heading1"/>
      </w:pPr>
      <w:r>
        <w:t>Tag/drag</w:t>
      </w:r>
    </w:p>
    <w:p>
      <w:r>
        <w:t>[INCLUDE/OMIT/TERMS]. If included, define thresholds, notice, same-terms protections, warranties limits and minority protections; counsel to draft.</w:t>
      </w:r>
    </w:p>
    <w:p>
      <w:pPr>
        <w:pStyle w:val="Heading1"/>
      </w:pPr>
      <w:r>
        <w:t>Dividends</w:t>
      </w:r>
    </w:p>
    <w:p>
      <w:r>
        <w:t>Only subject to law, solvency, financing terms and proper approvals. No guaranteed return or dividend.</w:t>
      </w:r>
    </w:p>
    <w:p>
      <w:pPr>
        <w:pStyle w:val="Heading1"/>
      </w:pPr>
      <w:r>
        <w:t>Confidentiality and IP</w:t>
      </w:r>
    </w:p>
    <w:p>
      <w:r>
        <w:t>Confidentiality obligations apply. IP assignment/licensing belongs in separate instruments. Any restrictive covenant must be narrowly drafted and reviewed for enforceability.</w:t>
      </w:r>
    </w:p>
    <w:p>
      <w:pPr>
        <w:pStyle w:val="Heading1"/>
      </w:pPr>
      <w:r>
        <w:t>Deadlock</w:t>
      </w:r>
    </w:p>
    <w:p>
      <w:r>
        <w:t>Define trigger, escalation, mediation, expert determination and any buy-sell mechanism only after legal/tax review.</w:t>
      </w:r>
    </w:p>
    <w:p>
      <w:pPr>
        <w:pStyle w:val="Heading1"/>
      </w:pPr>
      <w:r>
        <w:t>Exit/default/death</w:t>
      </w:r>
    </w:p>
    <w:p>
      <w:r>
        <w:t>Complete leaver categories, cure periods, death/incapacity transfers, valuation, payment terms and any insurance. No automatic forfeiture absent express valid terms.</w:t>
      </w:r>
    </w:p>
    <w:p>
      <w:pPr>
        <w:pStyle w:val="Heading1"/>
      </w:pPr>
      <w:r>
        <w:t>Compliance and disputes</w:t>
      </w:r>
    </w:p>
    <w:p>
      <w:r>
        <w:t>Ownership records must be accurate. AURA’s fundraising/payment regulatory status requires separate specialist advice. Governing law Nigeria (subject to counsel); dispute forum [__]. Include notices, amendments, severability and accession.</w:t>
      </w:r>
    </w:p>
    <w:p>
      <w:pPr>
        <w:pStyle w:val="Heading1"/>
      </w:pPr>
      <w:r>
        <w:t>Schedule 1 — capitalization</w:t>
      </w:r>
    </w:p>
    <w:p>
      <w:r>
        <w:t>Holder | class | shares | paid-up amount | ownership % | issue/transfer date | conditions.</w:t>
      </w:r>
    </w:p>
    <w:p>
      <w:pPr>
        <w:pStyle w:val="Heading1"/>
      </w:pPr>
      <w:r>
        <w:t>Schedule 2 — reserved matters</w:t>
      </w:r>
    </w:p>
    <w:p>
      <w:r>
        <w:t>Matter | approval threshold | board? | shareholder vote? | unanimity?</w:t>
      </w:r>
    </w:p>
    <w:p>
      <w:pPr>
        <w:pStyle w:val="Heading1"/>
      </w:pPr>
      <w:r>
        <w:t>Schedule 3 — transfers and exit</w:t>
      </w:r>
    </w:p>
    <w:p>
      <w:r>
        <w:t>ROFR/ROFO, permitted transfers, tag/drag, valuation, leaver terms, death/incapacity, payment.</w:t>
      </w:r>
    </w:p>
    <w:p>
      <w:pPr>
        <w:pStyle w:val="Heading1"/>
      </w:pPr>
      <w:r>
        <w:t>Execution</w:t>
      </w:r>
    </w:p>
    <w:p>
      <w:r>
        <w:t>All parties and Company (if applicable) execute only after counsel completes and approves.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