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AURA INTELLECTUAL PROPERTY ASSIGNMENT</w:t>
      </w:r>
    </w:p>
    <w:p>
      <w:pPr>
        <w:jc w:val="center"/>
      </w:pPr>
      <w:r>
        <w:rPr>
          <w:i/>
        </w:rPr>
        <w:t>Working Draft for Discussion and Nigerian Legal Review</w:t>
      </w:r>
    </w:p>
    <w:p>
      <w:r>
        <w:t>AURA | CONFIDENTIAL WORKING DRAFT | 18 September 2026</w:t>
      </w:r>
    </w:p>
    <w:p>
      <w:pPr>
        <w:pStyle w:val="Heading1"/>
      </w:pPr>
      <w:r>
        <w:t>Status</w:t>
      </w:r>
    </w:p>
    <w:p>
      <w:r>
        <w:t>Working draft; not an executed assignment. Confirm chain of title, contributors, third-party rights, employment/contractor terms and legal formalities.</w:t>
      </w:r>
    </w:p>
    <w:p>
      <w:pPr>
        <w:pStyle w:val="Heading1"/>
      </w:pPr>
      <w:r>
        <w:t>Parties</w:t>
      </w:r>
    </w:p>
    <w:p>
      <w:r>
        <w:t>Assignor [FULL LEGAL NAME/ENTITY, ADDRESS]. Assignee [EXACT COMPANY NAME, RC NO., ADDRESS]. Effective date [__].</w:t>
      </w:r>
    </w:p>
    <w:p>
      <w:pPr>
        <w:pStyle w:val="Heading1"/>
      </w:pPr>
      <w:r>
        <w:t>Background and scope</w:t>
      </w:r>
    </w:p>
    <w:p>
      <w:r>
        <w:t>Only assets specifically listed in Schedule A and rights expressly described are covered. Exclude assets not owned/controlled, personal data, third-party materials and open-source components.</w:t>
      </w:r>
    </w:p>
    <w:p>
      <w:pPr>
        <w:pStyle w:val="Heading1"/>
      </w:pPr>
      <w:r>
        <w:t>Assignment</w:t>
      </w:r>
    </w:p>
    <w:p>
      <w:r>
        <w:t>Subject to completion and counsel review, Assignor assigns [all/specified] transferable right, title and interest in listed Assigned IP, including use, reproduction, modification, maintenance, distribution, commercialization and derivative-work rights, to the extent owned and transferable.</w:t>
      </w:r>
    </w:p>
    <w:p>
      <w:pPr>
        <w:pStyle w:val="Heading1"/>
      </w:pPr>
      <w:r>
        <w:t>Consideration</w:t>
      </w:r>
    </w:p>
    <w:p>
      <w:r>
        <w:t>[₦ amount / separately and validly issued shares / other lawful consideration / counsel to determine]. Do not state shares were issued unless recorded properly.</w:t>
      </w:r>
    </w:p>
    <w:p>
      <w:pPr>
        <w:pStyle w:val="Heading1"/>
      </w:pPr>
      <w:r>
        <w:t>Pre-existing/excluded IP</w:t>
      </w:r>
    </w:p>
    <w:p>
      <w:r>
        <w:t>Schedule B identifies retained assets. Any Company use requires a separate license stating scope, duration, territory, fees, sublicensing, support and termination.</w:t>
      </w:r>
    </w:p>
    <w:p>
      <w:pPr>
        <w:pStyle w:val="Heading1"/>
      </w:pPr>
      <w:r>
        <w:t>Third-party materials</w:t>
      </w:r>
    </w:p>
    <w:p>
      <w:r>
        <w:t>Schedule C lists libraries, fonts, images, datasets, APIs, AI model terms, contractor work and other third-party components. Respect licenses and obtain required consents.</w:t>
      </w:r>
    </w:p>
    <w:p>
      <w:pPr>
        <w:pStyle w:val="Heading1"/>
      </w:pPr>
      <w:r>
        <w:t>Warranties and further assurance</w:t>
      </w:r>
    </w:p>
    <w:p>
      <w:r>
        <w:t>Assignor confirms, after reasonable inquiry, authority over listed rights and disclosure of known encumbrances/contributors, and will sign reasonable further documents subject to law and expense arrangements.</w:t>
      </w:r>
    </w:p>
    <w:p>
      <w:pPr>
        <w:pStyle w:val="Heading1"/>
      </w:pPr>
      <w:r>
        <w:t>Data and privacy</w:t>
      </w:r>
    </w:p>
    <w:p>
      <w:r>
        <w:t>This instrument does not transfer personal data ownership or authorize unlawful processing. Apply applicable privacy notices, legal basis, safeguards and retention rules.</w:t>
      </w:r>
    </w:p>
    <w:p>
      <w:pPr>
        <w:pStyle w:val="Heading1"/>
      </w:pPr>
      <w:r>
        <w:t>Governing law and schedules</w:t>
      </w:r>
    </w:p>
    <w:p>
      <w:r>
        <w:t>Governing law/forum [Nigeria and forum to be confirmed by counsel]. Schedule A: asset | creator | date | repo/domain | owner | rights | encumbrances | proof. Schedule B: excluded assets and license. Schedule C: third-party components and obligations.</w:t>
      </w:r>
    </w:p>
    <w:p>
      <w:pPr>
        <w:pStyle w:val="Heading1"/>
      </w:pPr>
      <w:r>
        <w:t>Signatures</w:t>
      </w:r>
    </w:p>
    <w:p>
      <w:r>
        <w:t>Assignor __________________ Date ____ Assignee authorized signatory __________________ Date ____ Witness/formalities [counsel to advise].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