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AURA FOUNDER ROLES &amp; SERVICE AGREEMENT</w:t>
      </w:r>
    </w:p>
    <w:p>
      <w:pPr>
        <w:jc w:val="center"/>
      </w:pPr>
      <w:r>
        <w:rPr>
          <w:i/>
        </w:rPr>
        <w:t>Working Draft for Discussion and Nigerian Legal Review</w:t>
      </w:r>
    </w:p>
    <w:p>
      <w:r>
        <w:t>AURA | CONFIDENTIAL WORKING DRAFT | 18 September 2026</w:t>
      </w:r>
    </w:p>
    <w:p>
      <w:pPr>
        <w:pStyle w:val="Heading1"/>
      </w:pPr>
      <w:r>
        <w:t>Status</w:t>
      </w:r>
    </w:p>
    <w:p>
      <w:r>
        <w:t>Working draft to document services and authority. Does not issue shares or determine employment status. Counsel should advise on employment/consultancy, tax, payroll, benefits and director duties.</w:t>
      </w:r>
    </w:p>
    <w:p>
      <w:pPr>
        <w:pStyle w:val="Heading1"/>
      </w:pPr>
      <w:r>
        <w:t>Parties</w:t>
      </w:r>
    </w:p>
    <w:p>
      <w:r>
        <w:t>Company [EXACT NAME, RC NO.]. Founder/service provider [FULL LEGAL NAME]. Effective date [__]. Status [director/employee/consultant/other, counsel to confirm].</w:t>
      </w:r>
    </w:p>
    <w:p>
      <w:pPr>
        <w:pStyle w:val="Heading1"/>
      </w:pPr>
      <w:r>
        <w:t>Services</w:t>
      </w:r>
    </w:p>
    <w:p>
      <w:r>
        <w:t>Role/title [__]. Deliverables [Schedule A]. Time commitment/availability [__]. Reporting [__]. Review cadence and criteria [__].</w:t>
      </w:r>
    </w:p>
    <w:p>
      <w:pPr>
        <w:pStyle w:val="Heading1"/>
      </w:pPr>
      <w:r>
        <w:t>Authority</w:t>
      </w:r>
    </w:p>
    <w:p>
      <w:r>
        <w:t>Act only within delegated authority, budget and policy. Contract limit [₦__]. Hiring, borrowing, payment-provider changes, public fundraising launch, sensitive data access and regulatory representations require [approval process]. No authority to hold/control user funds is granted unless legally approved and documented.</w:t>
      </w:r>
    </w:p>
    <w:p>
      <w:pPr>
        <w:pStyle w:val="Heading1"/>
      </w:pPr>
      <w:r>
        <w:t>Compensation and expenses</w:t>
      </w:r>
    </w:p>
    <w:p>
      <w:r>
        <w:t>Compensation [__], frequency/start date [__], benefits/tax [counsel/accountant]. Reimburse reasonable, documented, pre-approved expenses within [__] days and budget.</w:t>
      </w:r>
    </w:p>
    <w:p>
      <w:pPr>
        <w:pStyle w:val="Heading1"/>
      </w:pPr>
      <w:r>
        <w:t>Property and IP</w:t>
      </w:r>
    </w:p>
    <w:p>
      <w:r>
        <w:t>Company accounts, equipment, credentials, documents and data remain Company property. Work product is governed by separate IP Assignment and applicable law. No third-party asset transfers by implication.</w:t>
      </w:r>
    </w:p>
    <w:p>
      <w:pPr>
        <w:pStyle w:val="Heading1"/>
      </w:pPr>
      <w:r>
        <w:t>Confidentiality and security</w:t>
      </w:r>
    </w:p>
    <w:p>
      <w:r>
        <w:t>Comply with NDA, privacy/security policies, access controls and incident reporting. Access personal, donor, beneficiary, identity and evidence data only for legitimate role needs.</w:t>
      </w:r>
    </w:p>
    <w:p>
      <w:pPr>
        <w:pStyle w:val="Heading1"/>
      </w:pPr>
      <w:r>
        <w:t>Conflicts and conduct</w:t>
      </w:r>
    </w:p>
    <w:p>
      <w:r>
        <w:t>Disclose conflicts, related-party transactions, gifts and outside commitments. Do not make unauthorized promises, misrepresent verification or bypass trust controls.</w:t>
      </w:r>
    </w:p>
    <w:p>
      <w:pPr>
        <w:pStyle w:val="Heading1"/>
      </w:pPr>
      <w:r>
        <w:t>Term and termination</w:t>
      </w:r>
    </w:p>
    <w:p>
      <w:r>
        <w:t>Term [__]; notice [__], subject to law and separate agreements. Access may be suspended where reasonably necessary to protect users/data/assets, with fair process and legal review. Handover work and return Company property.</w:t>
      </w:r>
    </w:p>
    <w:p>
      <w:pPr>
        <w:pStyle w:val="Heading1"/>
      </w:pPr>
      <w:r>
        <w:t>Disputes and schedules</w:t>
      </w:r>
    </w:p>
    <w:p>
      <w:r>
        <w:t>Governing law Nigeria, subject to counsel; forum [__]. Schedule A: responsibilities | deliverables | KPIs | authority | dependencies | review date. Amendments in writing and align with other agreements.</w:t>
      </w:r>
    </w:p>
    <w:p>
      <w:pPr>
        <w:pStyle w:val="Heading1"/>
      </w:pPr>
      <w:r>
        <w:t>Signatures</w:t>
      </w:r>
    </w:p>
    <w:p>
      <w:r>
        <w:t>Company authorized signatory __________________ Date ____ Founder/service provider __________________ Date ____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