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56"/>
        <w:gridCol w:w="5256"/>
      </w:tblGrid>
      <w:tr>
        <w:tc>
          <w:tcPr>
            <w:tcW w:type="dxa" w:w="5256"/>
          </w:tcPr>
          <w:p>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images (1).png"/>
                          <pic:cNvPicPr/>
                        </pic:nvPicPr>
                        <pic:blipFill>
                          <a:blip r:embed="rId9"/>
                          <a:stretch>
                            <a:fillRect/>
                          </a:stretch>
                        </pic:blipFill>
                        <pic:spPr>
                          <a:xfrm>
                            <a:off x="0" y="0"/>
                            <a:ext cx="914400" cy="914400"/>
                          </a:xfrm>
                          <a:prstGeom prst="rect"/>
                        </pic:spPr>
                      </pic:pic>
                    </a:graphicData>
                  </a:graphic>
                </wp:inline>
              </w:drawing>
            </w:r>
          </w:p>
        </w:tc>
        <w:tc>
          <w:tcPr>
            <w:tcW w:type="dxa" w:w="5256"/>
          </w:tcPr>
          <w:p>
            <w:pPr>
              <w:jc w:val="right"/>
            </w:pPr>
            <w:r>
              <w:rPr>
                <w:b/>
                <w:color w:val="0F0F0F"/>
                <w:sz w:val="32"/>
              </w:rPr>
              <w:t>CONTRATO DE PRESTAÇÃO DE SERVIÇOS</w:t>
            </w:r>
            <w:r>
              <w:rPr>
                <w:sz w:val="18"/>
              </w:rPr>
              <w:br/>
              <w:t>Gestão Logística de Delivery | BARTO Rock &amp; Comedy</w:t>
            </w:r>
          </w:p>
        </w:tc>
      </w:tr>
    </w:tbl>
    <w:p/>
    <w:p>
      <w:pPr>
        <w:jc w:val="center"/>
      </w:pPr>
      <w:r>
        <w:rPr>
          <w:b/>
          <w:sz w:val="24"/>
        </w:rPr>
        <w:t>INSTRUMENTO PARTICULAR DE NATUREZA COMERCIAL</w:t>
      </w:r>
    </w:p>
    <w:p>
      <w:pPr>
        <w:pStyle w:val="Heading1"/>
      </w:pPr>
      <w:r>
        <w:t>QUALIFICAÇÃO DAS PARTES</w:t>
      </w:r>
    </w:p>
    <w:tbl>
      <w:tblPr>
        <w:tblStyle w:val="TableGrid"/>
        <w:tblW w:type="auto" w:w="0"/>
        <w:jc w:val="center"/>
        <w:tblLook w:firstColumn="1" w:firstRow="1" w:lastColumn="0" w:lastRow="0" w:noHBand="0" w:noVBand="1" w:val="04A0"/>
      </w:tblPr>
      <w:tblGrid>
        <w:gridCol w:w="5256"/>
        <w:gridCol w:w="5256"/>
      </w:tblGrid>
      <w:tr>
        <w:tc>
          <w:tcPr>
            <w:tcW w:type="dxa" w:w="5256"/>
            <w:shd w:fill="111111"/>
            <w:vAlign w:val="center"/>
          </w:tcPr>
          <w:p>
            <w:r/>
            <w:r>
              <w:rPr>
                <w:b/>
                <w:color w:val="FFFFFF"/>
                <w:sz w:val="18"/>
              </w:rPr>
              <w:t>CONTRATADA</w:t>
            </w:r>
          </w:p>
        </w:tc>
        <w:tc>
          <w:tcPr>
            <w:tcW w:type="dxa" w:w="5256"/>
            <w:shd w:fill="111111"/>
            <w:vAlign w:val="center"/>
          </w:tcPr>
          <w:p>
            <w:r/>
            <w:r>
              <w:rPr>
                <w:b/>
                <w:color w:val="FFFFFF"/>
                <w:sz w:val="18"/>
              </w:rPr>
              <w:t>CONTRATANTE</w:t>
            </w:r>
          </w:p>
        </w:tc>
      </w:tr>
      <w:tr>
        <w:tc>
          <w:tcPr>
            <w:tcW w:type="dxa" w:w="5256"/>
            <w:vAlign w:val="center"/>
          </w:tcPr>
          <w:p>
            <w:r/>
            <w:r>
              <w:rPr>
                <w:b w:val="0"/>
                <w:color w:val="111111"/>
                <w:sz w:val="17"/>
              </w:rPr>
              <w:t>OSASCO EXPRESS SERVIÇOS LTDA – ME</w:t>
              <w:br/>
              <w:t>CNPJ: 54.707.097/0001-04</w:t>
              <w:br/>
              <w:t>Av. Diogo Antônio Feijó, 8555 · Km 18 · Osasco/SP</w:t>
            </w:r>
          </w:p>
        </w:tc>
        <w:tc>
          <w:tcPr>
            <w:tcW w:type="dxa" w:w="5256"/>
            <w:vAlign w:val="center"/>
          </w:tcPr>
          <w:p>
            <w:r/>
            <w:r>
              <w:rPr>
                <w:b w:val="0"/>
                <w:color w:val="111111"/>
                <w:sz w:val="17"/>
              </w:rPr>
              <w:t>BARTO ROCK &amp; COMEDY</w:t>
              <w:br/>
              <w:t>Responsável: Andrea</w:t>
              <w:br/>
              <w:t>Razão social: ______________________________</w:t>
              <w:br/>
              <w:t>CNPJ: ______________________________</w:t>
              <w:br/>
              <w:t>Endereço: ______________________________</w:t>
            </w:r>
          </w:p>
        </w:tc>
      </w:tr>
    </w:tbl>
    <w:p/>
    <w:p>
      <w:r>
        <w:rPr>
          <w:b w:val="0"/>
          <w:sz w:val="19"/>
        </w:rPr>
        <w:t>As partes acima qualificadas resolvem celebrar o presente Contrato de Prestação de Serviços de Gestão Logística de Delivery, regido pelas cláusulas seguintes.</w:t>
      </w:r>
    </w:p>
    <w:p>
      <w:pPr>
        <w:pStyle w:val="Heading1"/>
      </w:pPr>
      <w:r>
        <w:t>CLÁUSULA PRIMEIRA: DO OBJETO</w:t>
      </w:r>
    </w:p>
    <w:p>
      <w:r>
        <w:rPr>
          <w:b w:val="0"/>
          <w:sz w:val="19"/>
        </w:rPr>
        <w:t>1.1. O presente contrato tem por objeto a prestação, pela CONTRATADA, de serviços especializados de gestão logística de delivery para a CONTRATANTE, abrangendo organização operacional, agenda de disponibilidade de parceiros entregadores autônomos, acompanhamento de entregas, suporte operacional, registro de ocorrências e relatórios de desempenho logístico.</w:t>
      </w:r>
    </w:p>
    <w:p>
      <w:r>
        <w:rPr>
          <w:b w:val="0"/>
          <w:sz w:val="19"/>
        </w:rPr>
        <w:t>1.2. A prestação dos serviços abrange entregas oriundas dos canais de venda da CONTRATANTE, incluindo iFood, 99, Keeta e canal próprio, conforme integrações técnicas disponíveis e fluxo operacional validado entre as partes.</w:t>
      </w:r>
    </w:p>
    <w:p>
      <w:r>
        <w:rPr>
          <w:b w:val="0"/>
          <w:sz w:val="19"/>
        </w:rPr>
        <w:t>1.3. O presente contrato não inclui produção, embalagem, atendimento interno de salão, gestão de cozinha, gestão financeira da CONTRATANTE ou administração de cardápio, salvo contratação específica por aditivo.</w:t>
      </w:r>
    </w:p>
    <w:p>
      <w:pPr>
        <w:pStyle w:val="Heading1"/>
      </w:pPr>
      <w:r>
        <w:t>CLÁUSULA SEGUNDA: DA NATUREZA JURÍDICA DA RELAÇÃO</w:t>
      </w:r>
    </w:p>
    <w:p>
      <w:r>
        <w:rPr>
          <w:b w:val="0"/>
          <w:sz w:val="19"/>
        </w:rPr>
        <w:t>2.1. A relação entre CONTRATANTE e CONTRATADA possui natureza exclusivamente civil e comercial, sem vínculo empregatício, subordinação hierárquica ou dependência econômica entre as partes.</w:t>
      </w:r>
    </w:p>
    <w:p>
      <w:r>
        <w:rPr>
          <w:b w:val="0"/>
          <w:sz w:val="19"/>
        </w:rPr>
        <w:t>2.2. A CONTRATANTE contrata a gestão logística prestada pela CONTRATADA, e não mão de obra direta de entregadores.</w:t>
      </w:r>
    </w:p>
    <w:p>
      <w:r>
        <w:rPr>
          <w:b w:val="0"/>
          <w:sz w:val="19"/>
        </w:rPr>
        <w:t>2.3. A CONTRATADA possui autonomia técnica, administrativa e operacional para organizar os meios necessários à execução dos serviços, observados os parâmetros comerciais e operacionais ajustados neste instrumento.</w:t>
      </w:r>
    </w:p>
    <w:p>
      <w:pPr>
        <w:pStyle w:val="Heading1"/>
      </w:pPr>
      <w:r>
        <w:t>CLÁUSULA TERCEIRA: DO MODELO OPERACIONAL E DA AGENDA DE DISPONIBILIDADE</w:t>
      </w:r>
    </w:p>
    <w:p>
      <w:r>
        <w:rPr>
          <w:b w:val="0"/>
          <w:sz w:val="19"/>
        </w:rPr>
        <w:t>3.1. A execução operacional será organizada por meio de plataforma tecnológica e/ou agenda digital de janelas de disponibilidade operacional.</w:t>
      </w:r>
    </w:p>
    <w:p>
      <w:r>
        <w:rPr>
          <w:b w:val="0"/>
          <w:sz w:val="19"/>
        </w:rPr>
        <w:t>3.2. Os parceiros entregadores autônomos poderão indicar disponibilidade, confirmar janelas, liberar janelas quando não puderem atender e prestar serviços a terceiros, sem exclusividade.</w:t>
      </w:r>
    </w:p>
    <w:p>
      <w:r>
        <w:rPr>
          <w:b w:val="0"/>
          <w:sz w:val="19"/>
        </w:rPr>
        <w:t>3.3. A quantidade inicial de parceiros, os horários e as janelas de disponibilidade serão definidos no Anexo I ou em comunicação operacional aceita pelas partes, podendo ser ajustados conforme demanda, volume de pedidos, raio de entrega e relatórios das plataformas.</w:t>
      </w:r>
    </w:p>
    <w:p>
      <w:r>
        <w:rPr>
          <w:b w:val="0"/>
          <w:sz w:val="19"/>
        </w:rPr>
        <w:t>3.4. Recomenda-se que a CONTRATANTE envie relatórios dos últimos 60 dias do iFood, 99, Keeta e canal próprio para dimensionamento técnico de raio, pico, volume, ticket médio, cancelamentos e quantidade ideal de parceiros por período.</w:t>
      </w:r>
    </w:p>
    <w:p>
      <w:r>
        <w:rPr>
          <w:b w:val="0"/>
          <w:sz w:val="19"/>
        </w:rPr>
        <w:t>3.5. A integração operacional será realizada em até 5 dias úteis após assinatura, envio dos dados necessários, validação de acessos e definição dos canais de comunicação.</w:t>
      </w:r>
    </w:p>
    <w:p>
      <w:pPr>
        <w:pStyle w:val="Heading1"/>
      </w:pPr>
      <w:r>
        <w:t>CLÁUSULA QUARTA: DOS PARCEIROS ENTREGADORES AUTÔNOMOS</w:t>
      </w:r>
    </w:p>
    <w:p>
      <w:r>
        <w:rPr>
          <w:b w:val="0"/>
          <w:sz w:val="19"/>
        </w:rPr>
        <w:t>4.1. Os parceiros entregadores são profissionais autônomos vinculados operacionalmente à CONTRATADA por contrato próprio, sem vínculo trabalhista com a CONTRATANTE.</w:t>
      </w:r>
    </w:p>
    <w:p>
      <w:r>
        <w:rPr>
          <w:b w:val="0"/>
          <w:sz w:val="19"/>
        </w:rPr>
        <w:t>4.2. A CONTRATANTE não deverá dar ordens diretas de natureza disciplinar, aplicar punições, exigir ponto, impor jornada ou tratar parceiros como funcionários.</w:t>
      </w:r>
    </w:p>
    <w:p>
      <w:r>
        <w:rPr>
          <w:b w:val="0"/>
          <w:sz w:val="19"/>
        </w:rPr>
        <w:t>4.3. As comunicações deverão preservar a natureza civil/comercial da relação, utilizando expressões como parceiro autônomo, agenda de disponibilidade, janela operacional, aceite, liberação de disponibilidade e suporte operacional.</w:t>
      </w:r>
    </w:p>
    <w:p>
      <w:r>
        <w:rPr>
          <w:b w:val="0"/>
          <w:sz w:val="19"/>
        </w:rPr>
        <w:t>4.4. A CONTRATADA será responsável pela gestão operacional dos parceiros, incluindo orientação, cadastro, confirmação de disponibilidade, apuração de valores e organização de substituição quando houver indisponibilidade.</w:t>
      </w:r>
    </w:p>
    <w:p>
      <w:pPr>
        <w:pStyle w:val="Heading1"/>
      </w:pPr>
      <w:r>
        <w:t>CLÁUSULA QUINTA: DAS RESPONSABILIDADES DA CONTRATADA</w:t>
      </w:r>
    </w:p>
    <w:p>
      <w:r>
        <w:rPr>
          <w:b w:val="0"/>
          <w:sz w:val="19"/>
        </w:rPr>
        <w:t>5.1. Compete à CONTRATADA organizar a operação logística, manter canal de suporte, acompanhar as entregas, registrar ocorrências e disponibilizar relatórios/fechamentos compatíveis com a operação realizada.</w:t>
      </w:r>
    </w:p>
    <w:p>
      <w:r>
        <w:rPr>
          <w:b w:val="0"/>
          <w:sz w:val="19"/>
        </w:rPr>
        <w:t>5.2. Compete à CONTRATADA acionar substituição operacional quando um parceiro previamente confirmado não puder atender a janela operacional, observada a disponibilidade de base e o tempo razoável de resposta.</w:t>
      </w:r>
    </w:p>
    <w:p>
      <w:r>
        <w:rPr>
          <w:b w:val="0"/>
          <w:sz w:val="19"/>
        </w:rPr>
        <w:t>5.3. A CONTRATADA não responde por atrasos decorrentes de preparo do pedido, endereço incorreto, ausência do cliente, condições climáticas severas, falhas das plataformas, indisponibilidade de sistemas de terceiros ou eventos de força maior.</w:t>
      </w:r>
    </w:p>
    <w:p>
      <w:pPr>
        <w:pStyle w:val="Heading1"/>
      </w:pPr>
      <w:r>
        <w:t>CLÁUSULA SEXTA: DAS RESPONSABILIDADES DA CONTRATANTE</w:t>
      </w:r>
    </w:p>
    <w:p>
      <w:r>
        <w:rPr>
          <w:b w:val="0"/>
          <w:sz w:val="19"/>
        </w:rPr>
        <w:t>6.1. Compete à CONTRATANTE fornecer dados, acessos, cardápio operacional, horários de funcionamento, raio desejado, regras de embalagem, pontos de coleta e informações necessárias ao bom funcionamento da operação.</w:t>
      </w:r>
    </w:p>
    <w:p>
      <w:r>
        <w:rPr>
          <w:b w:val="0"/>
          <w:sz w:val="19"/>
        </w:rPr>
        <w:t>6.2. A CONTRATANTE deve manter pedidos prontos para coleta no fluxo combinado, comunicar alterações com antecedência e utilizar os canais oficiais para solicitações operacionais.</w:t>
      </w:r>
    </w:p>
    <w:p>
      <w:r>
        <w:rPr>
          <w:b w:val="0"/>
          <w:sz w:val="19"/>
        </w:rPr>
        <w:t>6.3. A CONTRATANTE compromete-se a não contratar diretamente parceiros apresentados pela CONTRATADA durante a vigência deste contrato e pelo prazo de 12 meses após o encerramento, salvo autorização expressa da CONTRATADA.</w:t>
      </w:r>
    </w:p>
    <w:p>
      <w:pPr>
        <w:pStyle w:val="Heading1"/>
      </w:pPr>
      <w:r>
        <w:t>CLÁUSULA SÉTIMA: DAS CONDIÇÕES COMERCIAIS</w:t>
      </w:r>
    </w:p>
    <w:p>
      <w:r>
        <w:rPr>
          <w:b w:val="0"/>
          <w:sz w:val="19"/>
        </w:rPr>
        <w:t>7.1. São devidos pela CONTRATANTE os valores previstos no Anexo I: taxa mensal de gestão logística, diárias por parceiro/janela operacional, taxas por distância percorrida e eventuais adicionais aplicáveis.</w:t>
      </w:r>
    </w:p>
    <w:p>
      <w:r>
        <w:rPr>
          <w:b w:val="0"/>
          <w:sz w:val="19"/>
        </w:rPr>
        <w:t>7.2. Nesta proposta não há isenção de taxa administrativa de gestão logística.</w:t>
      </w:r>
    </w:p>
    <w:p>
      <w:r>
        <w:rPr>
          <w:b w:val="0"/>
          <w:sz w:val="19"/>
        </w:rPr>
        <w:t>7.3. A mensalidade de gestão logística será definida conforme plano escolhido e poderá ser ajustada por aditivo caso os relatórios indiquem necessidade de modelo personalizado.</w:t>
      </w:r>
    </w:p>
    <w:p>
      <w:r>
        <w:rPr>
          <w:b w:val="0"/>
          <w:sz w:val="19"/>
        </w:rPr>
        <w:t>7.4. A primeira mensalidade de gestão será devida no primeiro fechamento mensal, salvo ajuste diverso por escrito entre as partes.</w:t>
      </w:r>
    </w:p>
    <w:p>
      <w:pPr>
        <w:pStyle w:val="Heading1"/>
      </w:pPr>
      <w:r>
        <w:t>CLÁUSULA OITAVA: DO ADICIONAL DE CHUVA E EVENTOS EXCEPCIONAIS</w:t>
      </w:r>
    </w:p>
    <w:p>
      <w:r>
        <w:rPr>
          <w:b w:val="0"/>
          <w:sz w:val="19"/>
        </w:rPr>
        <w:t>8.1. Em caso de chuva, alagamento, risco operacional relevante ou condição climática que aumente o custo e a dificuldade da entrega, poderá incidir adicional de 20% sobre o valor da corrida afetada.</w:t>
      </w:r>
    </w:p>
    <w:p>
      <w:r>
        <w:rPr>
          <w:b w:val="0"/>
          <w:sz w:val="19"/>
        </w:rPr>
        <w:t>8.2. A ativação e desativação do adicional deverá ser comunicada em canal operacional, sempre que possível, preservando transparência para a CONTRATANTE.</w:t>
      </w:r>
    </w:p>
    <w:p>
      <w:pPr>
        <w:pStyle w:val="Heading1"/>
      </w:pPr>
      <w:r>
        <w:t>CLÁUSULA NONA: DO FECHAMENTO E PAGAMENTO</w:t>
      </w:r>
    </w:p>
    <w:p>
      <w:r>
        <w:rPr>
          <w:b w:val="0"/>
          <w:sz w:val="19"/>
        </w:rPr>
        <w:t>9.1. A CONTRATADA apresentará fechamento periódico contendo diárias, taxas por distância, adicionais e demais valores operacionais apurados.</w:t>
      </w:r>
    </w:p>
    <w:p>
      <w:r>
        <w:rPr>
          <w:b w:val="0"/>
          <w:sz w:val="19"/>
        </w:rPr>
        <w:t>9.2. O prazo e a forma de pagamento deverão ser definidos entre as partes no início da operação e poderão constar em aditivo ou comunicação formal aceita.</w:t>
      </w:r>
    </w:p>
    <w:p>
      <w:pPr>
        <w:pStyle w:val="Heading1"/>
      </w:pPr>
      <w:r>
        <w:t>CLÁUSULA DÉCIMA: VIGÊNCIA, RESCISÃO E MULTA</w:t>
      </w:r>
    </w:p>
    <w:p>
      <w:r>
        <w:rPr>
          <w:b w:val="0"/>
          <w:sz w:val="19"/>
        </w:rPr>
        <w:t>10.1. O contrato terá vigência mínima de 90 dias, contados da assinatura, salvo disposição diversa em aditivo.</w:t>
      </w:r>
    </w:p>
    <w:p>
      <w:r>
        <w:rPr>
          <w:b w:val="0"/>
          <w:sz w:val="19"/>
        </w:rPr>
        <w:t>10.2. Após o prazo mínimo, poderá ser encerrado por qualquer das partes mediante aviso prévio de 30 dias.</w:t>
      </w:r>
    </w:p>
    <w:p>
      <w:r>
        <w:rPr>
          <w:b w:val="0"/>
          <w:sz w:val="19"/>
        </w:rPr>
        <w:t>10.3. A rescisão imotivada antes do prazo mínimo poderá gerar multa compensatória de 20% sobre a média mensal projetada dos valores de gestão dos meses remanescentes, sem prejuízo dos valores operacionais já apurados.</w:t>
      </w:r>
    </w:p>
    <w:p>
      <w:pPr>
        <w:pStyle w:val="Heading1"/>
      </w:pPr>
      <w:r>
        <w:t>CLÁUSULA DÉCIMA PRIMEIRA: NÃO ALICIAMENTO</w:t>
      </w:r>
    </w:p>
    <w:p>
      <w:r>
        <w:rPr>
          <w:b w:val="0"/>
          <w:sz w:val="19"/>
        </w:rPr>
        <w:t>11.1. A CONTRATANTE compromete-se a não aliciar, contratar diretamente ou desviar parceiros entregadores apresentados pela CONTRATADA durante a vigência e por 12 meses após o encerramento.</w:t>
      </w:r>
    </w:p>
    <w:p>
      <w:r>
        <w:rPr>
          <w:b w:val="0"/>
          <w:sz w:val="19"/>
        </w:rPr>
        <w:t>11.2. O descumprimento poderá gerar multa de R$ 5.000,00 por parceiro aliciado, sem prejuízo de perdas e danos comprovados.</w:t>
      </w:r>
    </w:p>
    <w:p>
      <w:pPr>
        <w:pStyle w:val="Heading1"/>
      </w:pPr>
      <w:r>
        <w:t>CLÁUSULA DÉCIMA SEGUNDA: SIGILO E LGPD</w:t>
      </w:r>
    </w:p>
    <w:p>
      <w:r>
        <w:rPr>
          <w:b w:val="0"/>
          <w:sz w:val="19"/>
        </w:rPr>
        <w:t>12.1. As partes deverão manter sigilo sobre dados operacionais, tabelas, relatórios, clientes, rotas, credenciais, estratégia comercial e demais informações acessadas em razão da parceria.</w:t>
      </w:r>
    </w:p>
    <w:p>
      <w:r>
        <w:rPr>
          <w:b w:val="0"/>
          <w:sz w:val="19"/>
        </w:rPr>
        <w:t>12.2. As partes se comprometem a observar a Lei Geral de Proteção de Dados, tratando dados pessoais apenas para finalidades necessárias à execução logística.</w:t>
      </w:r>
    </w:p>
    <w:p>
      <w:pPr>
        <w:pStyle w:val="Heading1"/>
      </w:pPr>
      <w:r>
        <w:t>CLÁUSULA DÉCIMA TERCEIRA: ASSINATURA ELETRÔNICA E FORO</w:t>
      </w:r>
    </w:p>
    <w:p>
      <w:r>
        <w:rPr>
          <w:b w:val="0"/>
          <w:sz w:val="19"/>
        </w:rPr>
        <w:t>13.1. O presente contrato poderá ser assinado eletronicamente com validade jurídica, inclusive por plataformas de assinatura eletrônica aceitas pelo mercado.</w:t>
      </w:r>
    </w:p>
    <w:p>
      <w:r>
        <w:rPr>
          <w:b w:val="0"/>
          <w:sz w:val="19"/>
        </w:rPr>
        <w:t>13.2. Fica eleito o foro da Comarca de Osasco/SP para dirimir controvérsias oriundas deste instrumento.</w:t>
      </w:r>
    </w:p>
    <w:p>
      <w:r>
        <w:br w:type="page"/>
      </w:r>
    </w:p>
    <w:tbl>
      <w:tblPr>
        <w:tblW w:type="auto" w:w="0"/>
        <w:jc w:val="center"/>
        <w:tblLayout w:type="autofit"/>
        <w:tblLook w:firstColumn="1" w:firstRow="1" w:lastColumn="0" w:lastRow="0" w:noHBand="0" w:noVBand="1" w:val="04A0"/>
      </w:tblPr>
      <w:tblGrid>
        <w:gridCol w:w="5256"/>
        <w:gridCol w:w="5256"/>
      </w:tblGrid>
      <w:tr>
        <w:tc>
          <w:tcPr>
            <w:tcW w:type="dxa" w:w="5256"/>
          </w:tcPr>
          <w:p>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images (1).png"/>
                          <pic:cNvPicPr/>
                        </pic:nvPicPr>
                        <pic:blipFill>
                          <a:blip r:embed="rId9"/>
                          <a:stretch>
                            <a:fillRect/>
                          </a:stretch>
                        </pic:blipFill>
                        <pic:spPr>
                          <a:xfrm>
                            <a:off x="0" y="0"/>
                            <a:ext cx="914400" cy="914400"/>
                          </a:xfrm>
                          <a:prstGeom prst="rect"/>
                        </pic:spPr>
                      </pic:pic>
                    </a:graphicData>
                  </a:graphic>
                </wp:inline>
              </w:drawing>
            </w:r>
          </w:p>
        </w:tc>
        <w:tc>
          <w:tcPr>
            <w:tcW w:type="dxa" w:w="5256"/>
          </w:tcPr>
          <w:p>
            <w:pPr>
              <w:jc w:val="right"/>
            </w:pPr>
            <w:r>
              <w:rPr>
                <w:b/>
                <w:color w:val="0F0F0F"/>
                <w:sz w:val="32"/>
              </w:rPr>
              <w:t>ANEXO I</w:t>
            </w:r>
            <w:r>
              <w:rPr>
                <w:sz w:val="18"/>
              </w:rPr>
              <w:br/>
              <w:t>Tabela operacional de custos | BARTO Rock &amp; Comedy</w:t>
            </w:r>
          </w:p>
        </w:tc>
      </w:tr>
    </w:tbl>
    <w:p/>
    <w:p>
      <w:pPr>
        <w:pStyle w:val="Heading1"/>
      </w:pPr>
      <w:r>
        <w:t>1. Taxa mensal de gestão logística</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11111"/>
            <w:vAlign w:val="center"/>
          </w:tcPr>
          <w:p>
            <w:r/>
            <w:r>
              <w:rPr>
                <w:b/>
                <w:color w:val="FFFFFF"/>
                <w:sz w:val="18"/>
              </w:rPr>
              <w:t>Plano</w:t>
            </w:r>
          </w:p>
        </w:tc>
        <w:tc>
          <w:tcPr>
            <w:tcW w:type="dxa" w:w="3504"/>
            <w:shd w:fill="111111"/>
            <w:vAlign w:val="center"/>
          </w:tcPr>
          <w:p>
            <w:r/>
            <w:r>
              <w:rPr>
                <w:b/>
                <w:color w:val="FFFFFF"/>
                <w:sz w:val="18"/>
              </w:rPr>
              <w:t>Limite de entregas</w:t>
            </w:r>
          </w:p>
        </w:tc>
        <w:tc>
          <w:tcPr>
            <w:tcW w:type="dxa" w:w="3504"/>
            <w:shd w:fill="111111"/>
            <w:vAlign w:val="center"/>
          </w:tcPr>
          <w:p>
            <w:r/>
            <w:r>
              <w:rPr>
                <w:b/>
                <w:color w:val="FFFFFF"/>
                <w:sz w:val="18"/>
              </w:rPr>
              <w:t>Valor mensal</w:t>
            </w:r>
          </w:p>
        </w:tc>
      </w:tr>
      <w:tr>
        <w:tc>
          <w:tcPr>
            <w:tcW w:type="dxa" w:w="3504"/>
            <w:vAlign w:val="center"/>
          </w:tcPr>
          <w:p>
            <w:r/>
            <w:r>
              <w:rPr>
                <w:b w:val="0"/>
                <w:color w:val="111111"/>
                <w:sz w:val="17"/>
              </w:rPr>
              <w:t>Plano Básico</w:t>
            </w:r>
          </w:p>
        </w:tc>
        <w:tc>
          <w:tcPr>
            <w:tcW w:type="dxa" w:w="3504"/>
            <w:vAlign w:val="center"/>
          </w:tcPr>
          <w:p>
            <w:r/>
            <w:r>
              <w:rPr>
                <w:b w:val="0"/>
                <w:color w:val="111111"/>
                <w:sz w:val="17"/>
              </w:rPr>
              <w:t>Até 800 entregas mensais</w:t>
            </w:r>
          </w:p>
        </w:tc>
        <w:tc>
          <w:tcPr>
            <w:tcW w:type="dxa" w:w="3504"/>
            <w:vAlign w:val="center"/>
          </w:tcPr>
          <w:p>
            <w:r/>
            <w:r>
              <w:rPr>
                <w:b w:val="0"/>
                <w:color w:val="111111"/>
                <w:sz w:val="17"/>
              </w:rPr>
              <w:t>R$ 799,00/mês</w:t>
            </w:r>
          </w:p>
        </w:tc>
      </w:tr>
      <w:tr>
        <w:tc>
          <w:tcPr>
            <w:tcW w:type="dxa" w:w="3504"/>
            <w:vAlign w:val="center"/>
          </w:tcPr>
          <w:p>
            <w:r/>
            <w:r>
              <w:rPr>
                <w:b w:val="0"/>
                <w:color w:val="111111"/>
                <w:sz w:val="17"/>
              </w:rPr>
              <w:t>Plano Médio</w:t>
            </w:r>
          </w:p>
        </w:tc>
        <w:tc>
          <w:tcPr>
            <w:tcW w:type="dxa" w:w="3504"/>
            <w:vAlign w:val="center"/>
          </w:tcPr>
          <w:p>
            <w:r/>
            <w:r>
              <w:rPr>
                <w:b w:val="0"/>
                <w:color w:val="111111"/>
                <w:sz w:val="17"/>
              </w:rPr>
              <w:t>Até 1.300 entregas mensais</w:t>
            </w:r>
          </w:p>
        </w:tc>
        <w:tc>
          <w:tcPr>
            <w:tcW w:type="dxa" w:w="3504"/>
            <w:vAlign w:val="center"/>
          </w:tcPr>
          <w:p>
            <w:r/>
            <w:r>
              <w:rPr>
                <w:b w:val="0"/>
                <w:color w:val="111111"/>
                <w:sz w:val="17"/>
              </w:rPr>
              <w:t>R$ 1.299,00/mês</w:t>
            </w:r>
          </w:p>
        </w:tc>
      </w:tr>
      <w:tr>
        <w:tc>
          <w:tcPr>
            <w:tcW w:type="dxa" w:w="3504"/>
            <w:vAlign w:val="center"/>
          </w:tcPr>
          <w:p>
            <w:r/>
            <w:r>
              <w:rPr>
                <w:b w:val="0"/>
                <w:color w:val="111111"/>
                <w:sz w:val="17"/>
              </w:rPr>
              <w:t>Plano Contratado</w:t>
            </w:r>
          </w:p>
        </w:tc>
        <w:tc>
          <w:tcPr>
            <w:tcW w:type="dxa" w:w="3504"/>
            <w:vAlign w:val="center"/>
          </w:tcPr>
          <w:p>
            <w:r/>
            <w:r>
              <w:rPr>
                <w:b w:val="0"/>
                <w:color w:val="111111"/>
                <w:sz w:val="17"/>
              </w:rPr>
              <w:t>Até 1.800 entregas mensais</w:t>
            </w:r>
          </w:p>
        </w:tc>
        <w:tc>
          <w:tcPr>
            <w:tcW w:type="dxa" w:w="3504"/>
            <w:vAlign w:val="center"/>
          </w:tcPr>
          <w:p>
            <w:r/>
            <w:r>
              <w:rPr>
                <w:b w:val="0"/>
                <w:color w:val="111111"/>
                <w:sz w:val="17"/>
              </w:rPr>
              <w:t>R$ 1.599,00/mês</w:t>
            </w:r>
          </w:p>
        </w:tc>
      </w:tr>
      <w:tr>
        <w:tc>
          <w:tcPr>
            <w:tcW w:type="dxa" w:w="3504"/>
            <w:vAlign w:val="center"/>
          </w:tcPr>
          <w:p>
            <w:r/>
            <w:r>
              <w:rPr>
                <w:b w:val="0"/>
                <w:color w:val="111111"/>
                <w:sz w:val="17"/>
              </w:rPr>
              <w:t>Plano Avançado</w:t>
            </w:r>
          </w:p>
        </w:tc>
        <w:tc>
          <w:tcPr>
            <w:tcW w:type="dxa" w:w="3504"/>
            <w:vAlign w:val="center"/>
          </w:tcPr>
          <w:p>
            <w:r/>
            <w:r>
              <w:rPr>
                <w:b w:val="0"/>
                <w:color w:val="111111"/>
                <w:sz w:val="17"/>
              </w:rPr>
              <w:t>Acima de 1.800 entregas mensais</w:t>
            </w:r>
          </w:p>
        </w:tc>
        <w:tc>
          <w:tcPr>
            <w:tcW w:type="dxa" w:w="3504"/>
            <w:vAlign w:val="center"/>
          </w:tcPr>
          <w:p>
            <w:r/>
            <w:r>
              <w:rPr>
                <w:b w:val="0"/>
                <w:color w:val="111111"/>
                <w:sz w:val="17"/>
              </w:rPr>
              <w:t>Personalizado mediante aditivo</w:t>
            </w:r>
          </w:p>
        </w:tc>
      </w:tr>
    </w:tbl>
    <w:p/>
    <w:p>
      <w:pPr>
        <w:pStyle w:val="Heading1"/>
      </w:pPr>
      <w:r>
        <w:t>2. Diárias por parceiro / janela operacional</w:t>
      </w:r>
    </w:p>
    <w:tbl>
      <w:tblPr>
        <w:tblStyle w:val="TableGrid"/>
        <w:tblW w:type="auto" w:w="0"/>
        <w:jc w:val="center"/>
        <w:tblLook w:firstColumn="1" w:firstRow="1" w:lastColumn="0" w:lastRow="0" w:noHBand="0" w:noVBand="1" w:val="04A0"/>
      </w:tblPr>
      <w:tblGrid>
        <w:gridCol w:w="5256"/>
        <w:gridCol w:w="5256"/>
      </w:tblGrid>
      <w:tr>
        <w:tc>
          <w:tcPr>
            <w:tcW w:type="dxa" w:w="5256"/>
            <w:shd w:fill="111111"/>
            <w:vAlign w:val="center"/>
          </w:tcPr>
          <w:p>
            <w:r/>
            <w:r>
              <w:rPr>
                <w:b/>
                <w:color w:val="FFFFFF"/>
                <w:sz w:val="18"/>
              </w:rPr>
              <w:t>Dia</w:t>
            </w:r>
          </w:p>
        </w:tc>
        <w:tc>
          <w:tcPr>
            <w:tcW w:type="dxa" w:w="5256"/>
            <w:shd w:fill="111111"/>
            <w:vAlign w:val="center"/>
          </w:tcPr>
          <w:p>
            <w:r/>
            <w:r>
              <w:rPr>
                <w:b/>
                <w:color w:val="FFFFFF"/>
                <w:sz w:val="18"/>
              </w:rPr>
              <w:t>Valor</w:t>
            </w:r>
          </w:p>
        </w:tc>
      </w:tr>
      <w:tr>
        <w:tc>
          <w:tcPr>
            <w:tcW w:type="dxa" w:w="5256"/>
            <w:vAlign w:val="center"/>
          </w:tcPr>
          <w:p>
            <w:r/>
            <w:r>
              <w:rPr>
                <w:b w:val="0"/>
                <w:color w:val="111111"/>
                <w:sz w:val="17"/>
              </w:rPr>
              <w:t>Segunda-feira a quinta-feira</w:t>
            </w:r>
          </w:p>
        </w:tc>
        <w:tc>
          <w:tcPr>
            <w:tcW w:type="dxa" w:w="5256"/>
            <w:vAlign w:val="center"/>
          </w:tcPr>
          <w:p>
            <w:r/>
            <w:r>
              <w:rPr>
                <w:b w:val="0"/>
                <w:color w:val="111111"/>
                <w:sz w:val="17"/>
              </w:rPr>
              <w:t>R$ 65,00</w:t>
            </w:r>
          </w:p>
        </w:tc>
      </w:tr>
      <w:tr>
        <w:tc>
          <w:tcPr>
            <w:tcW w:type="dxa" w:w="5256"/>
            <w:vAlign w:val="center"/>
          </w:tcPr>
          <w:p>
            <w:r/>
            <w:r>
              <w:rPr>
                <w:b w:val="0"/>
                <w:color w:val="111111"/>
                <w:sz w:val="17"/>
              </w:rPr>
              <w:t>Sexta-feira, sábado, domingo e feriados</w:t>
            </w:r>
          </w:p>
        </w:tc>
        <w:tc>
          <w:tcPr>
            <w:tcW w:type="dxa" w:w="5256"/>
            <w:vAlign w:val="center"/>
          </w:tcPr>
          <w:p>
            <w:r/>
            <w:r>
              <w:rPr>
                <w:b w:val="0"/>
                <w:color w:val="111111"/>
                <w:sz w:val="17"/>
              </w:rPr>
              <w:t>R$ 70,00</w:t>
            </w:r>
          </w:p>
        </w:tc>
      </w:tr>
    </w:tbl>
    <w:p/>
    <w:p>
      <w:pPr>
        <w:pStyle w:val="Heading1"/>
      </w:pPr>
      <w:r>
        <w:t>3. Taxas por distância percorrida</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11111"/>
            <w:vAlign w:val="center"/>
          </w:tcPr>
          <w:p>
            <w:r/>
            <w:r>
              <w:rPr>
                <w:b/>
                <w:color w:val="FFFFFF"/>
                <w:sz w:val="18"/>
              </w:rPr>
              <w:t>Segunda a quinta</w:t>
            </w:r>
          </w:p>
        </w:tc>
        <w:tc>
          <w:tcPr>
            <w:tcW w:type="dxa" w:w="2628"/>
            <w:shd w:fill="111111"/>
            <w:vAlign w:val="center"/>
          </w:tcPr>
          <w:p>
            <w:r/>
            <w:r>
              <w:rPr>
                <w:b/>
                <w:color w:val="FFFFFF"/>
                <w:sz w:val="18"/>
              </w:rPr>
              <w:t>Valor</w:t>
            </w:r>
          </w:p>
        </w:tc>
        <w:tc>
          <w:tcPr>
            <w:tcW w:type="dxa" w:w="2628"/>
            <w:shd w:fill="111111"/>
            <w:vAlign w:val="center"/>
          </w:tcPr>
          <w:p>
            <w:r/>
            <w:r>
              <w:rPr>
                <w:b/>
                <w:color w:val="FFFFFF"/>
                <w:sz w:val="18"/>
              </w:rPr>
              <w:t>Sexta/sábado/domingo/feriado</w:t>
            </w:r>
          </w:p>
        </w:tc>
        <w:tc>
          <w:tcPr>
            <w:tcW w:type="dxa" w:w="2628"/>
            <w:shd w:fill="111111"/>
            <w:vAlign w:val="center"/>
          </w:tcPr>
          <w:p>
            <w:r/>
            <w:r>
              <w:rPr>
                <w:b/>
                <w:color w:val="FFFFFF"/>
                <w:sz w:val="18"/>
              </w:rPr>
              <w:t>Valor</w:t>
            </w:r>
          </w:p>
        </w:tc>
      </w:tr>
      <w:tr>
        <w:tc>
          <w:tcPr>
            <w:tcW w:type="dxa" w:w="2628"/>
            <w:vAlign w:val="center"/>
          </w:tcPr>
          <w:p>
            <w:r/>
            <w:r>
              <w:rPr>
                <w:b w:val="0"/>
                <w:color w:val="111111"/>
                <w:sz w:val="17"/>
              </w:rPr>
              <w:t>1 km</w:t>
            </w:r>
          </w:p>
        </w:tc>
        <w:tc>
          <w:tcPr>
            <w:tcW w:type="dxa" w:w="2628"/>
            <w:vAlign w:val="center"/>
          </w:tcPr>
          <w:p>
            <w:r/>
            <w:r>
              <w:rPr>
                <w:b w:val="0"/>
                <w:color w:val="111111"/>
                <w:sz w:val="17"/>
              </w:rPr>
              <w:t>R$ 7,00</w:t>
            </w:r>
          </w:p>
        </w:tc>
        <w:tc>
          <w:tcPr>
            <w:tcW w:type="dxa" w:w="2628"/>
            <w:vAlign w:val="center"/>
          </w:tcPr>
          <w:p>
            <w:r/>
            <w:r>
              <w:rPr>
                <w:b w:val="0"/>
                <w:color w:val="111111"/>
                <w:sz w:val="17"/>
              </w:rPr>
              <w:t>1 km</w:t>
            </w:r>
          </w:p>
        </w:tc>
        <w:tc>
          <w:tcPr>
            <w:tcW w:type="dxa" w:w="2628"/>
            <w:vAlign w:val="center"/>
          </w:tcPr>
          <w:p>
            <w:r/>
            <w:r>
              <w:rPr>
                <w:b w:val="0"/>
                <w:color w:val="111111"/>
                <w:sz w:val="17"/>
              </w:rPr>
              <w:t>R$ 9,00</w:t>
            </w:r>
          </w:p>
        </w:tc>
      </w:tr>
      <w:tr>
        <w:tc>
          <w:tcPr>
            <w:tcW w:type="dxa" w:w="2628"/>
            <w:vAlign w:val="center"/>
          </w:tcPr>
          <w:p>
            <w:r/>
            <w:r>
              <w:rPr>
                <w:b w:val="0"/>
                <w:color w:val="111111"/>
                <w:sz w:val="17"/>
              </w:rPr>
              <w:t>2 km</w:t>
            </w:r>
          </w:p>
        </w:tc>
        <w:tc>
          <w:tcPr>
            <w:tcW w:type="dxa" w:w="2628"/>
            <w:vAlign w:val="center"/>
          </w:tcPr>
          <w:p>
            <w:r/>
            <w:r>
              <w:rPr>
                <w:b w:val="0"/>
                <w:color w:val="111111"/>
                <w:sz w:val="17"/>
              </w:rPr>
              <w:t>R$ 7,00</w:t>
            </w:r>
          </w:p>
        </w:tc>
        <w:tc>
          <w:tcPr>
            <w:tcW w:type="dxa" w:w="2628"/>
            <w:vAlign w:val="center"/>
          </w:tcPr>
          <w:p>
            <w:r/>
            <w:r>
              <w:rPr>
                <w:b w:val="0"/>
                <w:color w:val="111111"/>
                <w:sz w:val="17"/>
              </w:rPr>
              <w:t>2 km</w:t>
            </w:r>
          </w:p>
        </w:tc>
        <w:tc>
          <w:tcPr>
            <w:tcW w:type="dxa" w:w="2628"/>
            <w:vAlign w:val="center"/>
          </w:tcPr>
          <w:p>
            <w:r/>
            <w:r>
              <w:rPr>
                <w:b w:val="0"/>
                <w:color w:val="111111"/>
                <w:sz w:val="17"/>
              </w:rPr>
              <w:t>R$ 9,00</w:t>
            </w:r>
          </w:p>
        </w:tc>
      </w:tr>
      <w:tr>
        <w:tc>
          <w:tcPr>
            <w:tcW w:type="dxa" w:w="2628"/>
            <w:vAlign w:val="center"/>
          </w:tcPr>
          <w:p>
            <w:r/>
            <w:r>
              <w:rPr>
                <w:b w:val="0"/>
                <w:color w:val="111111"/>
                <w:sz w:val="17"/>
              </w:rPr>
              <w:t>3 km</w:t>
            </w:r>
          </w:p>
        </w:tc>
        <w:tc>
          <w:tcPr>
            <w:tcW w:type="dxa" w:w="2628"/>
            <w:vAlign w:val="center"/>
          </w:tcPr>
          <w:p>
            <w:r/>
            <w:r>
              <w:rPr>
                <w:b w:val="0"/>
                <w:color w:val="111111"/>
                <w:sz w:val="17"/>
              </w:rPr>
              <w:t>R$ 8,00</w:t>
            </w:r>
          </w:p>
        </w:tc>
        <w:tc>
          <w:tcPr>
            <w:tcW w:type="dxa" w:w="2628"/>
            <w:vAlign w:val="center"/>
          </w:tcPr>
          <w:p>
            <w:r/>
            <w:r>
              <w:rPr>
                <w:b w:val="0"/>
                <w:color w:val="111111"/>
                <w:sz w:val="17"/>
              </w:rPr>
              <w:t>3 km</w:t>
            </w:r>
          </w:p>
        </w:tc>
        <w:tc>
          <w:tcPr>
            <w:tcW w:type="dxa" w:w="2628"/>
            <w:vAlign w:val="center"/>
          </w:tcPr>
          <w:p>
            <w:r/>
            <w:r>
              <w:rPr>
                <w:b w:val="0"/>
                <w:color w:val="111111"/>
                <w:sz w:val="17"/>
              </w:rPr>
              <w:t>R$ 9,00</w:t>
            </w:r>
          </w:p>
        </w:tc>
      </w:tr>
      <w:tr>
        <w:tc>
          <w:tcPr>
            <w:tcW w:type="dxa" w:w="2628"/>
            <w:vAlign w:val="center"/>
          </w:tcPr>
          <w:p>
            <w:r/>
            <w:r>
              <w:rPr>
                <w:b w:val="0"/>
                <w:color w:val="111111"/>
                <w:sz w:val="17"/>
              </w:rPr>
              <w:t>4 km</w:t>
            </w:r>
          </w:p>
        </w:tc>
        <w:tc>
          <w:tcPr>
            <w:tcW w:type="dxa" w:w="2628"/>
            <w:vAlign w:val="center"/>
          </w:tcPr>
          <w:p>
            <w:r/>
            <w:r>
              <w:rPr>
                <w:b w:val="0"/>
                <w:color w:val="111111"/>
                <w:sz w:val="17"/>
              </w:rPr>
              <w:t>R$ 8,00</w:t>
            </w:r>
          </w:p>
        </w:tc>
        <w:tc>
          <w:tcPr>
            <w:tcW w:type="dxa" w:w="2628"/>
            <w:vAlign w:val="center"/>
          </w:tcPr>
          <w:p>
            <w:r/>
            <w:r>
              <w:rPr>
                <w:b w:val="0"/>
                <w:color w:val="111111"/>
                <w:sz w:val="17"/>
              </w:rPr>
              <w:t>4 km</w:t>
            </w:r>
          </w:p>
        </w:tc>
        <w:tc>
          <w:tcPr>
            <w:tcW w:type="dxa" w:w="2628"/>
            <w:vAlign w:val="center"/>
          </w:tcPr>
          <w:p>
            <w:r/>
            <w:r>
              <w:rPr>
                <w:b w:val="0"/>
                <w:color w:val="111111"/>
                <w:sz w:val="17"/>
              </w:rPr>
              <w:t>R$ 10,00</w:t>
            </w:r>
          </w:p>
        </w:tc>
      </w:tr>
      <w:tr>
        <w:tc>
          <w:tcPr>
            <w:tcW w:type="dxa" w:w="2628"/>
            <w:vAlign w:val="center"/>
          </w:tcPr>
          <w:p>
            <w:r/>
            <w:r>
              <w:rPr>
                <w:b w:val="0"/>
                <w:color w:val="111111"/>
                <w:sz w:val="17"/>
              </w:rPr>
              <w:t>5 km</w:t>
            </w:r>
          </w:p>
        </w:tc>
        <w:tc>
          <w:tcPr>
            <w:tcW w:type="dxa" w:w="2628"/>
            <w:vAlign w:val="center"/>
          </w:tcPr>
          <w:p>
            <w:r/>
            <w:r>
              <w:rPr>
                <w:b w:val="0"/>
                <w:color w:val="111111"/>
                <w:sz w:val="17"/>
              </w:rPr>
              <w:t>R$ 9,00</w:t>
            </w:r>
          </w:p>
        </w:tc>
        <w:tc>
          <w:tcPr>
            <w:tcW w:type="dxa" w:w="2628"/>
            <w:vAlign w:val="center"/>
          </w:tcPr>
          <w:p>
            <w:r/>
            <w:r>
              <w:rPr>
                <w:b w:val="0"/>
                <w:color w:val="111111"/>
                <w:sz w:val="17"/>
              </w:rPr>
              <w:t>5 km</w:t>
            </w:r>
          </w:p>
        </w:tc>
        <w:tc>
          <w:tcPr>
            <w:tcW w:type="dxa" w:w="2628"/>
            <w:vAlign w:val="center"/>
          </w:tcPr>
          <w:p>
            <w:r/>
            <w:r>
              <w:rPr>
                <w:b w:val="0"/>
                <w:color w:val="111111"/>
                <w:sz w:val="17"/>
              </w:rPr>
              <w:t>R$ 11,00</w:t>
            </w:r>
          </w:p>
        </w:tc>
      </w:tr>
      <w:tr>
        <w:tc>
          <w:tcPr>
            <w:tcW w:type="dxa" w:w="2628"/>
            <w:vAlign w:val="center"/>
          </w:tcPr>
          <w:p>
            <w:r/>
            <w:r>
              <w:rPr>
                <w:b w:val="0"/>
                <w:color w:val="111111"/>
                <w:sz w:val="17"/>
              </w:rPr>
              <w:t>6 km</w:t>
            </w:r>
          </w:p>
        </w:tc>
        <w:tc>
          <w:tcPr>
            <w:tcW w:type="dxa" w:w="2628"/>
            <w:vAlign w:val="center"/>
          </w:tcPr>
          <w:p>
            <w:r/>
            <w:r>
              <w:rPr>
                <w:b w:val="0"/>
                <w:color w:val="111111"/>
                <w:sz w:val="17"/>
              </w:rPr>
              <w:t>R$ 10,00</w:t>
            </w:r>
          </w:p>
        </w:tc>
        <w:tc>
          <w:tcPr>
            <w:tcW w:type="dxa" w:w="2628"/>
            <w:vAlign w:val="center"/>
          </w:tcPr>
          <w:p>
            <w:r/>
            <w:r>
              <w:rPr>
                <w:b w:val="0"/>
                <w:color w:val="111111"/>
                <w:sz w:val="17"/>
              </w:rPr>
              <w:t>6 km</w:t>
            </w:r>
          </w:p>
        </w:tc>
        <w:tc>
          <w:tcPr>
            <w:tcW w:type="dxa" w:w="2628"/>
            <w:vAlign w:val="center"/>
          </w:tcPr>
          <w:p>
            <w:r/>
            <w:r>
              <w:rPr>
                <w:b w:val="0"/>
                <w:color w:val="111111"/>
                <w:sz w:val="17"/>
              </w:rPr>
              <w:t>R$ 11,00</w:t>
            </w:r>
          </w:p>
        </w:tc>
      </w:tr>
      <w:tr>
        <w:tc>
          <w:tcPr>
            <w:tcW w:type="dxa" w:w="2628"/>
            <w:vAlign w:val="center"/>
          </w:tcPr>
          <w:p>
            <w:r/>
            <w:r>
              <w:rPr>
                <w:b w:val="0"/>
                <w:color w:val="111111"/>
                <w:sz w:val="17"/>
              </w:rPr>
              <w:t>7 km</w:t>
            </w:r>
          </w:p>
        </w:tc>
        <w:tc>
          <w:tcPr>
            <w:tcW w:type="dxa" w:w="2628"/>
            <w:vAlign w:val="center"/>
          </w:tcPr>
          <w:p>
            <w:r/>
            <w:r>
              <w:rPr>
                <w:b w:val="0"/>
                <w:color w:val="111111"/>
                <w:sz w:val="17"/>
              </w:rPr>
              <w:t>R$ 11,00</w:t>
            </w:r>
          </w:p>
        </w:tc>
        <w:tc>
          <w:tcPr>
            <w:tcW w:type="dxa" w:w="2628"/>
            <w:vAlign w:val="center"/>
          </w:tcPr>
          <w:p>
            <w:r/>
            <w:r>
              <w:rPr>
                <w:b w:val="0"/>
                <w:color w:val="111111"/>
                <w:sz w:val="17"/>
              </w:rPr>
              <w:t>7 km</w:t>
            </w:r>
          </w:p>
        </w:tc>
        <w:tc>
          <w:tcPr>
            <w:tcW w:type="dxa" w:w="2628"/>
            <w:vAlign w:val="center"/>
          </w:tcPr>
          <w:p>
            <w:r/>
            <w:r>
              <w:rPr>
                <w:b w:val="0"/>
                <w:color w:val="111111"/>
                <w:sz w:val="17"/>
              </w:rPr>
              <w:t>R$ 13,00</w:t>
            </w:r>
          </w:p>
        </w:tc>
      </w:tr>
      <w:tr>
        <w:tc>
          <w:tcPr>
            <w:tcW w:type="dxa" w:w="2628"/>
            <w:vAlign w:val="center"/>
          </w:tcPr>
          <w:p>
            <w:r/>
            <w:r>
              <w:rPr>
                <w:b w:val="0"/>
                <w:color w:val="111111"/>
                <w:sz w:val="17"/>
              </w:rPr>
              <w:t>8 km</w:t>
            </w:r>
          </w:p>
        </w:tc>
        <w:tc>
          <w:tcPr>
            <w:tcW w:type="dxa" w:w="2628"/>
            <w:vAlign w:val="center"/>
          </w:tcPr>
          <w:p>
            <w:r/>
            <w:r>
              <w:rPr>
                <w:b w:val="0"/>
                <w:color w:val="111111"/>
                <w:sz w:val="17"/>
              </w:rPr>
              <w:t>R$ 12,00</w:t>
            </w:r>
          </w:p>
        </w:tc>
        <w:tc>
          <w:tcPr>
            <w:tcW w:type="dxa" w:w="2628"/>
            <w:vAlign w:val="center"/>
          </w:tcPr>
          <w:p>
            <w:r/>
            <w:r>
              <w:rPr>
                <w:b w:val="0"/>
                <w:color w:val="111111"/>
                <w:sz w:val="17"/>
              </w:rPr>
              <w:t>8 km</w:t>
            </w:r>
          </w:p>
        </w:tc>
        <w:tc>
          <w:tcPr>
            <w:tcW w:type="dxa" w:w="2628"/>
            <w:vAlign w:val="center"/>
          </w:tcPr>
          <w:p>
            <w:r/>
            <w:r>
              <w:rPr>
                <w:b w:val="0"/>
                <w:color w:val="111111"/>
                <w:sz w:val="17"/>
              </w:rPr>
              <w:t>R$ 14,00</w:t>
            </w:r>
          </w:p>
        </w:tc>
      </w:tr>
      <w:tr>
        <w:tc>
          <w:tcPr>
            <w:tcW w:type="dxa" w:w="2628"/>
            <w:vAlign w:val="center"/>
          </w:tcPr>
          <w:p>
            <w:r/>
            <w:r>
              <w:rPr>
                <w:b w:val="0"/>
                <w:color w:val="111111"/>
                <w:sz w:val="17"/>
              </w:rPr>
              <w:t>9 km</w:t>
            </w:r>
          </w:p>
        </w:tc>
        <w:tc>
          <w:tcPr>
            <w:tcW w:type="dxa" w:w="2628"/>
            <w:vAlign w:val="center"/>
          </w:tcPr>
          <w:p>
            <w:r/>
            <w:r>
              <w:rPr>
                <w:b w:val="0"/>
                <w:color w:val="111111"/>
                <w:sz w:val="17"/>
              </w:rPr>
              <w:t>R$ 13,00</w:t>
            </w:r>
          </w:p>
        </w:tc>
        <w:tc>
          <w:tcPr>
            <w:tcW w:type="dxa" w:w="2628"/>
            <w:vAlign w:val="center"/>
          </w:tcPr>
          <w:p>
            <w:r/>
            <w:r>
              <w:rPr>
                <w:b w:val="0"/>
                <w:color w:val="111111"/>
                <w:sz w:val="17"/>
              </w:rPr>
              <w:t>9 km</w:t>
            </w:r>
          </w:p>
        </w:tc>
        <w:tc>
          <w:tcPr>
            <w:tcW w:type="dxa" w:w="2628"/>
            <w:vAlign w:val="center"/>
          </w:tcPr>
          <w:p>
            <w:r/>
            <w:r>
              <w:rPr>
                <w:b w:val="0"/>
                <w:color w:val="111111"/>
                <w:sz w:val="17"/>
              </w:rPr>
              <w:t>R$ 15,00</w:t>
            </w:r>
          </w:p>
        </w:tc>
      </w:tr>
      <w:tr>
        <w:tc>
          <w:tcPr>
            <w:tcW w:type="dxa" w:w="2628"/>
            <w:vAlign w:val="center"/>
          </w:tcPr>
          <w:p>
            <w:r/>
            <w:r>
              <w:rPr>
                <w:b w:val="0"/>
                <w:color w:val="111111"/>
                <w:sz w:val="17"/>
              </w:rPr>
              <w:t>10 km</w:t>
            </w:r>
          </w:p>
        </w:tc>
        <w:tc>
          <w:tcPr>
            <w:tcW w:type="dxa" w:w="2628"/>
            <w:vAlign w:val="center"/>
          </w:tcPr>
          <w:p>
            <w:r/>
            <w:r>
              <w:rPr>
                <w:b w:val="0"/>
                <w:color w:val="111111"/>
                <w:sz w:val="17"/>
              </w:rPr>
              <w:t>R$ 15,00</w:t>
            </w:r>
          </w:p>
        </w:tc>
        <w:tc>
          <w:tcPr>
            <w:tcW w:type="dxa" w:w="2628"/>
            <w:vAlign w:val="center"/>
          </w:tcPr>
          <w:p>
            <w:r/>
            <w:r>
              <w:rPr>
                <w:b w:val="0"/>
                <w:color w:val="111111"/>
                <w:sz w:val="17"/>
              </w:rPr>
              <w:t>10 km</w:t>
            </w:r>
          </w:p>
        </w:tc>
        <w:tc>
          <w:tcPr>
            <w:tcW w:type="dxa" w:w="2628"/>
            <w:vAlign w:val="center"/>
          </w:tcPr>
          <w:p>
            <w:r/>
            <w:r>
              <w:rPr>
                <w:b w:val="0"/>
                <w:color w:val="111111"/>
                <w:sz w:val="17"/>
              </w:rPr>
              <w:t>R$ 17,00</w:t>
            </w:r>
          </w:p>
        </w:tc>
      </w:tr>
      <w:tr>
        <w:tc>
          <w:tcPr>
            <w:tcW w:type="dxa" w:w="2628"/>
            <w:vAlign w:val="center"/>
          </w:tcPr>
          <w:p>
            <w:r/>
            <w:r>
              <w:rPr>
                <w:b w:val="0"/>
                <w:color w:val="111111"/>
                <w:sz w:val="17"/>
              </w:rPr>
              <w:t>11 km</w:t>
            </w:r>
          </w:p>
        </w:tc>
        <w:tc>
          <w:tcPr>
            <w:tcW w:type="dxa" w:w="2628"/>
            <w:vAlign w:val="center"/>
          </w:tcPr>
          <w:p>
            <w:r/>
            <w:r>
              <w:rPr>
                <w:b w:val="0"/>
                <w:color w:val="111111"/>
                <w:sz w:val="17"/>
              </w:rPr>
              <w:t>R$ 15,00</w:t>
            </w:r>
          </w:p>
        </w:tc>
        <w:tc>
          <w:tcPr>
            <w:tcW w:type="dxa" w:w="2628"/>
            <w:vAlign w:val="center"/>
          </w:tcPr>
          <w:p>
            <w:r/>
            <w:r>
              <w:rPr>
                <w:b w:val="0"/>
                <w:color w:val="111111"/>
                <w:sz w:val="17"/>
              </w:rPr>
              <w:t>11 km</w:t>
            </w:r>
          </w:p>
        </w:tc>
        <w:tc>
          <w:tcPr>
            <w:tcW w:type="dxa" w:w="2628"/>
            <w:vAlign w:val="center"/>
          </w:tcPr>
          <w:p>
            <w:r/>
            <w:r>
              <w:rPr>
                <w:b w:val="0"/>
                <w:color w:val="111111"/>
                <w:sz w:val="17"/>
              </w:rPr>
              <w:t>R$ 17,00</w:t>
            </w:r>
          </w:p>
        </w:tc>
      </w:tr>
      <w:tr>
        <w:tc>
          <w:tcPr>
            <w:tcW w:type="dxa" w:w="2628"/>
            <w:vAlign w:val="center"/>
          </w:tcPr>
          <w:p>
            <w:r/>
            <w:r>
              <w:rPr>
                <w:b w:val="0"/>
                <w:color w:val="111111"/>
                <w:sz w:val="17"/>
              </w:rPr>
              <w:t>12 km</w:t>
            </w:r>
          </w:p>
        </w:tc>
        <w:tc>
          <w:tcPr>
            <w:tcW w:type="dxa" w:w="2628"/>
            <w:vAlign w:val="center"/>
          </w:tcPr>
          <w:p>
            <w:r/>
            <w:r>
              <w:rPr>
                <w:b w:val="0"/>
                <w:color w:val="111111"/>
                <w:sz w:val="17"/>
              </w:rPr>
              <w:t>R$ 16,00</w:t>
            </w:r>
          </w:p>
        </w:tc>
        <w:tc>
          <w:tcPr>
            <w:tcW w:type="dxa" w:w="2628"/>
            <w:vAlign w:val="center"/>
          </w:tcPr>
          <w:p>
            <w:r/>
            <w:r>
              <w:rPr>
                <w:b w:val="0"/>
                <w:color w:val="111111"/>
                <w:sz w:val="17"/>
              </w:rPr>
              <w:t>12 km</w:t>
            </w:r>
          </w:p>
        </w:tc>
        <w:tc>
          <w:tcPr>
            <w:tcW w:type="dxa" w:w="2628"/>
            <w:vAlign w:val="center"/>
          </w:tcPr>
          <w:p>
            <w:r/>
            <w:r>
              <w:rPr>
                <w:b w:val="0"/>
                <w:color w:val="111111"/>
                <w:sz w:val="17"/>
              </w:rPr>
              <w:t>R$ 17,00</w:t>
            </w:r>
          </w:p>
        </w:tc>
      </w:tr>
      <w:tr>
        <w:tc>
          <w:tcPr>
            <w:tcW w:type="dxa" w:w="2628"/>
            <w:vAlign w:val="center"/>
          </w:tcPr>
          <w:p>
            <w:r/>
            <w:r>
              <w:rPr>
                <w:b w:val="0"/>
                <w:color w:val="111111"/>
                <w:sz w:val="17"/>
              </w:rPr>
            </w:r>
          </w:p>
        </w:tc>
        <w:tc>
          <w:tcPr>
            <w:tcW w:type="dxa" w:w="2628"/>
            <w:vAlign w:val="center"/>
          </w:tcPr>
          <w:p>
            <w:r/>
            <w:r>
              <w:rPr>
                <w:b w:val="0"/>
                <w:color w:val="111111"/>
                <w:sz w:val="17"/>
              </w:rPr>
            </w:r>
          </w:p>
        </w:tc>
        <w:tc>
          <w:tcPr>
            <w:tcW w:type="dxa" w:w="2628"/>
            <w:vAlign w:val="center"/>
          </w:tcPr>
          <w:p>
            <w:r/>
            <w:r>
              <w:rPr>
                <w:b w:val="0"/>
                <w:color w:val="111111"/>
                <w:sz w:val="17"/>
              </w:rPr>
              <w:t>13 km</w:t>
            </w:r>
          </w:p>
        </w:tc>
        <w:tc>
          <w:tcPr>
            <w:tcW w:type="dxa" w:w="2628"/>
            <w:vAlign w:val="center"/>
          </w:tcPr>
          <w:p>
            <w:r/>
            <w:r>
              <w:rPr>
                <w:b w:val="0"/>
                <w:color w:val="111111"/>
                <w:sz w:val="17"/>
              </w:rPr>
              <w:t>R$ 21,00</w:t>
            </w:r>
          </w:p>
        </w:tc>
      </w:tr>
    </w:tbl>
    <w:p/>
    <w:p>
      <w:pPr>
        <w:pStyle w:val="Heading1"/>
      </w:pPr>
      <w:r>
        <w:t>4. Observações comerciais</w:t>
      </w:r>
    </w:p>
    <w:p>
      <w:pPr>
        <w:ind w:left="259" w:hanging="173"/>
      </w:pPr>
      <w:r>
        <w:rPr>
          <w:sz w:val="18"/>
        </w:rPr>
        <w:t>• Entregas acima de 12 km em dias úteis ou acima de 13 km em sextas, sábados, domingos e feriados deverão ter precificação específica alinhada entre as partes.</w:t>
      </w:r>
    </w:p>
    <w:p>
      <w:pPr>
        <w:ind w:left="259" w:hanging="173"/>
      </w:pPr>
      <w:r>
        <w:rPr>
          <w:sz w:val="18"/>
        </w:rPr>
        <w:t>• Os planos podem ser personalizados após análise dos relatórios de 60 dias das plataformas.</w:t>
      </w:r>
    </w:p>
    <w:p>
      <w:pPr>
        <w:ind w:left="259" w:hanging="173"/>
      </w:pPr>
      <w:r>
        <w:rPr>
          <w:sz w:val="18"/>
        </w:rPr>
        <w:t>• Não há isenção de taxa administrativa nesta proposta.</w:t>
      </w:r>
    </w:p>
    <w:p>
      <w:pPr>
        <w:ind w:left="259" w:hanging="173"/>
      </w:pPr>
      <w:r>
        <w:rPr>
          <w:sz w:val="18"/>
        </w:rPr>
        <w:t>• Este anexo poderá ser substituído por nova versão assinada ou aceita eletronicamente pelas partes.</w:t>
      </w:r>
    </w:p>
    <w:p>
      <w:pPr>
        <w:pStyle w:val="Heading1"/>
      </w:pPr>
      <w:r>
        <w:t>ASSINATURAS</w:t>
      </w:r>
    </w:p>
    <w:tbl>
      <w:tblPr>
        <w:tblStyle w:val="TableGrid"/>
        <w:tblW w:type="auto" w:w="0"/>
        <w:jc w:val="center"/>
        <w:tblLook w:firstColumn="1" w:firstRow="1" w:lastColumn="0" w:lastRow="0" w:noHBand="0" w:noVBand="1" w:val="04A0"/>
      </w:tblPr>
      <w:tblGrid>
        <w:gridCol w:w="5256"/>
        <w:gridCol w:w="5256"/>
      </w:tblGrid>
      <w:tr>
        <w:tc>
          <w:tcPr>
            <w:tcW w:type="dxa" w:w="5256"/>
            <w:shd w:fill="111111"/>
            <w:vAlign w:val="center"/>
          </w:tcPr>
          <w:p>
            <w:r/>
            <w:r>
              <w:rPr>
                <w:b/>
                <w:color w:val="FFFFFF"/>
                <w:sz w:val="18"/>
              </w:rPr>
              <w:t>CONTRATANTE</w:t>
            </w:r>
          </w:p>
        </w:tc>
        <w:tc>
          <w:tcPr>
            <w:tcW w:type="dxa" w:w="5256"/>
            <w:shd w:fill="111111"/>
            <w:vAlign w:val="center"/>
          </w:tcPr>
          <w:p>
            <w:r/>
            <w:r>
              <w:rPr>
                <w:b/>
                <w:color w:val="FFFFFF"/>
                <w:sz w:val="18"/>
              </w:rPr>
              <w:t>CONTRATADA</w:t>
            </w:r>
          </w:p>
        </w:tc>
      </w:tr>
      <w:tr>
        <w:tc>
          <w:tcPr>
            <w:tcW w:type="dxa" w:w="5256"/>
            <w:vAlign w:val="center"/>
          </w:tcPr>
          <w:p>
            <w:r/>
            <w:r>
              <w:rPr>
                <w:b w:val="0"/>
                <w:color w:val="111111"/>
                <w:sz w:val="17"/>
              </w:rPr>
              <w:t>BARTO ROCK &amp; COMEDY</w:t>
              <w:br/>
              <w:t>Responsável: Andrea</w:t>
              <w:br/>
              <w:t>Assinatura: __________________________</w:t>
            </w:r>
          </w:p>
        </w:tc>
        <w:tc>
          <w:tcPr>
            <w:tcW w:type="dxa" w:w="5256"/>
            <w:vAlign w:val="center"/>
          </w:tcPr>
          <w:p>
            <w:r/>
            <w:r>
              <w:rPr>
                <w:b w:val="0"/>
                <w:color w:val="111111"/>
                <w:sz w:val="17"/>
              </w:rPr>
              <w:t>OSASCO EXPRESS SERVIÇOS LTDA – ME</w:t>
              <w:br/>
              <w:t>CNPJ: 54.707.097/0001-04</w:t>
              <w:br/>
              <w:t>Assinatura: __________________________</w:t>
            </w:r>
          </w:p>
        </w:tc>
      </w:tr>
    </w:tbl>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14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