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Vendor Update Memo</w:t>
      </w:r>
    </w:p>
    <w:p>
      <w:r>
        <w:t xml:space="preserve">Status: Draft</w:t>
      </w:r>
    </w:p>
    <w:p>
      <w:r>
        <w:t xml:space="preserve">The migration to the new payment provider is on track — “go-live” remains </w:t>
      </w:r>
      <w:r>
        <w:t xml:space="preserve">scheduled for April 14.</w:t>
      </w:r>
    </w:p>
    <w:p>
      <w:pPr>
        <w:pStyle w:val="Heading2"/>
      </w:pPr>
      <w:r>
        <w:t xml:space="preserve">Open risks:</w:t>
      </w:r>
    </w:p>
    <w:p>
      <w:pPr>
        <w:pStyle w:val="ListParagraph"/>
      </w:pPr>
      <w:r>
        <w:t xml:space="preserve">Vendor contract renewal slips past April.</w:t>
      </w:r>
    </w:p>
    <w:p>
      <w:pPr>
        <w:pStyle w:val="ListParagraph"/>
      </w:pPr>
      <w:r>
        <w:t xml:space="preserve">Support staffing during cutover.</w:t>
      </w:r>
    </w:p>
    <w:p>
      <w:r>
        <w:t xml:space="preserve">Next review: March 30.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