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pPr>
      <w:r>
        <w:t>Soborno académico en el Centro Universitario de Tonalá</w:t>
      </w:r>
    </w:p>
    <w:p>
      <w:pPr>
        <w:pStyle w:val="Subtitle"/>
      </w:pPr>
      <w:r>
        <w:t>Investigación documental y propuesta de orientación en los niveles personal, universitario y legal</w:t>
      </w:r>
    </w:p>
    <w:p>
      <w:pPr>
        <w:spacing w:before="500"/>
        <w:jc w:val="left"/>
      </w:pPr>
      <w:r>
        <w:rPr>
          <w:b/>
        </w:rPr>
        <w:t>Oscar Alejandro Bermúdez Cota</w:t>
      </w:r>
    </w:p>
    <w:p>
      <w:pPr>
        <w:jc w:val="left"/>
      </w:pPr>
      <w:r>
        <w:t>Ingeniería en Ciencias Computacionales</w:t>
      </w:r>
    </w:p>
    <w:p>
      <w:pPr>
        <w:jc w:val="left"/>
      </w:pPr>
      <w:r>
        <w:t>Desarrollo de Metodologías Ágiles</w:t>
      </w:r>
    </w:p>
    <w:p>
      <w:pPr>
        <w:jc w:val="left"/>
      </w:pPr>
      <w:r>
        <w:t>Universidad de Guadalajara · Centro Universitario de Tonalá</w:t>
      </w:r>
    </w:p>
    <w:p>
      <w:pPr>
        <w:spacing w:before="520"/>
        <w:jc w:val="left"/>
      </w:pPr>
      <w:r>
        <w:t>Fecha de corte de la consulta: 8 de octubre de 2026</w:t>
      </w:r>
    </w:p>
    <w:p>
      <w:pPr>
        <w:spacing w:before="400"/>
        <w:jc w:val="left"/>
      </w:pPr>
      <w:r>
        <w:rPr>
          <w:sz w:val="20"/>
        </w:rPr>
        <w:t>Documento académico para fundamentar el módulo de soborno del prototipo de orientación. Las rutas propuestas deben contrastarse con las circunstancias de cada asunto y con la autoridad competente. Esta investigación no acredita conductas de personas concretas ni constituye un protocolo aprobado por la Universidad.</w:t>
      </w:r>
    </w:p>
    <w:p>
      <w:r>
        <w:br w:type="page"/>
      </w:r>
    </w:p>
    <w:p>
      <w:pPr>
        <w:pStyle w:val="Heading1"/>
      </w:pPr>
      <w:r>
        <w:t>Resumen ejecutivo</w:t>
      </w:r>
    </w:p>
    <w:p>
      <w:pPr>
        <w:jc w:val="both"/>
      </w:pPr>
      <w:r>
        <w:t>El soborno académico se estudia aquí como un posible intercambio indebido de dinero, bienes u otros beneficios por decisiones relacionadas con calificaciones, acreditaciones o trámites universitarios. El problema requiere distinguir la experiencia del estudiante, la infracción universitaria y los supuestos de responsabilidad administrativa o penal. Un obsequio, una aportación voluntaria o una relación cercana no bastan por sí solos para demostrar soborno: es necesario esclarecer el vínculo entre el beneficio y la actuación académica.</w:t>
      </w:r>
    </w:p>
    <w:p>
      <w:pPr>
        <w:jc w:val="both"/>
      </w:pPr>
      <w:r>
        <w:t>La normativa de la Universidad de Guadalajara contempla expresamente la exigencia o recepción de beneficios para otorgar ventajas académicas y el ofrecimiento de beneficios para obtenerlas. Por ello, la orientación no debe limitarse a conflictos interpersonales ni depender de que el caso reúna las características del acoso. El Reglamento de Responsabilidades Vinculadas con Faltas a la Normatividad Universitaria ofrece una vía disciplinaria; la revisión de una calificación constituye un procedimiento distinto, con un plazo inicial particularmente breve. [</w:t>
      </w:r>
      <w:hyperlink w:anchor="S01">
        <w:r>
          <w:rPr>
            <w:color w:val="24506B"/>
            <w:u w:val="single"/>
          </w:rPr>
          <w:t>S01</w:t>
        </w:r>
      </w:hyperlink>
      <w:r>
        <w:t xml:space="preserve">, arts. 21 y 50–56; </w:t>
      </w:r>
      <w:hyperlink w:anchor="S04">
        <w:r>
          <w:rPr>
            <w:color w:val="24506B"/>
            <w:u w:val="single"/>
          </w:rPr>
          <w:t>S04</w:t>
        </w:r>
      </w:hyperlink>
      <w:r>
        <w:t>, art. 49]</w:t>
      </w:r>
    </w:p>
    <w:p>
      <w:pPr>
        <w:jc w:val="both"/>
      </w:pPr>
      <w:r>
        <w:t>Los niveles personal, universitario y legal pueden activarse simultáneamente. El apoyo emocional puede acompañar una denuncia; la universidad puede proteger la continuidad académica mientras una autoridad externa investiga; y una posible conducta delictiva no necesita esperar al fracaso del procedimiento interno. El criterio para solicitar valoración legal es la naturaleza del hecho, su contexto y la competencia de la autoridad, no un monto mínimo fijado por el chatbot. [</w:t>
      </w:r>
      <w:hyperlink w:anchor="S01">
        <w:r>
          <w:rPr>
            <w:color w:val="24506B"/>
            <w:u w:val="single"/>
          </w:rPr>
          <w:t>S01</w:t>
        </w:r>
      </w:hyperlink>
      <w:r>
        <w:t xml:space="preserve">, arts. 23 y 60; </w:t>
      </w:r>
      <w:hyperlink w:anchor="S12">
        <w:r>
          <w:rPr>
            <w:color w:val="24506B"/>
            <w:u w:val="single"/>
          </w:rPr>
          <w:t>S12</w:t>
        </w:r>
      </w:hyperlink>
      <w:r>
        <w:t>–</w:t>
      </w:r>
      <w:hyperlink w:anchor="S16">
        <w:r>
          <w:rPr>
            <w:color w:val="24506B"/>
            <w:u w:val="single"/>
          </w:rPr>
          <w:t>S16</w:t>
        </w:r>
      </w:hyperlink>
      <w:r>
        <w:t>]</w:t>
      </w:r>
    </w:p>
    <w:p>
      <w:pPr>
        <w:jc w:val="both"/>
      </w:pPr>
      <w:r>
        <w:t>En CUTonalá se identificaron oficinas, correos y recursos de orientación. También se encontraron diferencias entre directorios, una presentación de Primer Contacto centrada en violencia y dificultades para localizar un formulario inequívoco de soborno académico. Estos hallazgos permiten cuestionar la claridad de la información pública. No permiten afirmar que las oficinas rechacen casos, que incumplan plazos o que su atención sea ineficaz, porque no se realizaron denuncias de prueba, llamadas ni seguimiento de expedientes.</w:t>
      </w:r>
    </w:p>
    <w:p>
      <w:pPr>
        <w:jc w:val="both"/>
      </w:pPr>
      <w:r>
        <w:t>La investigación incorpora los relatos aportados por el autor como antecedentes anónimos, diez escenarios ficticios para analizar decisiones y referencias institucionales verificables. No se identificó, entre las fuentes revisadas, una resolución firme que comprobara los relatos específicos de soborno en CUTonalá. Los datos oficiales de denuncias por violencia y los casos de otras instituciones se utilizan únicamente dentro de su alcance.</w:t>
      </w:r>
    </w:p>
    <w:p>
      <w:pPr>
        <w:pStyle w:val="Heading2"/>
      </w:pPr>
      <w:r>
        <w:t>Organización del documento</w:t>
      </w:r>
    </w:p>
    <w:p>
      <w:pPr>
        <w:spacing w:after="80"/>
        <w:ind w:left="259" w:hanging="259"/>
        <w:jc w:val="both"/>
      </w:pPr>
      <w:r>
        <w:t>1. Propósito y metodología de investigación.</w:t>
      </w:r>
    </w:p>
    <w:p>
      <w:pPr>
        <w:spacing w:after="80"/>
        <w:ind w:left="259" w:hanging="259"/>
        <w:jc w:val="both"/>
      </w:pPr>
      <w:r>
        <w:t>2. Antecedentes y barreras identificadas por el autor.</w:t>
      </w:r>
    </w:p>
    <w:p>
      <w:pPr>
        <w:spacing w:after="80"/>
        <w:ind w:left="259" w:hanging="259"/>
        <w:jc w:val="both"/>
      </w:pPr>
      <w:r>
        <w:t>3. Conceptos y diferencias entre conductas.</w:t>
      </w:r>
    </w:p>
    <w:p>
      <w:pPr>
        <w:spacing w:after="80"/>
        <w:ind w:left="259" w:hanging="259"/>
        <w:jc w:val="both"/>
      </w:pPr>
      <w:r>
        <w:t>4. Nivel personal y resguardo de información.</w:t>
      </w:r>
    </w:p>
    <w:p>
      <w:pPr>
        <w:spacing w:after="80"/>
        <w:ind w:left="259" w:hanging="259"/>
        <w:jc w:val="both"/>
      </w:pPr>
      <w:r>
        <w:t>5. Ruta universitaria y seguimiento.</w:t>
      </w:r>
    </w:p>
    <w:p>
      <w:pPr>
        <w:spacing w:after="80"/>
        <w:ind w:left="259" w:hanging="259"/>
        <w:jc w:val="both"/>
      </w:pPr>
      <w:r>
        <w:t>6. Directorio de responsables y recursos.</w:t>
      </w:r>
    </w:p>
    <w:p>
      <w:pPr>
        <w:spacing w:after="80"/>
        <w:ind w:left="259" w:hanging="259"/>
        <w:jc w:val="both"/>
      </w:pPr>
      <w:r>
        <w:t>7. Nivel legal y autoridades externas.</w:t>
      </w:r>
    </w:p>
    <w:p>
      <w:pPr>
        <w:spacing w:after="80"/>
        <w:ind w:left="259" w:hanging="259"/>
        <w:jc w:val="both"/>
      </w:pPr>
      <w:r>
        <w:t>8. Criterios de importancia y decisión.</w:t>
      </w:r>
    </w:p>
    <w:p>
      <w:pPr>
        <w:spacing w:after="80"/>
        <w:ind w:left="259" w:hanging="259"/>
        <w:jc w:val="both"/>
      </w:pPr>
      <w:r>
        <w:t>9. Escenarios ficticios de aplicación.</w:t>
      </w:r>
    </w:p>
    <w:p>
      <w:pPr>
        <w:spacing w:after="80"/>
        <w:ind w:left="259" w:hanging="259"/>
        <w:jc w:val="both"/>
      </w:pPr>
      <w:r>
        <w:t>10. Evidencia pública y casos documentados.</w:t>
      </w:r>
    </w:p>
    <w:p>
      <w:pPr>
        <w:spacing w:after="80"/>
        <w:ind w:left="259" w:hanging="259"/>
        <w:jc w:val="both"/>
      </w:pPr>
      <w:r>
        <w:t>11. Accesibilidad y límites de la atención publicada.</w:t>
      </w:r>
    </w:p>
    <w:p>
      <w:pPr>
        <w:spacing w:after="80"/>
        <w:ind w:left="259" w:hanging="259"/>
        <w:jc w:val="both"/>
      </w:pPr>
      <w:r>
        <w:t>12. Aplicación al chatbot y al trabajo por sprints.</w:t>
      </w:r>
    </w:p>
    <w:p>
      <w:pPr>
        <w:spacing w:after="80"/>
        <w:ind w:left="259" w:hanging="259"/>
        <w:jc w:val="both"/>
      </w:pPr>
      <w:r>
        <w:t>13. Conclusiones.</w:t>
      </w:r>
    </w:p>
    <w:p>
      <w:pPr>
        <w:spacing w:after="80"/>
        <w:ind w:left="259" w:hanging="259"/>
        <w:jc w:val="both"/>
      </w:pPr>
      <w:r>
        <w:t>14. Anexos de registro y consulta.</w:t>
      </w:r>
    </w:p>
    <w:p>
      <w:pPr>
        <w:spacing w:after="80"/>
        <w:ind w:left="259" w:hanging="259"/>
        <w:jc w:val="both"/>
      </w:pPr>
      <w:r>
        <w:t>15. Fuentes y referencias.</w:t>
      </w:r>
    </w:p>
    <w:p>
      <w:r>
        <w:br w:type="page"/>
      </w:r>
    </w:p>
    <w:p>
      <w:pPr>
        <w:pStyle w:val="Heading1"/>
      </w:pPr>
      <w:r>
        <w:t>1 Propósito y metodología</w:t>
      </w:r>
    </w:p>
    <w:p>
      <w:pPr>
        <w:pStyle w:val="Heading2"/>
      </w:pPr>
      <w:r>
        <w:t>1.1 Pregunta y objetivos</w:t>
      </w:r>
    </w:p>
    <w:p>
      <w:pPr>
        <w:jc w:val="both"/>
      </w:pPr>
      <w:r>
        <w:t>La pregunta principal es cómo orientar a una persona de Ingeniería en Ciencias Computacionales de CUTonalá que relata un posible intercambio indebido de beneficios por una ventaja académica. Se busca identificar qué debe aclararse, qué apoyos existen, qué autoridad puede actuar y cómo fundamentar una canalización sin convertir una clasificación preliminar en una acusación o una resolución.</w:t>
      </w:r>
    </w:p>
    <w:p>
      <w:pPr>
        <w:jc w:val="both"/>
      </w:pPr>
      <w:r>
        <w:t>Los objetivos son delimitar el soborno frente a otras irregularidades; explicar sus posibles consecuencias personales, sociales, académicas y legales; describir las vías universitarias y externas; verificar contactos institucionales; y evaluar la facilidad con que una persona puede localizar información suficiente para pedir ayuda. El resultado también proporciona criterios de contenido para un prototipo académico que responda con fuentes y conserve un registro de orientación.</w:t>
      </w:r>
    </w:p>
    <w:p>
      <w:pPr>
        <w:pStyle w:val="Heading2"/>
      </w:pPr>
      <w:r>
        <w:t>1.2 Diseño y selección de fuentes</w:t>
      </w:r>
    </w:p>
    <w:p>
      <w:pPr>
        <w:jc w:val="both"/>
      </w:pPr>
      <w:r>
        <w:t>Se realizó una revisión documental de fuentes públicas con corte al 8 de octubre de 2026. Se combinaron búsquedas generales, búsquedas restringidas a dominios oficiales, navegación por directorios, consulta de reglamentos y lectura de apartados pertinentes de informes institucionales. Se priorizaron la Secretaría General de la UDG, CUTonalá, la Defensoría de los Derechos Universitarios, la Contraloría General, el Congreso de Jalisco, la Cámara de Diputados y la Fiscalía Especializada en Combate a la Corrupción de Jalisco.</w:t>
      </w:r>
    </w:p>
    <w:p>
      <w:pPr>
        <w:jc w:val="both"/>
      </w:pPr>
      <w:r>
        <w:t>La búsqueda abordó términos como soborno, cohecho, ventajas académicas, dinero por calificaciones, regalos por acreditación, denuncia universitaria, medidas cautelares, revisión de evaluación, Primer Contacto, orientación psicológica y responsabilidades administrativas. Las consultas específicas para CUTonalá se contrastaron con la normativa de toda la Red Universitaria. Se evitó trasladar automáticamente procedimientos de otros centros al CUT.</w:t>
      </w:r>
    </w:p>
    <w:p>
      <w:pPr>
        <w:jc w:val="both"/>
      </w:pPr>
      <w:r>
        <w:t>Se distinguieron cuatro clases de evidencia: normas que establecen obligaciones o competencias; páginas de servicios y directorios que describen una oferta institucional; informes y comunicados que documentan actividad reportada; y relatos informales aportados por el autor. Las propuestas de decisión del trabajo están identificadas como tales. Una noticia sobre vinculación a proceso no equivale a una sentencia condenatoria; un informe de actividades no equivale a una auditoría independiente del servicio.</w:t>
      </w:r>
    </w:p>
    <w:p>
      <w:pPr>
        <w:pStyle w:val="Heading2"/>
      </w:pPr>
      <w:r>
        <w:t>1.3 Alcance y límites</w:t>
      </w:r>
    </w:p>
    <w:p>
      <w:pPr>
        <w:jc w:val="both"/>
      </w:pPr>
      <w:r>
        <w:t>La revisión fue amplia y orientada a resolver las preguntas del proyecto, pero no constituye una revisión sistemática exhaustiva de toda la literatura ni una búsqueda de expedientes reservados. No se entrevistó a personas denunciantes, no se realizó una encuesta representativa y no se verificaron los relatos individuales. Tampoco se enviaron formularios, se iniciaron sesiones en sistemas escolares o se probaron teléfonos y tiempos reales de atención.</w:t>
      </w:r>
    </w:p>
    <w:p>
      <w:pPr>
        <w:jc w:val="both"/>
      </w:pPr>
      <w:r>
        <w:t>Las versiones normativas citadas son las localizadas en repositorios oficiales. La fecha de consulta no garantiza que un directorio se encuentre actualizado ni sustituye el examen de la norma aplicable al momento de los hechos. Para situaciones anteriores debe analizarse la legislación temporalmente aplicable; las sanciones penales no pueden deducirse únicamente del texto vigente al consultar. Los enlaces y artículos se proporcionan para permitir una revisión posterior.</w:t>
      </w:r>
    </w:p>
    <w:p>
      <w:pPr>
        <w:pStyle w:val="Heading1"/>
      </w:pPr>
      <w:r>
        <w:t>2 Antecedentes y barreras identificadas</w:t>
      </w:r>
    </w:p>
    <w:p>
      <w:pPr>
        <w:pStyle w:val="Heading2"/>
      </w:pPr>
      <w:r>
        <w:t>2.1 Relatos que motivan la investigación</w:t>
      </w:r>
    </w:p>
    <w:p>
      <w:pPr>
        <w:jc w:val="both"/>
      </w:pPr>
      <w:r>
        <w:t>Como punto de partida de esta investigación, se consideran relatos informales que, de acuerdo con lo recabado por el autor, han sido compartidos por estudiantes de distintas generaciones y semestres del Centro Universitario de Tonalá. Estos relatos hacen referencia a posibles prácticas de intercambio de dinero o bienes por ventajas académicas, entre ellas aportaciones económicas presentadas como apoyos a una causa y entregas de obsequios presuntamente vinculadas con la acreditación de materias. También se mencionan posibles tratos preferenciales en la evaluación relacionados con la cercanía personal entre docentes y estudiantes.</w:t>
      </w:r>
    </w:p>
    <w:p>
      <w:pPr>
        <w:jc w:val="both"/>
      </w:pPr>
      <w:r>
        <w:t>Estas referencias constituyen antecedentes testimoniales que motivan el estudio. Su recopilación no se realizó mediante una muestra sistemática ni permite establecer la frecuencia de las conductas, comprobar responsabilidades individuales o determinar cuántos episodios distintos representan. Por ello, se presentan sin identificar a las personas señaladas y sin atribuirles el carácter de hechos acreditados.</w:t>
      </w:r>
    </w:p>
    <w:p>
      <w:pPr>
        <w:jc w:val="both"/>
      </w:pPr>
      <w:r>
        <w:t>La circulación de estos relatos plantea preguntas sobre el conocimiento que tiene el alumnado de las reglas de evaluación, los límites entre una aportación voluntaria y un intercambio indebido, y los mecanismos disponibles para solicitar orientación o comunicar una posible irregularidad. Asimismo, justifica examinar cómo distingue la normativa universitaria el soborno de otras conductas, como el favoritismo, y qué respuestas institucionales corresponden a cada supuesto.</w:t>
      </w:r>
    </w:p>
    <w:p>
      <w:pPr>
        <w:jc w:val="both"/>
      </w:pPr>
      <w:r>
        <w:t>La repetición de un relato entre generaciones merece atención como fenómeno de comunicación estudiantil. Sin embargo, varias personas pueden estar reproduciendo una misma historia. La investigación debe separar experiencia directa, testimonio de alguien que afirma haber vivido el hecho y comentario de procedencia desconocida. No corresponde sumar menciones como si fueran denuncias independientes ni presentar los nombres comentados como una lista de responsables.</w:t>
      </w:r>
    </w:p>
    <w:p>
      <w:pPr>
        <w:pStyle w:val="Heading2"/>
      </w:pPr>
      <w:r>
        <w:t>2.2 Normalización de las prácticas</w:t>
      </w:r>
    </w:p>
    <w:p>
      <w:pPr>
        <w:jc w:val="both"/>
      </w:pPr>
      <w:r>
        <w:t>El autor identifica la normalización como una preocupación central: determinadas prácticas pueden describirse como habituales, como una ayuda benéfica o como una manera de resolver una materia. Esta observación orienta el análisis, pero no constituye una medición del comportamiento de toda la comunidad. Para comprobar su extensión sería necesario un estudio con criterios de selección, consentimiento y protección de participantes.</w:t>
      </w:r>
    </w:p>
    <w:p>
      <w:pPr>
        <w:jc w:val="both"/>
      </w:pPr>
      <w:r>
        <w:t>Como hipótesis explicativa, la normalización puede debilitar la identificación de una irregularidad cuando el beneficio académico se presenta como reciprocidad, cooperación o costumbre. El propósito anunciado de una aportación no resuelve la cuestión: interesa saber si existe libertad real de negarse, si se mantiene la misma evaluación y si el apoyo tiene una relación indebida con la calificación. La aprobación social de compañeros no modifica los criterios normativos aplicables. [</w:t>
      </w:r>
      <w:hyperlink w:anchor="S01">
        <w:r>
          <w:rPr>
            <w:color w:val="24506B"/>
            <w:u w:val="single"/>
          </w:rPr>
          <w:t>S01</w:t>
        </w:r>
      </w:hyperlink>
      <w:r>
        <w:t>, art. 21]</w:t>
      </w:r>
    </w:p>
    <w:p>
      <w:pPr>
        <w:pStyle w:val="Heading2"/>
      </w:pPr>
      <w:r>
        <w:t>2.3 Miedo a las represalias</w:t>
      </w:r>
    </w:p>
    <w:p>
      <w:pPr>
        <w:jc w:val="both"/>
      </w:pPr>
      <w:r>
        <w:t>El autor también señala el miedo a las represalias. En este trabajo se distinguen el temor anticipado, una amenaza concreta y una consecuencia efectivamente ocurrida. El primero requiere escucha y explicación de opciones; la segunda exige documentar el riesgo y solicitar valoración de protección; la tercera puede requerir agregar hechos al expediente y activar una revisión académica o una vía externa, según su naturaleza.</w:t>
      </w:r>
    </w:p>
    <w:p>
      <w:pPr>
        <w:jc w:val="both"/>
      </w:pPr>
      <w:r>
        <w:t>Como riesgos a explorar se consideran una evaluación injustificada, obstáculos en trámites, exposición de la identidad, aislamiento entre compañeros y afectaciones al bienestar. No se afirma que estos resultados hayan ocurrido en los relatos aportados. La respuesta institucional debe permitir expresar el temor sin exigir que se materialice el daño para orientar. La normativa universitaria contempla medidas contra amenazas, intimidación y acciones adversas, sujetas a decisión de la autoridad competente. [</w:t>
      </w:r>
      <w:hyperlink w:anchor="S01">
        <w:r>
          <w:rPr>
            <w:color w:val="24506B"/>
            <w:u w:val="single"/>
          </w:rPr>
          <w:t>S01</w:t>
        </w:r>
      </w:hyperlink>
      <w:r>
        <w:t>, arts. 39–46]</w:t>
      </w:r>
    </w:p>
    <w:p>
      <w:pPr>
        <w:jc w:val="both"/>
      </w:pPr>
      <w:r>
        <w:t>La documentación debe incluir la incertidumbre del estudiante y su necesidad de protección. Un consejo de confrontar al docente a solas o negociar una calificación puede aumentar la exposición de una persona que depende académicamente de él. Para el prototipo se propone ofrecer acompañamiento y alternativas de recepción antes de sugerir cualquier comunicación directa.</w:t>
      </w:r>
    </w:p>
    <w:p>
      <w:pPr>
        <w:pStyle w:val="Heading1"/>
      </w:pPr>
      <w:r>
        <w:t>3 Conceptos y diferencias relevantes</w:t>
      </w:r>
    </w:p>
    <w:p>
      <w:pPr>
        <w:pStyle w:val="Heading2"/>
      </w:pPr>
      <w:r>
        <w:t>3.1 Soborno académico como categoría de análisis</w:t>
      </w:r>
    </w:p>
    <w:p>
      <w:pPr>
        <w:jc w:val="both"/>
      </w:pPr>
      <w:r>
        <w:t>Para este proyecto, se emplea soborno académico para describir una solicitud, ofrecimiento, promesa, entrega o recepción de un beneficio indebido vinculado con una ventaja o decisión académica. Es una categoría de orientación que debe traducirse a los supuestos de cada ordenamiento. La denominación cotidiana soborno, la falta administrativa del particular y el delito de cohecho no son intercambiables sin analizar sus elementos. [</w:t>
      </w:r>
      <w:hyperlink w:anchor="S01">
        <w:r>
          <w:rPr>
            <w:color w:val="24506B"/>
            <w:u w:val="single"/>
          </w:rPr>
          <w:t>S01</w:t>
        </w:r>
      </w:hyperlink>
      <w:r>
        <w:t xml:space="preserve">, art. 21; </w:t>
      </w:r>
      <w:hyperlink w:anchor="S12">
        <w:r>
          <w:rPr>
            <w:color w:val="24506B"/>
            <w:u w:val="single"/>
          </w:rPr>
          <w:t>S12</w:t>
        </w:r>
      </w:hyperlink>
      <w:r>
        <w:t xml:space="preserve">, arts. 52 y 66; </w:t>
      </w:r>
      <w:hyperlink w:anchor="S13">
        <w:r>
          <w:rPr>
            <w:color w:val="24506B"/>
            <w:u w:val="single"/>
          </w:rPr>
          <w:t>S13</w:t>
        </w:r>
      </w:hyperlink>
      <w:r>
        <w:t>, art. 147]</w:t>
      </w:r>
    </w:p>
    <w:p>
      <w:pPr>
        <w:jc w:val="both"/>
      </w:pPr>
      <w:r>
        <w:t>El beneficio puede consistir en dinero o bienes y no necesariamente ser para quien evalúa. Para analizar una aportación destinada a terceros importa la relación entre el beneficio solicitado y el ejercicio de la función. Una causa benéfica no autoriza cambiar los criterios de acreditación. Tampoco debe suponerse que todos los participantes tienen la misma posición: una persona que enfrenta una exigencia, quien ofrece voluntariamente una ventaja y quien sólo conoce un comentario requieren preguntas y asesoría diferentes.</w:t>
      </w:r>
    </w:p>
    <w:p>
      <w:pPr>
        <w:pStyle w:val="Heading2"/>
      </w:pPr>
      <w:r>
        <w:t>3.2 Conductas que deben distinguirse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3888"/>
      </w:tblGrid>
      <w:tr>
        <w:trPr>
          <w:cantSplit/>
          <w:tblHeader w:val="true"/>
        </w:trPr>
        <w:tc>
          <w:tcPr>
            <w:tcW w:type="dxa" w:w="2232"/>
            <w:vAlign w:val="center"/>
            <w:tcMar>
              <w:top w:w="95" w:type="dxa"/>
              <w:bottom w:w="95" w:type="dxa"/>
              <w:left w:w="110" w:type="dxa"/>
              <w:right w:w="110" w:type="dxa"/>
            </w:tcMar>
            <w:shd w:fill="3C4650"/>
          </w:tcPr>
          <w:p>
            <w:pPr>
              <w:spacing w:after="0" w:line="252" w:lineRule="auto"/>
            </w:pPr>
            <w:r>
              <w:rPr>
                <w:b/>
                <w:color w:val="FFFFFF"/>
                <w:sz w:val="20"/>
              </w:rPr>
              <w:t>Situación</w:t>
            </w:r>
          </w:p>
        </w:tc>
        <w:tc>
          <w:tcPr>
            <w:tcW w:type="dxa" w:w="3672"/>
            <w:vAlign w:val="center"/>
            <w:tcMar>
              <w:top w:w="95" w:type="dxa"/>
              <w:bottom w:w="95" w:type="dxa"/>
              <w:left w:w="110" w:type="dxa"/>
              <w:right w:w="110" w:type="dxa"/>
            </w:tcMar>
            <w:shd w:fill="3C4650"/>
          </w:tcPr>
          <w:p>
            <w:pPr>
              <w:spacing w:after="0" w:line="252" w:lineRule="auto"/>
            </w:pPr>
            <w:r>
              <w:rPr>
                <w:b/>
                <w:color w:val="FFFFFF"/>
                <w:sz w:val="20"/>
              </w:rPr>
              <w:t>Dato que debe aclararse</w:t>
            </w:r>
          </w:p>
        </w:tc>
        <w:tc>
          <w:tcPr>
            <w:tcW w:type="dxa" w:w="3888"/>
            <w:vAlign w:val="center"/>
            <w:tcMar>
              <w:top w:w="95" w:type="dxa"/>
              <w:bottom w:w="95" w:type="dxa"/>
              <w:left w:w="110" w:type="dxa"/>
              <w:right w:w="110" w:type="dxa"/>
            </w:tcMar>
            <w:shd w:fill="3C4650"/>
          </w:tcPr>
          <w:p>
            <w:pPr>
              <w:spacing w:after="0" w:line="252" w:lineRule="auto"/>
            </w:pPr>
            <w:r>
              <w:rPr>
                <w:b/>
                <w:color w:val="FFFFFF"/>
                <w:sz w:val="20"/>
              </w:rPr>
              <w:t>Orientación inicial</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Donación o cooperación</w:t>
            </w:r>
          </w:p>
        </w:tc>
        <w:tc>
          <w:tcPr>
            <w:tcW w:type="dxa" w:w="3672"/>
            <w:vAlign w:val="center"/>
            <w:tcMar>
              <w:top w:w="95" w:type="dxa"/>
              <w:bottom w:w="95" w:type="dxa"/>
              <w:left w:w="110" w:type="dxa"/>
              <w:right w:w="110" w:type="dxa"/>
            </w:tcMar>
            <w:shd w:fill="FFFFFF"/>
          </w:tcPr>
          <w:p>
            <w:pPr>
              <w:spacing w:after="0" w:line="252" w:lineRule="auto"/>
            </w:pPr>
            <w:r>
              <w:rPr>
                <w:b w:val="0"/>
                <w:sz w:val="20"/>
              </w:rPr>
              <w:t>Voluntariedad, destino y ausencia de efectos en la evaluación</w:t>
            </w:r>
          </w:p>
        </w:tc>
        <w:tc>
          <w:tcPr>
            <w:tcW w:type="dxa" w:w="3888"/>
            <w:vAlign w:val="center"/>
            <w:tcMar>
              <w:top w:w="95" w:type="dxa"/>
              <w:bottom w:w="95" w:type="dxa"/>
              <w:left w:w="110" w:type="dxa"/>
              <w:right w:w="110" w:type="dxa"/>
            </w:tcMar>
            <w:shd w:fill="FFFFFF"/>
          </w:tcPr>
          <w:p>
            <w:pPr>
              <w:spacing w:after="0" w:line="252" w:lineRule="auto"/>
            </w:pPr>
            <w:r>
              <w:rPr>
                <w:b w:val="0"/>
                <w:sz w:val="20"/>
              </w:rPr>
              <w:t>Verificar reglas y autorización; no clasificar automáticamente como soborno</w:t>
            </w:r>
          </w:p>
        </w:tc>
      </w:tr>
      <w:tr>
        <w:trPr>
          <w:cantSplit/>
        </w:trPr>
        <w:tc>
          <w:tcPr>
            <w:tcW w:type="dxa" w:w="2232"/>
            <w:vAlign w:val="center"/>
            <w:tcMar>
              <w:top w:w="95" w:type="dxa"/>
              <w:bottom w:w="95" w:type="dxa"/>
              <w:left w:w="110" w:type="dxa"/>
              <w:right w:w="110" w:type="dxa"/>
            </w:tcMar>
            <w:shd w:fill="F2F4F6"/>
          </w:tcPr>
          <w:p>
            <w:pPr>
              <w:spacing w:after="0" w:line="252" w:lineRule="auto"/>
            </w:pPr>
            <w:r>
              <w:rPr>
                <w:b w:val="0"/>
                <w:sz w:val="20"/>
              </w:rPr>
              <w:t>Dinero o regalo por acreditar</w:t>
            </w:r>
          </w:p>
        </w:tc>
        <w:tc>
          <w:tcPr>
            <w:tcW w:type="dxa" w:w="3672"/>
            <w:vAlign w:val="center"/>
            <w:tcMar>
              <w:top w:w="95" w:type="dxa"/>
              <w:bottom w:w="95" w:type="dxa"/>
              <w:left w:w="110" w:type="dxa"/>
              <w:right w:w="110" w:type="dxa"/>
            </w:tcMar>
            <w:shd w:fill="F2F4F6"/>
          </w:tcPr>
          <w:p>
            <w:pPr>
              <w:spacing w:after="0" w:line="252" w:lineRule="auto"/>
            </w:pPr>
            <w:r>
              <w:rPr>
                <w:b w:val="0"/>
                <w:sz w:val="20"/>
              </w:rPr>
              <w:t>Nexo entre beneficio y decisión académica</w:t>
            </w:r>
          </w:p>
        </w:tc>
        <w:tc>
          <w:tcPr>
            <w:tcW w:type="dxa" w:w="3888"/>
            <w:vAlign w:val="center"/>
            <w:tcMar>
              <w:top w:w="95" w:type="dxa"/>
              <w:bottom w:w="95" w:type="dxa"/>
              <w:left w:w="110" w:type="dxa"/>
              <w:right w:w="110" w:type="dxa"/>
            </w:tcMar>
            <w:shd w:fill="F2F4F6"/>
          </w:tcPr>
          <w:p>
            <w:pPr>
              <w:spacing w:after="0" w:line="252" w:lineRule="auto"/>
            </w:pPr>
            <w:r>
              <w:rPr>
                <w:b w:val="0"/>
                <w:sz w:val="20"/>
              </w:rPr>
              <w:t>Posible infracción universitaria y valoración jurídica</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Ofrecimiento rechazado</w:t>
            </w:r>
          </w:p>
        </w:tc>
        <w:tc>
          <w:tcPr>
            <w:tcW w:type="dxa" w:w="3672"/>
            <w:vAlign w:val="center"/>
            <w:tcMar>
              <w:top w:w="95" w:type="dxa"/>
              <w:bottom w:w="95" w:type="dxa"/>
              <w:left w:w="110" w:type="dxa"/>
              <w:right w:w="110" w:type="dxa"/>
            </w:tcMar>
            <w:shd w:fill="FFFFFF"/>
          </w:tcPr>
          <w:p>
            <w:pPr>
              <w:spacing w:after="0" w:line="252" w:lineRule="auto"/>
            </w:pPr>
            <w:r>
              <w:rPr>
                <w:b w:val="0"/>
                <w:sz w:val="20"/>
              </w:rPr>
              <w:t>Quién ofreció, para qué y cómo respondió la otra persona</w:t>
            </w:r>
          </w:p>
        </w:tc>
        <w:tc>
          <w:tcPr>
            <w:tcW w:type="dxa" w:w="3888"/>
            <w:vAlign w:val="center"/>
            <w:tcMar>
              <w:top w:w="95" w:type="dxa"/>
              <w:bottom w:w="95" w:type="dxa"/>
              <w:left w:w="110" w:type="dxa"/>
              <w:right w:w="110" w:type="dxa"/>
            </w:tcMar>
            <w:shd w:fill="FFFFFF"/>
          </w:tcPr>
          <w:p>
            <w:pPr>
              <w:spacing w:after="0" w:line="252" w:lineRule="auto"/>
            </w:pPr>
            <w:r>
              <w:rPr>
                <w:b w:val="0"/>
                <w:sz w:val="20"/>
              </w:rPr>
              <w:t>Puede existir conducta relevante aunque no haya pago o aceptación</w:t>
            </w:r>
          </w:p>
        </w:tc>
      </w:tr>
      <w:tr>
        <w:trPr>
          <w:cantSplit/>
        </w:trPr>
        <w:tc>
          <w:tcPr>
            <w:tcW w:type="dxa" w:w="2232"/>
            <w:vAlign w:val="center"/>
            <w:tcMar>
              <w:top w:w="95" w:type="dxa"/>
              <w:bottom w:w="95" w:type="dxa"/>
              <w:left w:w="110" w:type="dxa"/>
              <w:right w:w="110" w:type="dxa"/>
            </w:tcMar>
            <w:shd w:fill="F2F4F6"/>
          </w:tcPr>
          <w:p>
            <w:pPr>
              <w:spacing w:after="0" w:line="252" w:lineRule="auto"/>
            </w:pPr>
            <w:r>
              <w:rPr>
                <w:b w:val="0"/>
                <w:sz w:val="20"/>
              </w:rPr>
              <w:t>Trato preferencial</w:t>
            </w:r>
          </w:p>
        </w:tc>
        <w:tc>
          <w:tcPr>
            <w:tcW w:type="dxa" w:w="3672"/>
            <w:vAlign w:val="center"/>
            <w:tcMar>
              <w:top w:w="95" w:type="dxa"/>
              <w:bottom w:w="95" w:type="dxa"/>
              <w:left w:w="110" w:type="dxa"/>
              <w:right w:w="110" w:type="dxa"/>
            </w:tcMar>
            <w:shd w:fill="F2F4F6"/>
          </w:tcPr>
          <w:p>
            <w:pPr>
              <w:spacing w:after="0" w:line="252" w:lineRule="auto"/>
            </w:pPr>
            <w:r>
              <w:rPr>
                <w:b w:val="0"/>
                <w:sz w:val="20"/>
              </w:rPr>
              <w:t>Criterios de evaluación y ventaja injustificada; existencia o no de contraprestación</w:t>
            </w:r>
          </w:p>
        </w:tc>
        <w:tc>
          <w:tcPr>
            <w:tcW w:type="dxa" w:w="3888"/>
            <w:vAlign w:val="center"/>
            <w:tcMar>
              <w:top w:w="95" w:type="dxa"/>
              <w:bottom w:w="95" w:type="dxa"/>
              <w:left w:w="110" w:type="dxa"/>
              <w:right w:w="110" w:type="dxa"/>
            </w:tcMar>
            <w:shd w:fill="F2F4F6"/>
          </w:tcPr>
          <w:p>
            <w:pPr>
              <w:spacing w:after="0" w:line="252" w:lineRule="auto"/>
            </w:pPr>
            <w:r>
              <w:rPr>
                <w:b w:val="0"/>
                <w:sz w:val="20"/>
              </w:rPr>
              <w:t>Examinar imparcialidad y revisión académica; no inventar intercambio</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Error de calificación</w:t>
            </w:r>
          </w:p>
        </w:tc>
        <w:tc>
          <w:tcPr>
            <w:tcW w:type="dxa" w:w="3672"/>
            <w:vAlign w:val="center"/>
            <w:tcMar>
              <w:top w:w="95" w:type="dxa"/>
              <w:bottom w:w="95" w:type="dxa"/>
              <w:left w:w="110" w:type="dxa"/>
              <w:right w:w="110" w:type="dxa"/>
            </w:tcMar>
            <w:shd w:fill="FFFFFF"/>
          </w:tcPr>
          <w:p>
            <w:pPr>
              <w:spacing w:after="0" w:line="252" w:lineRule="auto"/>
            </w:pPr>
            <w:r>
              <w:rPr>
                <w:b w:val="0"/>
                <w:sz w:val="20"/>
              </w:rPr>
              <w:t>Evidencias de desempeño y criterio aplicado</w:t>
            </w:r>
          </w:p>
        </w:tc>
        <w:tc>
          <w:tcPr>
            <w:tcW w:type="dxa" w:w="3888"/>
            <w:vAlign w:val="center"/>
            <w:tcMar>
              <w:top w:w="95" w:type="dxa"/>
              <w:bottom w:w="95" w:type="dxa"/>
              <w:left w:w="110" w:type="dxa"/>
              <w:right w:w="110" w:type="dxa"/>
            </w:tcMar>
            <w:shd w:fill="FFFFFF"/>
          </w:tcPr>
          <w:p>
            <w:pPr>
              <w:spacing w:after="0" w:line="252" w:lineRule="auto"/>
            </w:pPr>
            <w:r>
              <w:rPr>
                <w:b w:val="0"/>
                <w:sz w:val="20"/>
              </w:rPr>
              <w:t>Solicitar revisión de evaluación por la vía correspondiente</w:t>
            </w:r>
          </w:p>
        </w:tc>
      </w:tr>
      <w:tr>
        <w:trPr>
          <w:cantSplit/>
        </w:trPr>
        <w:tc>
          <w:tcPr>
            <w:tcW w:type="dxa" w:w="2232"/>
            <w:vAlign w:val="center"/>
            <w:tcMar>
              <w:top w:w="95" w:type="dxa"/>
              <w:bottom w:w="95" w:type="dxa"/>
              <w:left w:w="110" w:type="dxa"/>
              <w:right w:w="110" w:type="dxa"/>
            </w:tcMar>
            <w:shd w:fill="F2F4F6"/>
          </w:tcPr>
          <w:p>
            <w:pPr>
              <w:spacing w:after="0" w:line="252" w:lineRule="auto"/>
            </w:pPr>
            <w:r>
              <w:rPr>
                <w:b w:val="0"/>
                <w:sz w:val="20"/>
              </w:rPr>
              <w:t>Amenaza vinculada a una exigencia</w:t>
            </w:r>
          </w:p>
        </w:tc>
        <w:tc>
          <w:tcPr>
            <w:tcW w:type="dxa" w:w="3672"/>
            <w:vAlign w:val="center"/>
            <w:tcMar>
              <w:top w:w="95" w:type="dxa"/>
              <w:bottom w:w="95" w:type="dxa"/>
              <w:left w:w="110" w:type="dxa"/>
              <w:right w:w="110" w:type="dxa"/>
            </w:tcMar>
            <w:shd w:fill="F2F4F6"/>
          </w:tcPr>
          <w:p>
            <w:pPr>
              <w:spacing w:after="0" w:line="252" w:lineRule="auto"/>
            </w:pPr>
            <w:r>
              <w:rPr>
                <w:b w:val="0"/>
                <w:sz w:val="20"/>
              </w:rPr>
              <w:t>Contenido, inmediatez, capacidad de causar daño y dependencia académica</w:t>
            </w:r>
          </w:p>
        </w:tc>
        <w:tc>
          <w:tcPr>
            <w:tcW w:type="dxa" w:w="3888"/>
            <w:vAlign w:val="center"/>
            <w:tcMar>
              <w:top w:w="95" w:type="dxa"/>
              <w:bottom w:w="95" w:type="dxa"/>
              <w:left w:w="110" w:type="dxa"/>
              <w:right w:w="110" w:type="dxa"/>
            </w:tcMar>
            <w:shd w:fill="F2F4F6"/>
          </w:tcPr>
          <w:p>
            <w:pPr>
              <w:spacing w:after="0" w:line="252" w:lineRule="auto"/>
            </w:pPr>
            <w:r>
              <w:rPr>
                <w:b w:val="0"/>
                <w:sz w:val="20"/>
              </w:rPr>
              <w:t>Protección y valoración de posibles infracciones adicionales</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Cobro de un intermediario</w:t>
            </w:r>
          </w:p>
        </w:tc>
        <w:tc>
          <w:tcPr>
            <w:tcW w:type="dxa" w:w="3672"/>
            <w:vAlign w:val="center"/>
            <w:tcMar>
              <w:top w:w="95" w:type="dxa"/>
              <w:bottom w:w="95" w:type="dxa"/>
              <w:left w:w="110" w:type="dxa"/>
              <w:right w:w="110" w:type="dxa"/>
            </w:tcMar>
            <w:shd w:fill="FFFFFF"/>
          </w:tcPr>
          <w:p>
            <w:pPr>
              <w:spacing w:after="0" w:line="252" w:lineRule="auto"/>
            </w:pPr>
            <w:r>
              <w:rPr>
                <w:b w:val="0"/>
                <w:sz w:val="20"/>
              </w:rPr>
              <w:t>Facultad real para modificar un resultado y destino del pago</w:t>
            </w:r>
          </w:p>
        </w:tc>
        <w:tc>
          <w:tcPr>
            <w:tcW w:type="dxa" w:w="3888"/>
            <w:vAlign w:val="center"/>
            <w:tcMar>
              <w:top w:w="95" w:type="dxa"/>
              <w:bottom w:w="95" w:type="dxa"/>
              <w:left w:w="110" w:type="dxa"/>
              <w:right w:w="110" w:type="dxa"/>
            </w:tcMar>
            <w:shd w:fill="FFFFFF"/>
          </w:tcPr>
          <w:p>
            <w:pPr>
              <w:spacing w:after="0" w:line="252" w:lineRule="auto"/>
            </w:pPr>
            <w:r>
              <w:rPr>
                <w:b w:val="0"/>
                <w:sz w:val="20"/>
              </w:rPr>
              <w:t>Posible engaño u otra irregularidad; clasificación jurídica abierta</w:t>
            </w:r>
          </w:p>
        </w:tc>
      </w:tr>
    </w:tbl>
    <w:p>
      <w:pPr>
        <w:spacing w:after="40" w:before="0" w:line="240" w:lineRule="auto"/>
      </w:pPr>
      <w:r>
        <w:rPr>
          <w:sz w:val="4"/>
        </w:rPr>
      </w:r>
    </w:p>
    <w:p>
      <w:pPr>
        <w:jc w:val="both"/>
      </w:pPr>
      <w:r>
        <w:t>La matriz es una propuesta de análisis. No sustituye los elementos legales ni determina culpabilidad. Una misma narración puede contener más de una conducta; por ejemplo, una exigencia de dinero, una amenaza y una modificación irregular de calificación. [</w:t>
      </w:r>
      <w:hyperlink w:anchor="S01">
        <w:r>
          <w:rPr>
            <w:color w:val="24506B"/>
            <w:u w:val="single"/>
          </w:rPr>
          <w:t>S01</w:t>
        </w:r>
      </w:hyperlink>
      <w:r>
        <w:t xml:space="preserve">; </w:t>
      </w:r>
      <w:hyperlink w:anchor="S12">
        <w:r>
          <w:rPr>
            <w:color w:val="24506B"/>
            <w:u w:val="single"/>
          </w:rPr>
          <w:t>S12</w:t>
        </w:r>
      </w:hyperlink>
      <w:r>
        <w:t>–</w:t>
      </w:r>
      <w:hyperlink w:anchor="S16">
        <w:r>
          <w:rPr>
            <w:color w:val="24506B"/>
            <w:u w:val="single"/>
          </w:rPr>
          <w:t>S16</w:t>
        </w:r>
      </w:hyperlink>
      <w:r>
        <w:t>]</w:t>
      </w:r>
    </w:p>
    <w:p>
      <w:pPr>
        <w:pStyle w:val="Heading2"/>
      </w:pPr>
      <w:r>
        <w:t>3.3 Consecuencias y bienes afectados</w:t>
      </w:r>
    </w:p>
    <w:p>
      <w:pPr>
        <w:jc w:val="both"/>
      </w:pPr>
      <w:r>
        <w:t>En el plano académico, una decisión condicionada por beneficios ajenos al aprendizaje compromete la igualdad de evaluación y la confianza en la acreditación. Puede afectar al estudiante al que se exige pagar y al resto del grupo, aun cuando el intercambio no llegue a consumarse. Una reparación académica debe tramitarse por la autoridad facultada; denunciar no implica obtener automáticamente una calificación de cien o la aprobación de una materia.</w:t>
      </w:r>
    </w:p>
    <w:p>
      <w:pPr>
        <w:jc w:val="both"/>
      </w:pPr>
      <w:r>
        <w:t>En el plano social pueden surgir presiones para participar, conflictos entre compañeros y desconfianza hacia la docencia. En el económico pueden aparecer gastos no previstos o pérdida de recursos. En el personal pueden presentarse preocupación, culpa o temor por la continuidad escolar. Estas son dimensiones posibles para la entrevista, no diagnósticos ni consecuencias comprobadas en cada caso. El apoyo psicológico debe responder al malestar expresado, sin condicionar su acceso a una resolución disciplinaria.</w:t>
      </w:r>
    </w:p>
    <w:p>
      <w:pPr>
        <w:jc w:val="both"/>
      </w:pPr>
      <w:r>
        <w:t>En el plano institucional y legal pueden existir procedimientos disciplinarios, laborales, de responsabilidades administrativas o penales, según los hechos y la condición de las personas involucradas. Las consecuencias requieren prueba, competencia y debido proceso. El chatbot no debe anunciar destituciones, expulsiones, prisión ni impunidad como resultados seguros. [</w:t>
      </w:r>
      <w:hyperlink w:anchor="S01">
        <w:r>
          <w:rPr>
            <w:color w:val="24506B"/>
            <w:u w:val="single"/>
          </w:rPr>
          <w:t>S01</w:t>
        </w:r>
      </w:hyperlink>
      <w:r>
        <w:t xml:space="preserve">, arts. 23–24; </w:t>
      </w:r>
      <w:hyperlink w:anchor="S12">
        <w:r>
          <w:rPr>
            <w:color w:val="24506B"/>
            <w:u w:val="single"/>
          </w:rPr>
          <w:t>S12</w:t>
        </w:r>
      </w:hyperlink>
      <w:r>
        <w:t>–</w:t>
      </w:r>
      <w:hyperlink w:anchor="S16">
        <w:r>
          <w:rPr>
            <w:color w:val="24506B"/>
            <w:u w:val="single"/>
          </w:rPr>
          <w:t>S16</w:t>
        </w:r>
      </w:hyperlink>
      <w:r>
        <w:t>]</w:t>
      </w:r>
    </w:p>
    <w:p>
      <w:pPr>
        <w:pStyle w:val="Heading1"/>
      </w:pPr>
      <w:r>
        <w:t>4 Nivel personal</w:t>
      </w:r>
    </w:p>
    <w:p>
      <w:pPr>
        <w:pStyle w:val="Heading2"/>
      </w:pPr>
      <w:r>
        <w:t>4.1 Primeras decisiones</w:t>
      </w:r>
    </w:p>
    <w:p>
      <w:pPr>
        <w:jc w:val="both"/>
      </w:pPr>
      <w:r>
        <w:t>La primera intervención debe aclarar si existe un riesgo inmediato, una fecha académica próxima o una necesidad de apoyo. Si hay peligro actual, la prioridad es alejarse de una situación insegura y acudir a los servicios de emergencia o seguridad disponibles. Si el problema es una calificación recién publicada, debe identificarse de inmediato su fecha: el tiempo para solicitar revisión puede transcurrir mientras se busca orientación sobre la denuncia. [</w:t>
      </w:r>
      <w:hyperlink w:anchor="S04">
        <w:r>
          <w:rPr>
            <w:color w:val="24506B"/>
            <w:u w:val="single"/>
          </w:rPr>
          <w:t>S04</w:t>
        </w:r>
      </w:hyperlink>
      <w:r>
        <w:t>, art. 49]</w:t>
      </w:r>
    </w:p>
    <w:p>
      <w:pPr>
        <w:jc w:val="both"/>
      </w:pPr>
      <w:r>
        <w:t>Se propone que la persona describa qué ocurrió con sus propias palabras: quién pidió u ofreció qué, qué ventaja se mencionó, cuándo sucedió y si existen mensajes, testigos o documentos. Debe poder responder que no sabe o que sólo escuchó un comentario. La entrevista de orientación no es un interrogatorio para demostrar la falta ni debe presionar a la persona a adoptar una etiqueta penal.</w:t>
      </w:r>
    </w:p>
    <w:p>
      <w:pPr>
        <w:jc w:val="both"/>
      </w:pPr>
      <w:r>
        <w:t>Como medidas prácticas, conviene evitar nuevos pagos o promesas para obtener pruebas, solicitar acompañamiento de alguien de confianza si se desea y conservar la información disponible. No se recomienda provocar una solicitud, organizar una entrega controlada por cuenta propia, acceder a cuentas ajenas o editar mensajes. Una investigación formal y las diligencias necesarias corresponden a las autoridades.</w:t>
      </w:r>
    </w:p>
    <w:p>
      <w:pPr>
        <w:pStyle w:val="Heading2"/>
      </w:pPr>
      <w:r>
        <w:t>4.2 Registro y conservación de información</w:t>
      </w:r>
    </w:p>
    <w:p>
      <w:pPr>
        <w:jc w:val="both"/>
      </w:pPr>
      <w:r>
        <w:t>Una cronología útil separa hechos observados, palabras recordadas e interpretaciones. Puede incluir fecha aproximada, lugar o plataforma, materia y grupo, personas presentes, beneficio solicitado, condición académica y respuesta del estudiante. Si una fecha o expresión no se recuerda con exactitud, debe indicarse. La precisión consiste también en reconocer esos límites.</w:t>
      </w:r>
    </w:p>
    <w:p>
      <w:pPr>
        <w:jc w:val="both"/>
      </w:pPr>
      <w:r>
        <w:t>Las conversaciones deben conservarse completas cuando sea posible, con contexto, fecha y procedencia; las capturas aisladas pueden omitir partes relevantes. Conviene guardar originales de archivos, comprobantes ya existentes, instrucciones de evaluación y publicaciones de resultados, manteniendo copias privadas. No se debe alterar el material ni difundirlo en grupos abiertos. La autoridad valorará su autenticidad, pertinencia y forma de incorporación; el prototipo no puede certificarlo como prueba válida.</w:t>
      </w:r>
    </w:p>
    <w:p>
      <w:pPr>
        <w:jc w:val="both"/>
      </w:pPr>
      <w:r>
        <w:t>No contar con una grabación no impide pedir orientación o relatar hechos. Tampoco significa que cualquier relato baste para sancionar. El escrito universitario solicita las pruebas de que se disponga y la investigación corresponde a la instancia competente. Si otra persona presenció hechos, su participación debe obtenerse sin presiones y diferenciando lo que conoce directamente de lo que le contaron. [</w:t>
      </w:r>
      <w:hyperlink w:anchor="S01">
        <w:r>
          <w:rPr>
            <w:color w:val="24506B"/>
            <w:u w:val="single"/>
          </w:rPr>
          <w:t>S01</w:t>
        </w:r>
      </w:hyperlink>
      <w:r>
        <w:t>, arts. 49–53]</w:t>
      </w:r>
    </w:p>
    <w:p>
      <w:pPr>
        <w:pStyle w:val="Heading2"/>
      </w:pPr>
      <w:r>
        <w:t>4.3 Bienestar y continuidad escolar</w:t>
      </w:r>
    </w:p>
    <w:p>
      <w:pPr>
        <w:jc w:val="both"/>
      </w:pPr>
      <w:r>
        <w:t>La Unidad de Orientación Educativa de CUTonalá publica atención presencial y virtual, orientación psicológica e intervención en crisis. Su página indica iniciar la solicitud mediante un formulario, esperar confirmación y completar una entrevista en SIGA. Posteriormente se recibe contacto por correo institucional; la cita debe confirmarse dentro de las 24 horas señaladas por la página. Para apoyo presencial en crisis ubica el servicio en el segundo piso del CAE, subiendo las escaleras a la izquierda. [</w:t>
      </w:r>
      <w:hyperlink w:anchor="S10">
        <w:r>
          <w:rPr>
            <w:color w:val="24506B"/>
            <w:u w:val="single"/>
          </w:rPr>
          <w:t>S10</w:t>
        </w:r>
      </w:hyperlink>
      <w:r>
        <w:t>]</w:t>
      </w:r>
    </w:p>
    <w:p>
      <w:pPr>
        <w:jc w:val="both"/>
      </w:pPr>
      <w:r>
        <w:t>Estos apoyos pueden acompañar una preocupación relacionada con un posible soborno, aunque su oferta sea general. No se verificaron disponibilidad de citas, costo aplicable ni tiempos efectivos de respuesta. El estudiante puede solicitar información sobre alcance, confidencialidad y derivación a otros servicios. La coordinación de carrera puede ayudar a revisar las necesidades académicas, sin sustituir al servicio psicológico ni a la autoridad investigadora.</w:t>
      </w:r>
    </w:p>
    <w:p>
      <w:pPr>
        <w:jc w:val="both"/>
      </w:pPr>
      <w:r>
        <w:t>Si el estudiante ya entregó dinero o un bien, se propone conservar información y solicitar asesoría jurídica sobre su participación, las posibles presiones y sus derechos. No debe prometerse que denunciar elimina toda posible responsabilidad ni concluir que la persona es culpable por el solo relato. Las circunstancias de coacción, conocimiento e intención requieren evaluación individual.</w:t>
      </w:r>
    </w:p>
    <w:p>
      <w:pPr>
        <w:pStyle w:val="Heading1"/>
      </w:pPr>
      <w:r>
        <w:t>5 Nivel universitario</w:t>
      </w:r>
    </w:p>
    <w:p>
      <w:pPr>
        <w:pStyle w:val="Heading2"/>
      </w:pPr>
      <w:r>
        <w:t>5.1 Fundamento y distribución de funciones</w:t>
      </w:r>
    </w:p>
    <w:p>
      <w:pPr>
        <w:jc w:val="both"/>
      </w:pPr>
      <w:r>
        <w:t>El artículo 21.1, fracciones X y XI, del Reglamento de Responsabilidades Vinculadas con Faltas a la Normatividad Universitaria contempla tanto la exigencia o recepción de dinero o bienes para conceder ventajas académicas como el ofrecimiento, promesa o entrega de beneficios indebidos para obtenerlas. Esta base permite analizar el problema dentro de la disciplina universitaria, aun cuando no se describa violencia de género. [</w:t>
      </w:r>
      <w:hyperlink w:anchor="S01">
        <w:r>
          <w:rPr>
            <w:color w:val="24506B"/>
            <w:u w:val="single"/>
          </w:rPr>
          <w:t>S01</w:t>
        </w:r>
      </w:hyperlink>
      <w:r>
        <w:t>]</w:t>
      </w:r>
    </w:p>
    <w:p>
      <w:pPr>
        <w:jc w:val="both"/>
      </w:pPr>
      <w:r>
        <w:t>Debe distinguirse entre quien orienta, quien recibe, quien investiga y quien resuelve. La coordinación de carrera ayuda en asuntos académicos. Primer Contacto ofrece acompañamiento principalmente en situaciones de violencia. Las instancias investigadoras y comisiones competentes intervienen en el procedimiento de responsabilidades conforme al reglamento. La Defensoría atiende posibles afectaciones a derechos universitarios mediante sus propias atribuciones. Ninguna orientación inicial equivale por sí misma a una sanción.</w:t>
      </w:r>
    </w:p>
    <w:p>
      <w:pPr>
        <w:jc w:val="both"/>
      </w:pPr>
      <w:r>
        <w:t>El artículo 37 distribuye competencias entre instancias divisionales, del centro y del Consejo General Universitario según el supuesto. Por tanto, no es correcto dirigir todos los asuntos a una única comisión ni exigir que todo estudiante recorra previamente una cadena de oficinas. Los contactos del capítulo siguiente facilitan localizar a la instancia, pero la competencia debe confirmarse con la recepción formal. [</w:t>
      </w:r>
      <w:hyperlink w:anchor="S01">
        <w:r>
          <w:rPr>
            <w:color w:val="24506B"/>
            <w:u w:val="single"/>
          </w:rPr>
          <w:t>S01</w:t>
        </w:r>
      </w:hyperlink>
      <w:r>
        <w:t>, arts. 36–37 y 49–51]</w:t>
      </w:r>
    </w:p>
    <w:p>
      <w:pPr>
        <w:pStyle w:val="Heading2"/>
      </w:pPr>
      <w:r>
        <w:t>5.2 Alcance de Primer Contacto</w:t>
      </w:r>
    </w:p>
    <w:p>
      <w:pPr>
        <w:jc w:val="both"/>
      </w:pPr>
      <w:r>
        <w:t>La página de Primer Contacto de CUTonalá presenta sus funciones dentro de la prevención y atención de violencia. Describe acompañamiento, valoración de riesgo, apoyo emocional, recepción y canalización. El reglamento también regula esta figura en ese contexto y le atribuye solicitar medidas de protección a la autoridad facultada. Primer Contacto no es el órgano que dicta una sentencia penal ni garantiza una sanción universitaria. [</w:t>
      </w:r>
      <w:hyperlink w:anchor="S01">
        <w:r>
          <w:rPr>
            <w:color w:val="24506B"/>
            <w:u w:val="single"/>
          </w:rPr>
          <w:t>S01</w:t>
        </w:r>
      </w:hyperlink>
      <w:r>
        <w:t xml:space="preserve">, arts. 30–34; </w:t>
      </w:r>
      <w:hyperlink w:anchor="S05">
        <w:r>
          <w:rPr>
            <w:color w:val="24506B"/>
            <w:u w:val="single"/>
          </w:rPr>
          <w:t>S05</w:t>
        </w:r>
      </w:hyperlink>
      <w:r>
        <w:t>]</w:t>
      </w:r>
    </w:p>
    <w:p>
      <w:pPr>
        <w:jc w:val="both"/>
      </w:pPr>
      <w:r>
        <w:t>La página de denuncias de la Contraloría remite las faltas a la normatividad universitaria a Primer Contacto. La lectura conjunta produce una dificultad práctica para quien busca específicamente soborno sin violencia: una página remite de forma amplia y la otra explica su servicio principalmente en términos de violencia. En ese caso resulta razonable pedir orientación y confirmación del canal de recepción; también existe la presentación ante las autoridades previstas en el artículo 51. No se concluye que Primer Contacto necesariamente rechace esos asuntos. [</w:t>
      </w:r>
      <w:hyperlink w:anchor="S03">
        <w:r>
          <w:rPr>
            <w:color w:val="24506B"/>
            <w:u w:val="single"/>
          </w:rPr>
          <w:t>S03</w:t>
        </w:r>
      </w:hyperlink>
      <w:r>
        <w:t xml:space="preserve">, </w:t>
      </w:r>
      <w:hyperlink w:anchor="S05">
        <w:r>
          <w:rPr>
            <w:color w:val="24506B"/>
            <w:u w:val="single"/>
          </w:rPr>
          <w:t>S05</w:t>
        </w:r>
      </w:hyperlink>
      <w:r>
        <w:t>]</w:t>
      </w:r>
    </w:p>
    <w:p>
      <w:pPr>
        <w:jc w:val="both"/>
      </w:pPr>
      <w:r>
        <w:t>Cuando el posible soborno se acompaña de amenazas, intimidación o afectaciones al bienestar, la relación con Primer Contacto es más directa. En una respuesta del prototipo debe explicarse esa relación concreta, en vez de afirmar que todos los casos tienen la misma naturaleza. La ubicación de dos servicios en una oficina compartida tampoco significa que sus competencias sean idénticas.</w:t>
      </w:r>
    </w:p>
    <w:p>
      <w:pPr>
        <w:pStyle w:val="Heading2"/>
      </w:pPr>
      <w:r>
        <w:t>5.3 Presentación y recepción</w:t>
      </w:r>
    </w:p>
    <w:p>
      <w:pPr>
        <w:jc w:val="both"/>
      </w:pPr>
      <w:r>
        <w:t>Los artículos 50–53 permiten iniciar la investigación de oficio o por denuncia y prevén presentación física o electrónica a través de mecanismos habilitados. Entre las autoridades receptoras se encuentran las secretarías de división y la Secretaría Académica del centro, conforme a su competencia. Es necesario verificar el mecanismo electrónico autorizado: que un correo aparezca en el directorio no prueba por sí solo que enviarle anexos perfeccione una denuncia formal. [</w:t>
      </w:r>
      <w:hyperlink w:anchor="S01">
        <w:r>
          <w:rPr>
            <w:color w:val="24506B"/>
            <w:u w:val="single"/>
          </w:rPr>
          <w:t>S01</w:t>
        </w:r>
      </w:hyperlink>
      <w:r>
        <w:t>]</w:t>
      </w:r>
    </w:p>
    <w:p>
      <w:pPr>
        <w:jc w:val="both"/>
      </w:pPr>
      <w:r>
        <w:t>Para una persona adulta, el escrito debe identificar al denunciante y un medio de notificación, narrar los hechos con tiempo, modo y lugar, identificar a la persona señalada o aportar información útil, incorporar las pruebas disponibles y atender los requisitos de firma aplicables. En su caso se incluyen datos de la víctima y solicitud de medidas cautelares. El artículo 53 permite solicitar confidencialidad de la identidad y exige constancia de recepción con lugar, fecha y hora. Los supuestos particulares, como participación de menores, deben revisarse directamente en la norma. [</w:t>
      </w:r>
      <w:hyperlink w:anchor="S01">
        <w:r>
          <w:rPr>
            <w:color w:val="24506B"/>
            <w:u w:val="single"/>
          </w:rPr>
          <w:t>S01</w:t>
        </w:r>
      </w:hyperlink>
      <w:r>
        <w:t>, art. 53]</w:t>
      </w:r>
    </w:p>
    <w:p>
      <w:pPr>
        <w:jc w:val="both"/>
      </w:pPr>
      <w:r>
        <w:t>Al presentar conviene solicitar acuse, autoridad que dará seguimiento, medio de notificación y referencia del asunto. La carpeta privada puede conservar escrito, anexos, acuse y comunicaciones. Un registro generado por el chatbot es sólo un registro de orientación: no acredita que la universidad haya recibido una denuncia ni constituye un folio oficial.</w:t>
      </w:r>
    </w:p>
    <w:p>
      <w:pPr>
        <w:jc w:val="both"/>
      </w:pPr>
      <w:r>
        <w:t>Cuando la denuncia involucra a determinadas autoridades receptoras o titulares, el artículo 54 contempla recepción por otro integrante de la comisión competente, convocatoria a sesión dentro de 48 horas y reglas de excusa o recusación. Esto debe analizarse según el cargo involucrado; no obliga a entregar el escrito directamente a la persona señalada. [</w:t>
      </w:r>
      <w:hyperlink w:anchor="S01">
        <w:r>
          <w:rPr>
            <w:color w:val="24506B"/>
            <w:u w:val="single"/>
          </w:rPr>
          <w:t>S01</w:t>
        </w:r>
      </w:hyperlink>
      <w:r>
        <w:t>]</w:t>
      </w:r>
    </w:p>
    <w:p>
      <w:pPr>
        <w:pStyle w:val="Heading2"/>
      </w:pPr>
      <w:r>
        <w:t>5.4 Aclaración, investigación y seguimiento</w:t>
      </w:r>
    </w:p>
    <w:p>
      <w:pPr>
        <w:jc w:val="both"/>
      </w:pPr>
      <w:r>
        <w:t>Si se requiere aclarar una denuncia, el artículo 55 establece cinco días hábiles contados desde el día siguiente a la notificación. El incumplimiento puede ocasionar que se tenga por no presentada cuando no existan elementos suficientes para proceder de oficio. La ratificación es una actuación distinta, prevista, entre otros supuestos, para presentaciones electrónicas o sin firma y para ciertos casos de denuncia por terceros o anónima cuando sea posible notificar. El artículo 56 contiene su propia regla de notificación; debe atenderse la indicación concreta de la autoridad sin confundirla con el plazo de aclaración. [</w:t>
      </w:r>
      <w:hyperlink w:anchor="S01">
        <w:r>
          <w:rPr>
            <w:color w:val="24506B"/>
            <w:u w:val="single"/>
          </w:rPr>
          <w:t>S01</w:t>
        </w:r>
      </w:hyperlink>
      <w:r>
        <w:t>]</w:t>
      </w:r>
    </w:p>
    <w:p>
      <w:pPr>
        <w:jc w:val="both"/>
      </w:pPr>
      <w:r>
        <w:t>El procedimiento distingue investigación, sustanciación y resolución. Una admisión no prueba responsabilidad; una medida cautelar no constituye sanción anticipada; y la falta de resolución inmediata no demuestra archivo. Conviene registrar cada actuación y pedir información sobre la etapa del asunto. La remisión por competencia regulada en el artículo 59 tiene un contexto procedimental específico y no debe presentarse como una promesa de traslado inmediato de cualquier consulta. [</w:t>
      </w:r>
      <w:hyperlink w:anchor="S01">
        <w:r>
          <w:rPr>
            <w:color w:val="24506B"/>
            <w:u w:val="single"/>
          </w:rPr>
          <w:t>S01</w:t>
        </w:r>
      </w:hyperlink>
      <w:r>
        <w:t>, arts. 36 y 59]</w:t>
      </w:r>
    </w:p>
    <w:p>
      <w:pPr>
        <w:jc w:val="both"/>
      </w:pPr>
      <w:r>
        <w:t>La normativa contempla archivo por insuficiencia de elementos y posibilidad de reabrir con nuevos indicios antes de la prescripción. Si se recibe una determinación, conviene pedir copia y asesoría sobre los medios de defensa y plazos aplicables. Esta investigación no establece un tiempo único para resolver todos los expedientes. [</w:t>
      </w:r>
      <w:hyperlink w:anchor="S01">
        <w:r>
          <w:rPr>
            <w:color w:val="24506B"/>
            <w:u w:val="single"/>
          </w:rPr>
          <w:t>S01</w:t>
        </w:r>
      </w:hyperlink>
      <w:r>
        <w:t>, arts. 64–66]</w:t>
      </w:r>
    </w:p>
    <w:p>
      <w:pPr>
        <w:pStyle w:val="Heading2"/>
      </w:pPr>
      <w:r>
        <w:t>5.5 Medidas de protección y represalias</w:t>
      </w:r>
    </w:p>
    <w:p>
      <w:pPr>
        <w:jc w:val="both"/>
      </w:pPr>
      <w:r>
        <w:t>Los artículos 39–46 regulan medidas cautelares. Entre las posibilidades se incluyen evitar contacto, prevenir intimidaciones o acciones adversas, proteger información, conservar elementos y establecer ajustes de grupo u horario. El cambio de grupo u horario de la víctima previsto en el artículo 40 requiere su solicitud. La elección de una medida debe responder a un riesgo y estar motivada; no corresponde al chatbot imponerla. [</w:t>
      </w:r>
      <w:hyperlink w:anchor="S01">
        <w:r>
          <w:rPr>
            <w:color w:val="24506B"/>
            <w:u w:val="single"/>
          </w:rPr>
          <w:t>S01</w:t>
        </w:r>
      </w:hyperlink>
      <w:r>
        <w:t>]</w:t>
      </w:r>
    </w:p>
    <w:p>
      <w:pPr>
        <w:jc w:val="both"/>
      </w:pPr>
      <w:r>
        <w:t>Las autoridades titulares pueden adoptar medidas provisionales bajo las condiciones del reglamento y deben informar a la instancia competente. La provisionalidad de hasta cinco días naturales del artículo 39 no es un plazo general de protección para toda víctima. Las reglas de decisión y notificación tienen cómputos distintos. El estudiante debe pedir que se precise quién ejecutará la medida, su alcance, vigencia y forma de reportar incumplimiento. [</w:t>
      </w:r>
      <w:hyperlink w:anchor="S01">
        <w:r>
          <w:rPr>
            <w:color w:val="24506B"/>
            <w:u w:val="single"/>
          </w:rPr>
          <w:t>S01</w:t>
        </w:r>
      </w:hyperlink>
      <w:r>
        <w:t>, arts. 39 y 43–46]</w:t>
      </w:r>
    </w:p>
    <w:p>
      <w:pPr>
        <w:jc w:val="both"/>
      </w:pPr>
      <w:r>
        <w:t>Solicitar confidencialidad no equivale a anonimato absoluto. El expediente puede requerir participación de autoridades y el contexto puede permitir que alguien deduzca quién reportó. La orientación debe explicar esos límites sin desalentar la solicitud de protección. Si después de presentar aparecen amenazas o una alteración académica, deben documentarse como hechos nuevos y comunicarse a la instancia que conoce el asunto; si hay riesgo o posible delito, procede además valoración externa.</w:t>
      </w:r>
    </w:p>
    <w:p>
      <w:pPr>
        <w:pStyle w:val="Heading2"/>
      </w:pPr>
      <w:r>
        <w:t>5.6 Revisión de la propia evaluación</w:t>
      </w:r>
    </w:p>
    <w:p>
      <w:pPr>
        <w:jc w:val="both"/>
      </w:pPr>
      <w:r>
        <w:t>El Reglamento General de Evaluación y Promoción de Alumnos permite solicitar por escrito y con justificación la revisión de una evaluación ante la jefatura del departamento responsable de la materia, dentro de los tres días hábiles siguientes a la publicación o notificación. Es importante conservar la evidencia de cuándo se conoció el resultado y confirmar el cómputo con la autoridad. [</w:t>
      </w:r>
      <w:hyperlink w:anchor="S04">
        <w:r>
          <w:rPr>
            <w:color w:val="24506B"/>
            <w:u w:val="single"/>
          </w:rPr>
          <w:t>S04</w:t>
        </w:r>
      </w:hyperlink>
      <w:r>
        <w:t>, art. 49]</w:t>
      </w:r>
    </w:p>
    <w:p>
      <w:pPr>
        <w:jc w:val="both"/>
      </w:pPr>
      <w:r>
        <w:t>Los artículos 50–52 regulan la obtención de documentación del profesor, la revisión por una comisión de tres profesores y la notificación del resultado, con plazos específicos de dos días hábiles para las actuaciones allí señaladas. No deben sumarse mecánicamente como una duración garantizada, pues importa el momento en que se inicia cada actuación. Presentar una denuncia por soborno no sustituye esta revisión ni debe asumirse que suspende sus plazos. [</w:t>
      </w:r>
      <w:hyperlink w:anchor="S04">
        <w:r>
          <w:rPr>
            <w:color w:val="24506B"/>
            <w:u w:val="single"/>
          </w:rPr>
          <w:t>S04</w:t>
        </w:r>
      </w:hyperlink>
      <w:r>
        <w:t>]</w:t>
      </w:r>
    </w:p>
    <w:p>
      <w:pPr>
        <w:jc w:val="both"/>
      </w:pPr>
      <w:r>
        <w:t>En Ingeniería en Ciencias Computacionales, la coordinación puede ayudar a identificar el departamento que administra la asignatura. No todas las materias tienen necesariamente la misma adscripción. La revisión se dirige al departamento competente y examina la evaluación; no permite al estudiante obtener información privada sobre las notas de todo el grupo ni sustituye una investigación de ventajas indebidas otorgadas a otras personas.</w:t>
      </w:r>
    </w:p>
    <w:p>
      <w:pPr>
        <w:pStyle w:val="Heading2"/>
      </w:pPr>
      <w:r>
        <w:t>5.7 Defensoría y recursos universitarios</w:t>
      </w:r>
    </w:p>
    <w:p>
      <w:pPr>
        <w:jc w:val="both"/>
      </w:pPr>
      <w:r>
        <w:t>La Defensoría de los Derechos Universitarios recibe quejas sobre afectaciones a derechos cometidas por autoridades universitarias o en los supuestos que describe su servicio. Su intervención puede ser pertinente frente a obstáculos, trato inadecuado o posibles omisiones. Sus recomendaciones no son sanciones vinculantes ni equivalen a una sentencia. Es una vía distinta que puede complementar la solicitud de orientación y protección. [</w:t>
      </w:r>
      <w:hyperlink w:anchor="S09">
        <w:r>
          <w:rPr>
            <w:color w:val="24506B"/>
            <w:u w:val="single"/>
          </w:rPr>
          <w:t>S09</w:t>
        </w:r>
      </w:hyperlink>
      <w:r>
        <w:t>]</w:t>
      </w:r>
    </w:p>
    <w:p>
      <w:pPr>
        <w:jc w:val="both"/>
      </w:pPr>
      <w:r>
        <w:t>El Reglamento de Responsabilidades Vinculadas con el Ejercicio de los Recursos de la Universidad tiene un objeto diferente: se refiere a quienes administran, disponen, ejercen o son responsables de recursos universitarios. La Contraloría publica un canal específico para ese ámbito. Un pago privado para modificar una nota no debe clasificarse automáticamente como desvío de recursos de la UDG sólo porque intervenga dinero. Si existen cobros institucionales, manejo de fondos o uso de recursos, debe solicitarse valoración de ese régimen además de las demás vías que correspondan. [</w:t>
      </w:r>
      <w:hyperlink w:anchor="S02">
        <w:r>
          <w:rPr>
            <w:color w:val="24506B"/>
            <w:u w:val="single"/>
          </w:rPr>
          <w:t>S02</w:t>
        </w:r>
      </w:hyperlink>
      <w:r>
        <w:t xml:space="preserve">, arts. 1–3; </w:t>
      </w:r>
      <w:hyperlink w:anchor="S03">
        <w:r>
          <w:rPr>
            <w:color w:val="24506B"/>
            <w:u w:val="single"/>
          </w:rPr>
          <w:t>S03</w:t>
        </w:r>
      </w:hyperlink>
      <w:r>
        <w:t>]</w:t>
      </w:r>
    </w:p>
    <w:p>
      <w:pPr>
        <w:pStyle w:val="Heading1"/>
      </w:pPr>
      <w:r>
        <w:t>6 Directorio de responsables y recursos</w:t>
      </w:r>
    </w:p>
    <w:p>
      <w:pPr>
        <w:pStyle w:val="Heading2"/>
      </w:pPr>
      <w:r>
        <w:t>6.1 Cómo utilizar el directorio</w:t>
      </w:r>
    </w:p>
    <w:p>
      <w:pPr>
        <w:jc w:val="both"/>
      </w:pPr>
      <w:r>
        <w:t>Los siguientes son datos publicados, consultados el 8 de octubre de 2026. No se probaron llamadas ni disponibilidad presencial. El domicilio del campus es Av. Nuevo Periférico 555, Ejido San José Tateposco, C. P. 45425, Tonalá, Jalisco. CAE significa Centro de Atención a Estudiantes y CRT corresponde al edificio identificado con esa sigla en los directorios del centro. Antes de entregar información sensible conviene confirmar oficina, función y canal habilitado.</w:t>
      </w:r>
    </w:p>
    <w:p>
      <w:pPr>
        <w:pStyle w:val="Heading2"/>
      </w:pPr>
      <w:r>
        <w:t>6.2 Atención en CUTonalá</w:t>
      </w:r>
    </w:p>
    <w:p>
      <w:pPr>
        <w:jc w:val="both"/>
      </w:pPr>
      <w:r/>
      <w:r>
        <w:rPr>
          <w:b/>
        </w:rPr>
        <w:t>Primer Contacto.</w:t>
      </w:r>
      <w:r>
        <w:t xml:space="preserve"> El directorio de Secretaría Académica identifica a Blanca Elizabeth González Jauregui como encargada del despacho. Publica primercontacto@cutonala.udg.mx y ubicación en CAE. El directorio central de la Unidad para la Igualdad también incluye a Valeria Rubí González Orizaba. Señala atención de lunes a viernes, 9:00–15:00 para Blanca y 12:00–19:00 para Valeria, y ubica la oficina al entrar al CAE, primera puerta a la izquierda, compartida con la Defensoría. La página local anuncia atención 9:00–19:00. [</w:t>
      </w:r>
      <w:hyperlink w:anchor="S05">
        <w:r>
          <w:rPr>
            <w:color w:val="24506B"/>
            <w:u w:val="single"/>
          </w:rPr>
          <w:t>S05</w:t>
        </w:r>
      </w:hyperlink>
      <w:r>
        <w:t xml:space="preserve">, </w:t>
      </w:r>
      <w:hyperlink w:anchor="S06">
        <w:r>
          <w:rPr>
            <w:color w:val="24506B"/>
            <w:u w:val="single"/>
          </w:rPr>
          <w:t>S06</w:t>
        </w:r>
      </w:hyperlink>
      <w:r>
        <w:t xml:space="preserve">, </w:t>
      </w:r>
      <w:hyperlink w:anchor="S08">
        <w:r>
          <w:rPr>
            <w:color w:val="24506B"/>
            <w:u w:val="single"/>
          </w:rPr>
          <w:t>S08</w:t>
        </w:r>
      </w:hyperlink>
      <w:r>
        <w:t>]</w:t>
      </w:r>
    </w:p>
    <w:p>
      <w:pPr>
        <w:jc w:val="both"/>
      </w:pPr>
      <w:r>
        <w:t>Para llamar existe una discrepancia: el directorio de CUT publica 33 2000 2300, mientras el central de Primer Contacto muestra 33 2300 2000, extensión 64117; otras páginas conservan 33 3134 2222. No se selecciona uno como único número confirmado. El correo institucional y la ubicación publicada proporcionan alternativas mientras se verifica el teléfono. Esta diferencia debe conservarse como advertencia de actualización, no corregirse silenciosamente. [</w:t>
      </w:r>
      <w:hyperlink w:anchor="S06">
        <w:r>
          <w:rPr>
            <w:color w:val="24506B"/>
            <w:u w:val="single"/>
          </w:rPr>
          <w:t>S06</w:t>
        </w:r>
      </w:hyperlink>
      <w:r>
        <w:t>–</w:t>
      </w:r>
      <w:hyperlink w:anchor="S08">
        <w:r>
          <w:rPr>
            <w:color w:val="24506B"/>
            <w:u w:val="single"/>
          </w:rPr>
          <w:t>S08</w:t>
        </w:r>
      </w:hyperlink>
      <w:r>
        <w:t>]</w:t>
      </w:r>
    </w:p>
    <w:p>
      <w:pPr>
        <w:jc w:val="both"/>
      </w:pPr>
      <w:r/>
      <w:r>
        <w:rPr>
          <w:b/>
        </w:rPr>
        <w:t>Coordinación de Ingeniería en Ciencias Computacionales.</w:t>
      </w:r>
      <w:r>
        <w:t xml:space="preserve"> Dulce María Vargas Mora; correo cd.computacion@cutonala.udg.mx; CAE, tercer piso. Es un contacto para orientación académica y localización del departamento de la materia. No se presenta como autoridad que por sí sola investiga o sanciona el soborno. [</w:t>
      </w:r>
      <w:hyperlink w:anchor="S11">
        <w:r>
          <w:rPr>
            <w:color w:val="24506B"/>
            <w:u w:val="single"/>
          </w:rPr>
          <w:t>S11</w:t>
        </w:r>
      </w:hyperlink>
      <w:r>
        <w:t>]</w:t>
      </w:r>
    </w:p>
    <w:p>
      <w:pPr>
        <w:jc w:val="both"/>
      </w:pPr>
      <w:r/>
      <w:r>
        <w:rPr>
          <w:b/>
        </w:rPr>
        <w:t>Secretaría Académica.</w:t>
      </w:r>
      <w:r>
        <w:t xml:space="preserve"> César E. González Coronado; correo cesar.gonzalez@cutonala.udg.mx; edificio de Biblioteca, segundo piso; 33 2000 2300, extensión 64012 en su directorio. La recepción de asuntos debe seguir la competencia y formalidades del reglamento; puede solicitarse identificación de la comisión correspondiente. [</w:t>
      </w:r>
      <w:hyperlink w:anchor="S06">
        <w:r>
          <w:rPr>
            <w:color w:val="24506B"/>
            <w:u w:val="single"/>
          </w:rPr>
          <w:t>S06</w:t>
        </w:r>
      </w:hyperlink>
      <w:r>
        <w:t xml:space="preserve">; </w:t>
      </w:r>
      <w:hyperlink w:anchor="S01">
        <w:r>
          <w:rPr>
            <w:color w:val="24506B"/>
            <w:u w:val="single"/>
          </w:rPr>
          <w:t>S01</w:t>
        </w:r>
      </w:hyperlink>
      <w:r>
        <w:t>, art. 51]</w:t>
      </w:r>
    </w:p>
    <w:p>
      <w:pPr>
        <w:jc w:val="both"/>
      </w:pPr>
      <w:r/>
      <w:r>
        <w:rPr>
          <w:b/>
        </w:rPr>
        <w:t>División de Ingenierías e Innovación Tecnológica.</w:t>
      </w:r>
      <w:r>
        <w:t xml:space="preserve"> El directorio identifica a Irene Gómez Jiménez como directora, diit@cutonala.udg.mx, y a Daniela Ortíz Rios como secretaria, sdiit@cutonala.udg.mx; ambas oficinas en CRT, tercer piso. La secretaría divisional es un punto relevante para confirmar recepción y competencia en responsabilidades. [</w:t>
      </w:r>
      <w:hyperlink w:anchor="S11">
        <w:r>
          <w:rPr>
            <w:color w:val="24506B"/>
            <w:u w:val="single"/>
          </w:rPr>
          <w:t>S11</w:t>
        </w:r>
      </w:hyperlink>
      <w:r>
        <w:t xml:space="preserve">; </w:t>
      </w:r>
      <w:hyperlink w:anchor="S01">
        <w:r>
          <w:rPr>
            <w:color w:val="24506B"/>
            <w:u w:val="single"/>
          </w:rPr>
          <w:t>S01</w:t>
        </w:r>
      </w:hyperlink>
      <w:r>
        <w:t>]</w:t>
      </w:r>
    </w:p>
    <w:p>
      <w:pPr>
        <w:jc w:val="both"/>
      </w:pPr>
      <w:r/>
      <w:r>
        <w:rPr>
          <w:b/>
        </w:rPr>
        <w:t>Departamento de Ciencias de la Información y Desarrollo Tecnológico.</w:t>
      </w:r>
      <w:r>
        <w:t xml:space="preserve"> José Guadalupe Morales Montelongo; dcidt@cutonala.udg.mx; CRT, tercer piso. Su pertinencia para revisar una calificación depende de que la asignatura esté adscrita a ese departamento. Debe verificarse antes de dirigir el escrito. [</w:t>
      </w:r>
      <w:hyperlink w:anchor="S11">
        <w:r>
          <w:rPr>
            <w:color w:val="24506B"/>
            <w:u w:val="single"/>
          </w:rPr>
          <w:t>S11</w:t>
        </w:r>
      </w:hyperlink>
      <w:r>
        <w:t xml:space="preserve">; </w:t>
      </w:r>
      <w:hyperlink w:anchor="S04">
        <w:r>
          <w:rPr>
            <w:color w:val="24506B"/>
            <w:u w:val="single"/>
          </w:rPr>
          <w:t>S04</w:t>
        </w:r>
      </w:hyperlink>
      <w:r>
        <w:t>]</w:t>
      </w:r>
    </w:p>
    <w:p>
      <w:pPr>
        <w:jc w:val="both"/>
      </w:pPr>
      <w:r/>
      <w:r>
        <w:rPr>
          <w:b/>
        </w:rPr>
        <w:t>Enlace de la Defensoría.</w:t>
      </w:r>
      <w:r>
        <w:t xml:space="preserve"> Correo ddu.cutonala@redudg.udg.mx; CAE. Un directorio local identifica a Rubén Ortega Lozano y otro mantiene el nombre como pendiente. Por esa diferencia, este informe utiliza el cargo y el correo como referencia, sin asegurar quién ocupa actualmente el enlace. La DDU central constituye una alternativa de consulta. [</w:t>
      </w:r>
      <w:hyperlink w:anchor="S07">
        <w:r>
          <w:rPr>
            <w:color w:val="24506B"/>
            <w:u w:val="single"/>
          </w:rPr>
          <w:t>S07</w:t>
        </w:r>
      </w:hyperlink>
      <w:r>
        <w:t xml:space="preserve">, </w:t>
      </w:r>
      <w:hyperlink w:anchor="S09">
        <w:r>
          <w:rPr>
            <w:color w:val="24506B"/>
            <w:u w:val="single"/>
          </w:rPr>
          <w:t>S09</w:t>
        </w:r>
      </w:hyperlink>
      <w:r>
        <w:t>]</w:t>
      </w:r>
    </w:p>
    <w:p>
      <w:pPr>
        <w:jc w:val="both"/>
      </w:pPr>
      <w:r/>
      <w:r>
        <w:rPr>
          <w:b/>
        </w:rPr>
        <w:t>Unidad de Orientación Educativa.</w:t>
      </w:r>
      <w:r>
        <w:t xml:space="preserve"> La página de servicios permite iniciar solicitud de orientación psicológica y ubica la intervención en crisis en CAE, segundo piso. Para ingresar al procedimiento se recomienda partir del enlace oficial de la unidad y seguir las instrucciones vigentes; las credenciales escolares se usan únicamente en el sistema institucional, nunca se entregan al chatbot. No se verificó un programa exclusivo de atención psicológica por soborno. [</w:t>
      </w:r>
      <w:hyperlink w:anchor="S10">
        <w:r>
          <w:rPr>
            <w:color w:val="24506B"/>
            <w:u w:val="single"/>
          </w:rPr>
          <w:t>S10</w:t>
        </w:r>
      </w:hyperlink>
      <w:r>
        <w:t>]</w:t>
      </w:r>
    </w:p>
    <w:p>
      <w:pPr>
        <w:pStyle w:val="Heading2"/>
      </w:pPr>
      <w:r>
        <w:t>6.3 Instancias centrales y externas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3888"/>
      </w:tblGrid>
      <w:tr>
        <w:trPr>
          <w:cantSplit/>
          <w:tblHeader w:val="true"/>
        </w:trPr>
        <w:tc>
          <w:tcPr>
            <w:tcW w:type="dxa" w:w="2232"/>
            <w:vAlign w:val="center"/>
            <w:tcMar>
              <w:top w:w="95" w:type="dxa"/>
              <w:bottom w:w="95" w:type="dxa"/>
              <w:left w:w="110" w:type="dxa"/>
              <w:right w:w="110" w:type="dxa"/>
            </w:tcMar>
            <w:shd w:fill="3C4650"/>
          </w:tcPr>
          <w:p>
            <w:pPr>
              <w:spacing w:after="0" w:line="252" w:lineRule="auto"/>
            </w:pPr>
            <w:r>
              <w:rPr>
                <w:b/>
                <w:color w:val="FFFFFF"/>
                <w:sz w:val="20"/>
              </w:rPr>
              <w:t>Instancia</w:t>
            </w:r>
          </w:p>
        </w:tc>
        <w:tc>
          <w:tcPr>
            <w:tcW w:type="dxa" w:w="3672"/>
            <w:vAlign w:val="center"/>
            <w:tcMar>
              <w:top w:w="95" w:type="dxa"/>
              <w:bottom w:w="95" w:type="dxa"/>
              <w:left w:w="110" w:type="dxa"/>
              <w:right w:w="110" w:type="dxa"/>
            </w:tcMar>
            <w:shd w:fill="3C4650"/>
          </w:tcPr>
          <w:p>
            <w:pPr>
              <w:spacing w:after="0" w:line="252" w:lineRule="auto"/>
            </w:pPr>
            <w:r>
              <w:rPr>
                <w:b/>
                <w:color w:val="FFFFFF"/>
                <w:sz w:val="20"/>
              </w:rPr>
              <w:t>Contacto público</w:t>
            </w:r>
          </w:p>
        </w:tc>
        <w:tc>
          <w:tcPr>
            <w:tcW w:type="dxa" w:w="3888"/>
            <w:vAlign w:val="center"/>
            <w:tcMar>
              <w:top w:w="95" w:type="dxa"/>
              <w:bottom w:w="95" w:type="dxa"/>
              <w:left w:w="110" w:type="dxa"/>
              <w:right w:w="110" w:type="dxa"/>
            </w:tcMar>
            <w:shd w:fill="3C4650"/>
          </w:tcPr>
          <w:p>
            <w:pPr>
              <w:spacing w:after="0" w:line="252" w:lineRule="auto"/>
            </w:pPr>
            <w:r>
              <w:rPr>
                <w:b/>
                <w:color w:val="FFFFFF"/>
                <w:sz w:val="20"/>
              </w:rPr>
              <w:t>Función y límite</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Defensoría de los Derechos Universitarios</w:t>
            </w:r>
          </w:p>
        </w:tc>
        <w:tc>
          <w:tcPr>
            <w:tcW w:type="dxa" w:w="3672"/>
            <w:vAlign w:val="center"/>
            <w:tcMar>
              <w:top w:w="95" w:type="dxa"/>
              <w:bottom w:w="95" w:type="dxa"/>
              <w:left w:w="110" w:type="dxa"/>
              <w:right w:w="110" w:type="dxa"/>
            </w:tcMar>
            <w:shd w:fill="FFFFFF"/>
          </w:tcPr>
          <w:p>
            <w:pPr>
              <w:spacing w:after="0" w:line="252" w:lineRule="auto"/>
            </w:pPr>
            <w:r>
              <w:rPr>
                <w:b w:val="0"/>
                <w:sz w:val="20"/>
              </w:rPr>
              <w:t xml:space="preserve">Lerdo de Tejada 2640, Arcos Vallarta, Guadalajara, C. P. 44130. 33 3540 3028; 33 3134 2222, ext. 19600 y 19607. Sitio </w:t>
            </w:r>
            <w:hyperlink w:anchor="S09">
              <w:r>
                <w:rPr>
                  <w:color w:val="24506B"/>
                  <w:u w:val="single"/>
                </w:rPr>
                <w:t>S09</w:t>
              </w:r>
            </w:hyperlink>
            <w:r>
              <w:rPr>
                <w:b w:val="0"/>
                <w:sz w:val="20"/>
              </w:rPr>
            </w:r>
          </w:p>
        </w:tc>
        <w:tc>
          <w:tcPr>
            <w:tcW w:type="dxa" w:w="3888"/>
            <w:vAlign w:val="center"/>
            <w:tcMar>
              <w:top w:w="95" w:type="dxa"/>
              <w:bottom w:w="95" w:type="dxa"/>
              <w:left w:w="110" w:type="dxa"/>
              <w:right w:w="110" w:type="dxa"/>
            </w:tcMar>
            <w:shd w:fill="FFFFFF"/>
          </w:tcPr>
          <w:p>
            <w:pPr>
              <w:spacing w:after="0" w:line="252" w:lineRule="auto"/>
            </w:pPr>
            <w:r>
              <w:rPr>
                <w:b w:val="0"/>
                <w:sz w:val="20"/>
              </w:rPr>
              <w:t>Orientación y queja por derechos universitarios; no impone sanciones penales</w:t>
            </w:r>
          </w:p>
        </w:tc>
      </w:tr>
      <w:tr>
        <w:trPr>
          <w:cantSplit/>
        </w:trPr>
        <w:tc>
          <w:tcPr>
            <w:tcW w:type="dxa" w:w="2232"/>
            <w:vAlign w:val="center"/>
            <w:tcMar>
              <w:top w:w="95" w:type="dxa"/>
              <w:bottom w:w="95" w:type="dxa"/>
              <w:left w:w="110" w:type="dxa"/>
              <w:right w:w="110" w:type="dxa"/>
            </w:tcMar>
            <w:shd w:fill="F2F4F6"/>
          </w:tcPr>
          <w:p>
            <w:pPr>
              <w:spacing w:after="0" w:line="252" w:lineRule="auto"/>
            </w:pPr>
            <w:r>
              <w:rPr>
                <w:b w:val="0"/>
                <w:sz w:val="20"/>
              </w:rPr>
              <w:t>Contraloría General UDG</w:t>
            </w:r>
          </w:p>
        </w:tc>
        <w:tc>
          <w:tcPr>
            <w:tcW w:type="dxa" w:w="3672"/>
            <w:vAlign w:val="center"/>
            <w:tcMar>
              <w:top w:w="95" w:type="dxa"/>
              <w:bottom w:w="95" w:type="dxa"/>
              <w:left w:w="110" w:type="dxa"/>
              <w:right w:w="110" w:type="dxa"/>
            </w:tcMar>
            <w:shd w:fill="F2F4F6"/>
          </w:tcPr>
          <w:p>
            <w:pPr>
              <w:spacing w:after="0" w:line="252" w:lineRule="auto"/>
            </w:pPr>
            <w:r>
              <w:rPr>
                <w:b w:val="0"/>
                <w:sz w:val="20"/>
              </w:rPr>
              <w:t xml:space="preserve">cg.investigacion@udg.mx. Av. Juárez 976, piso 9, Guadalajara. Página de denuncias </w:t>
            </w:r>
            <w:hyperlink w:anchor="S03">
              <w:r>
                <w:rPr>
                  <w:color w:val="24506B"/>
                  <w:u w:val="single"/>
                </w:rPr>
                <w:t>S03</w:t>
              </w:r>
            </w:hyperlink>
            <w:r>
              <w:rPr>
                <w:b w:val="0"/>
                <w:sz w:val="20"/>
              </w:rPr>
            </w:r>
          </w:p>
        </w:tc>
        <w:tc>
          <w:tcPr>
            <w:tcW w:type="dxa" w:w="3888"/>
            <w:vAlign w:val="center"/>
            <w:tcMar>
              <w:top w:w="95" w:type="dxa"/>
              <w:bottom w:w="95" w:type="dxa"/>
              <w:left w:w="110" w:type="dxa"/>
              <w:right w:w="110" w:type="dxa"/>
            </w:tcMar>
            <w:shd w:fill="F2F4F6"/>
          </w:tcPr>
          <w:p>
            <w:pPr>
              <w:spacing w:after="0" w:line="252" w:lineRule="auto"/>
            </w:pPr>
            <w:r>
              <w:rPr>
                <w:b w:val="0"/>
                <w:sz w:val="20"/>
              </w:rPr>
              <w:t>Canal publicado para responsabilidades sobre recursos universitarios; confirmar competencia</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Fiscalía Anticorrupción de Jalisco</w:t>
            </w:r>
          </w:p>
        </w:tc>
        <w:tc>
          <w:tcPr>
            <w:tcW w:type="dxa" w:w="3672"/>
            <w:vAlign w:val="center"/>
            <w:tcMar>
              <w:top w:w="95" w:type="dxa"/>
              <w:bottom w:w="95" w:type="dxa"/>
              <w:left w:w="110" w:type="dxa"/>
              <w:right w:w="110" w:type="dxa"/>
            </w:tcMar>
            <w:shd w:fill="FFFFFF"/>
          </w:tcPr>
          <w:p>
            <w:pPr>
              <w:spacing w:after="0" w:line="252" w:lineRule="auto"/>
            </w:pPr>
            <w:r>
              <w:rPr>
                <w:b w:val="0"/>
                <w:sz w:val="20"/>
              </w:rPr>
              <w:t xml:space="preserve">Amado Aguirre 857, Jardines Alcalde, C. P. 44298, Guadalajara. 33 1653 7783 y 33 1653 7784. Formulario </w:t>
            </w:r>
            <w:hyperlink w:anchor="S17">
              <w:r>
                <w:rPr>
                  <w:color w:val="24506B"/>
                  <w:u w:val="single"/>
                </w:rPr>
                <w:t>S17</w:t>
              </w:r>
            </w:hyperlink>
            <w:r>
              <w:rPr>
                <w:b w:val="0"/>
                <w:sz w:val="20"/>
              </w:rPr>
            </w:r>
          </w:p>
        </w:tc>
        <w:tc>
          <w:tcPr>
            <w:tcW w:type="dxa" w:w="3888"/>
            <w:vAlign w:val="center"/>
            <w:tcMar>
              <w:top w:w="95" w:type="dxa"/>
              <w:bottom w:w="95" w:type="dxa"/>
              <w:left w:w="110" w:type="dxa"/>
              <w:right w:w="110" w:type="dxa"/>
            </w:tcMar>
            <w:shd w:fill="FFFFFF"/>
          </w:tcPr>
          <w:p>
            <w:pPr>
              <w:spacing w:after="0" w:line="252" w:lineRule="auto"/>
            </w:pPr>
            <w:r>
              <w:rPr>
                <w:b w:val="0"/>
                <w:sz w:val="20"/>
              </w:rPr>
              <w:t>Recibe información e investiga posibles delitos de corrupción; una denuncia no equivale a condena</w:t>
            </w:r>
          </w:p>
        </w:tc>
      </w:tr>
      <w:tr>
        <w:trPr>
          <w:cantSplit/>
        </w:trPr>
        <w:tc>
          <w:tcPr>
            <w:tcW w:type="dxa" w:w="2232"/>
            <w:vAlign w:val="center"/>
            <w:tcMar>
              <w:top w:w="95" w:type="dxa"/>
              <w:bottom w:w="95" w:type="dxa"/>
              <w:left w:w="110" w:type="dxa"/>
              <w:right w:w="110" w:type="dxa"/>
            </w:tcMar>
            <w:shd w:fill="F2F4F6"/>
          </w:tcPr>
          <w:p>
            <w:pPr>
              <w:spacing w:after="0" w:line="252" w:lineRule="auto"/>
            </w:pPr>
            <w:r>
              <w:rPr>
                <w:b w:val="0"/>
                <w:sz w:val="20"/>
              </w:rPr>
              <w:t>Procuraduría Social de Jalisco</w:t>
            </w:r>
          </w:p>
        </w:tc>
        <w:tc>
          <w:tcPr>
            <w:tcW w:type="dxa" w:w="3672"/>
            <w:vAlign w:val="center"/>
            <w:tcMar>
              <w:top w:w="95" w:type="dxa"/>
              <w:bottom w:w="95" w:type="dxa"/>
              <w:left w:w="110" w:type="dxa"/>
              <w:right w:w="110" w:type="dxa"/>
            </w:tcMar>
            <w:shd w:fill="F2F4F6"/>
          </w:tcPr>
          <w:p>
            <w:pPr>
              <w:spacing w:after="0" w:line="252" w:lineRule="auto"/>
            </w:pPr>
            <w:r>
              <w:rPr>
                <w:b w:val="0"/>
                <w:sz w:val="20"/>
              </w:rPr>
              <w:t xml:space="preserve">33 3030 2900; ficha de servicios jurídicos asistenciales, ext. 23410. Portal </w:t>
            </w:r>
            <w:hyperlink w:anchor="S18">
              <w:r>
                <w:rPr>
                  <w:color w:val="24506B"/>
                  <w:u w:val="single"/>
                </w:rPr>
                <w:t>S18</w:t>
              </w:r>
            </w:hyperlink>
            <w:r>
              <w:rPr>
                <w:b w:val="0"/>
                <w:sz w:val="20"/>
              </w:rPr>
            </w:r>
          </w:p>
        </w:tc>
        <w:tc>
          <w:tcPr>
            <w:tcW w:type="dxa" w:w="3888"/>
            <w:vAlign w:val="center"/>
            <w:tcMar>
              <w:top w:w="95" w:type="dxa"/>
              <w:bottom w:w="95" w:type="dxa"/>
              <w:left w:w="110" w:type="dxa"/>
              <w:right w:w="110" w:type="dxa"/>
            </w:tcMar>
            <w:shd w:fill="F2F4F6"/>
          </w:tcPr>
          <w:p>
            <w:pPr>
              <w:spacing w:after="0" w:line="252" w:lineRule="auto"/>
            </w:pPr>
            <w:r>
              <w:rPr>
                <w:b w:val="0"/>
                <w:sz w:val="20"/>
              </w:rPr>
              <w:t>Orientación jurídica gratuita publicada; patrocinio sujeto a materia y condiciones del servicio</w:t>
            </w:r>
          </w:p>
        </w:tc>
      </w:tr>
    </w:tbl>
    <w:p>
      <w:pPr>
        <w:spacing w:after="40" w:before="0" w:line="240" w:lineRule="auto"/>
      </w:pPr>
      <w:r>
        <w:rPr>
          <w:sz w:val="4"/>
        </w:rPr>
      </w:r>
    </w:p>
    <w:p>
      <w:pPr>
        <w:jc w:val="both"/>
      </w:pPr>
      <w:r>
        <w:t>Para Fiscalía, la página de denuncia advierte que por seguridad no proporciona información de asuntos por teléfono y ofrece correo para obtener número de seguimiento. Los teléfonos se incluyen para contacto institucional general, sin prometer consulta telefónica de una carpeta. Para Procuraduría Social, los registros de programas y nombres tienen distintas fechas; se prioriza la dependencia y el teléfono, y debe confirmarse el servicio concreto. [</w:t>
      </w:r>
      <w:hyperlink w:anchor="S17">
        <w:r>
          <w:rPr>
            <w:color w:val="24506B"/>
            <w:u w:val="single"/>
          </w:rPr>
          <w:t>S17</w:t>
        </w:r>
      </w:hyperlink>
      <w:r>
        <w:t xml:space="preserve">, </w:t>
      </w:r>
      <w:hyperlink w:anchor="S18">
        <w:r>
          <w:rPr>
            <w:color w:val="24506B"/>
            <w:u w:val="single"/>
          </w:rPr>
          <w:t>S18</w:t>
        </w:r>
      </w:hyperlink>
      <w:r>
        <w:t>]</w:t>
      </w:r>
    </w:p>
    <w:p>
      <w:pPr>
        <w:jc w:val="both"/>
      </w:pPr>
      <w:r>
        <w:t>La revisión no confirmó un consultorio jurídico de CUTonalá con una oferta pública específica, vigente y suficiente de representación en denuncias por soborno. La existencia de la carrera de Abogado no permite afirmar por sí sola que exista ese servicio. La orientación jurídica externa y la identificación de asesoría especializada deben solicitarse expresamente.</w:t>
      </w:r>
    </w:p>
    <w:p>
      <w:pPr>
        <w:pStyle w:val="Heading1"/>
      </w:pPr>
      <w:r>
        <w:t>7 Nivel legal</w:t>
      </w:r>
    </w:p>
    <w:p>
      <w:pPr>
        <w:pStyle w:val="Heading2"/>
      </w:pPr>
      <w:r>
        <w:t>7.1 Por qué puede intervenir una autoridad externa</w:t>
      </w:r>
    </w:p>
    <w:p>
      <w:pPr>
        <w:jc w:val="both"/>
      </w:pPr>
      <w:r>
        <w:t>La Ley Orgánica describe a la UDG como organismo público descentralizado del Gobierno del Estado con autonomía. La Constitución de Jalisco incluye, para el régimen de responsabilidades, a quienes prestan servicios en organismos descentralizados. El artículo 2 de la ley estatal de responsabilidades remite a esa definición, y el artículo 144 del Código Penal la enlaza con los delitos por hechos de corrupción. Esta cadena normativa permite fundamentar el análisis de una posible conducta de un servidor público universitario. La autonomía no implica exclusión automática de la legislación estatal. [</w:t>
      </w:r>
      <w:hyperlink w:anchor="S13">
        <w:r>
          <w:rPr>
            <w:color w:val="24506B"/>
            <w:u w:val="single"/>
          </w:rPr>
          <w:t>S13</w:t>
        </w:r>
      </w:hyperlink>
      <w:r>
        <w:t>–</w:t>
      </w:r>
      <w:hyperlink w:anchor="S15">
        <w:r>
          <w:rPr>
            <w:color w:val="24506B"/>
            <w:u w:val="single"/>
          </w:rPr>
          <w:t>S15</w:t>
        </w:r>
      </w:hyperlink>
      <w:r>
        <w:t xml:space="preserve">, </w:t>
      </w:r>
      <w:hyperlink w:anchor="S19">
        <w:r>
          <w:rPr>
            <w:color w:val="24506B"/>
            <w:u w:val="single"/>
          </w:rPr>
          <w:t>S19</w:t>
        </w:r>
      </w:hyperlink>
      <w:r>
        <w:t>]</w:t>
      </w:r>
    </w:p>
    <w:p>
      <w:pPr>
        <w:jc w:val="both"/>
      </w:pPr>
      <w:r>
        <w:t>En el caso concreto deben verificarse nombramiento, funciones, participación, beneficio y relación con el ejercicio del cargo. Ser estudiante, compañero o intermediario no convierte automáticamente a una persona en servidor público; tampoco excluye que determinadas conductas de particulares tengan consecuencias. La autoridad investigadora establece la adecuación de los hechos a la norma y el juez resuelve dentro de sus atribuciones.</w:t>
      </w:r>
    </w:p>
    <w:p>
      <w:pPr>
        <w:pStyle w:val="Heading2"/>
      </w:pPr>
      <w:r>
        <w:t>7.2 Cohecho penal y soborno administrativo</w:t>
      </w:r>
    </w:p>
    <w:p>
      <w:pPr>
        <w:jc w:val="both"/>
      </w:pPr>
      <w:r>
        <w:t>El artículo 147 del Código Penal de Jalisco contempla, por una parte, a la persona servidora pública que solicita o recibe indebidamente dinero, dádivas o servicios, o acepta una promesa, para realizar u omitir un acto relacionado con sus funciones. Por otra, contempla a quien da, promete o entrega beneficios al servidor público para una actuación u omisión relacionada con ellas. Esto obliga a analizar solicitudes y promesas, además de los intercambios consumados. [</w:t>
      </w:r>
      <w:hyperlink w:anchor="S13">
        <w:r>
          <w:rPr>
            <w:color w:val="24506B"/>
            <w:u w:val="single"/>
          </w:rPr>
          <w:t>S13</w:t>
        </w:r>
      </w:hyperlink>
      <w:r>
        <w:t>, art. 147]</w:t>
      </w:r>
    </w:p>
    <w:p>
      <w:pPr>
        <w:jc w:val="both"/>
      </w:pPr>
      <w:r>
        <w:t>El artículo distingue consecuencias conforme al valor del beneficio y remite también a reglas de inhabilitación. Esa graduación no significa que un regalo barato sea lícito o que deba permanecer exclusivamente en la universidad. El documento no calcula una sanción para los relatos, porque no existen hechos acreditados ni evaluación de todas las circunstancias. La norma vigente consultada contiene supuestos aun para montos reducidos. [</w:t>
      </w:r>
      <w:hyperlink w:anchor="S13">
        <w:r>
          <w:rPr>
            <w:color w:val="24506B"/>
            <w:u w:val="single"/>
          </w:rPr>
          <w:t>S13</w:t>
        </w:r>
      </w:hyperlink>
      <w:r>
        <w:t>, arts. 144 y 147]</w:t>
      </w:r>
    </w:p>
    <w:p>
      <w:pPr>
        <w:jc w:val="both"/>
      </w:pPr>
      <w:r>
        <w:t>En el régimen administrativo, el artículo 52 de la Ley General de Responsabilidades Administrativas regula el cohecho de personas servidoras públicas; el artículo 66 regula el soborno realizado por particulares. Este último incluye prometer, ofrecer o entregar beneficios para obtener una actuación, omisión o influencia vinculada con funciones públicas, independientemente de la aceptación del beneficio o del resultado obtenido. Deben comprobarse todos los elementos del supuesto y la competencia aplicable. [</w:t>
      </w:r>
      <w:hyperlink w:anchor="S12">
        <w:r>
          <w:rPr>
            <w:color w:val="24506B"/>
            <w:u w:val="single"/>
          </w:rPr>
          <w:t>S12</w:t>
        </w:r>
      </w:hyperlink>
      <w:r>
        <w:t>]</w:t>
      </w:r>
    </w:p>
    <w:p>
      <w:pPr>
        <w:jc w:val="both"/>
      </w:pPr>
      <w:r>
        <w:t>Los procedimientos administrativos y penales tienen finalidades, autoridades y garantías propias. La investigación penal corresponde al Ministerio Público; la sanción penal corresponde al órgano jurisdiccional. En responsabilidades administrativas, la determinación de competencia depende de la ley, el órgano de control y la gravedad legal de la falta. La coordinación académica y el chatbot no sustituyen a estas autoridades. [</w:t>
      </w:r>
      <w:hyperlink w:anchor="S12">
        <w:r>
          <w:rPr>
            <w:color w:val="24506B"/>
            <w:u w:val="single"/>
          </w:rPr>
          <w:t>S12</w:t>
        </w:r>
      </w:hyperlink>
      <w:r>
        <w:t xml:space="preserve">, arts. 9–12; </w:t>
      </w:r>
      <w:hyperlink w:anchor="S16">
        <w:r>
          <w:rPr>
            <w:color w:val="24506B"/>
            <w:u w:val="single"/>
          </w:rPr>
          <w:t>S16</w:t>
        </w:r>
      </w:hyperlink>
      <w:r>
        <w:t>]</w:t>
      </w:r>
    </w:p>
    <w:p>
      <w:pPr>
        <w:pStyle w:val="Heading2"/>
      </w:pPr>
      <w:r>
        <w:t>7.3 Cuándo es insuficiente limitarse a la universidad</w:t>
      </w:r>
    </w:p>
    <w:p>
      <w:pPr>
        <w:jc w:val="both"/>
      </w:pPr>
      <w:r>
        <w:t>Se recomienda valoración legal temprana cuando se describe una solicitud, promesa o entrega de beneficio ligada a una función pública; cuando aparecen amenazas o coacción; cuando existen represalias relevantes; o cuando la persona necesita conocer las consecuencias de su propia participación. No es necesario fijar una cantidad mínima, esperar reiteración ni exigir que primero termine un expediente universitario. Esta es una recomendación de orientación fundada en la coexistencia de responsabilidades, no una declaración de que todos los relatos constituyan delito. [</w:t>
      </w:r>
      <w:hyperlink w:anchor="S01">
        <w:r>
          <w:rPr>
            <w:color w:val="24506B"/>
            <w:u w:val="single"/>
          </w:rPr>
          <w:t>S01</w:t>
        </w:r>
      </w:hyperlink>
      <w:r>
        <w:t xml:space="preserve">, arts. 23 y 60; </w:t>
      </w:r>
      <w:hyperlink w:anchor="S12">
        <w:r>
          <w:rPr>
            <w:color w:val="24506B"/>
            <w:u w:val="single"/>
          </w:rPr>
          <w:t>S12</w:t>
        </w:r>
      </w:hyperlink>
      <w:r>
        <w:t>–</w:t>
      </w:r>
      <w:hyperlink w:anchor="S16">
        <w:r>
          <w:rPr>
            <w:color w:val="24506B"/>
            <w:u w:val="single"/>
          </w:rPr>
          <w:t>S16</w:t>
        </w:r>
      </w:hyperlink>
      <w:r>
        <w:t>]</w:t>
      </w:r>
    </w:p>
    <w:p>
      <w:pPr>
        <w:jc w:val="both"/>
      </w:pPr>
      <w:r>
        <w:t>El artículo 60 del reglamento universitario dispone informar a la Abogacía General cuando la instancia investigadora advierta hechos que pudieran constituir delito y remitir copia en el plazo allí previsto de cinco días hábiles desde su conocimiento. Se trata de una obligación interna; no atribuye a la universidad un monopolio de la denuncia penal ni exige al estudiante obtener su autorización para acudir al Ministerio Público. [</w:t>
      </w:r>
      <w:hyperlink w:anchor="S01">
        <w:r>
          <w:rPr>
            <w:color w:val="24506B"/>
            <w:u w:val="single"/>
          </w:rPr>
          <w:t>S01</w:t>
        </w:r>
      </w:hyperlink>
      <w:r>
        <w:t xml:space="preserve">; </w:t>
      </w:r>
      <w:hyperlink w:anchor="S16">
        <w:r>
          <w:rPr>
            <w:color w:val="24506B"/>
            <w:u w:val="single"/>
          </w:rPr>
          <w:t>S16</w:t>
        </w:r>
      </w:hyperlink>
      <w:r>
        <w:t>, arts. 222–224]</w:t>
      </w:r>
    </w:p>
    <w:p>
      <w:pPr>
        <w:jc w:val="both"/>
      </w:pPr>
      <w:r>
        <w:t>Si hay conflicto de interés o falta de respuesta universitaria, resulta pertinente solicitar asesoría sobre vías adicionales y medios de defensa. Sin embargo, acudir a Fiscalía no reemplaza automáticamente la revisión de la evaluación, las medidas académicas o el acompañamiento personal. Cada vía conserva su objeto. Una posible afectación de derechos por actuación institucional puede ameritar asesoría específica sobre mecanismos de derechos humanos, sin prometer competencia o reparación automática.</w:t>
      </w:r>
    </w:p>
    <w:p>
      <w:pPr>
        <w:pStyle w:val="Heading2"/>
      </w:pPr>
      <w:r>
        <w:t>7.4 Presentación de información ante Fiscalía</w:t>
      </w:r>
    </w:p>
    <w:p>
      <w:pPr>
        <w:jc w:val="both"/>
      </w:pPr>
      <w:r>
        <w:t>La Fiscalía Especializada en Combate a la Corrupción de Jalisco publica una página de denuncia con narración de hechos, adjuntos y datos opcionales. Ofrece formatos para denuncia anónima y con datos personales. Solicita describir lo ocurrido, tiempo, institución y datos de identificación del servidor público; cuando se desconoce el nombre, pueden aportarse elementos para identificarlo. Su formulario permite indicar un correo para recibir número de seguimiento. [</w:t>
      </w:r>
      <w:hyperlink w:anchor="S17">
        <w:r>
          <w:rPr>
            <w:color w:val="24506B"/>
            <w:u w:val="single"/>
          </w:rPr>
          <w:t>S17</w:t>
        </w:r>
      </w:hyperlink>
      <w:r>
        <w:t>]</w:t>
      </w:r>
    </w:p>
    <w:p>
      <w:pPr>
        <w:jc w:val="both"/>
      </w:pPr>
      <w:r>
        <w:t>El formulario establece un límite de archivos menor a 250 MB. Se verificó su existencia y campos visibles, pero no se enviaron datos ni se comprobó la emisión de un número de seguimiento. La opción anónima publicada no permite garantizar que un relato carezca de elementos identificables ni que produzca las mismas posibilidades de comunicación posterior que una presentación con datos. Es necesario leer el aviso de privacidad y conservar cualquier constancia efectivamente recibida. [</w:t>
      </w:r>
      <w:hyperlink w:anchor="S17">
        <w:r>
          <w:rPr>
            <w:color w:val="24506B"/>
            <w:u w:val="single"/>
          </w:rPr>
          <w:t>S17</w:t>
        </w:r>
      </w:hyperlink>
      <w:r>
        <w:t>]</w:t>
      </w:r>
    </w:p>
    <w:p>
      <w:pPr>
        <w:jc w:val="both"/>
      </w:pPr>
      <w:r>
        <w:t>El Código Nacional de Procedimientos Penales regula la denuncia oral, escrita o por otros medios y la recepción por el Ministerio Público o la policía, con los requisitos y excepciones correspondientes. Es útil llevar una narración cronológica y los documentos disponibles; corresponde a la autoridad determinar diligencias, competencia y posibles delitos. El estudiante no tiene que transformar su experiencia en una acusación técnica perfecta para pedir orientación. [</w:t>
      </w:r>
      <w:hyperlink w:anchor="S16">
        <w:r>
          <w:rPr>
            <w:color w:val="24506B"/>
            <w:u w:val="single"/>
          </w:rPr>
          <w:t>S16</w:t>
        </w:r>
      </w:hyperlink>
      <w:r>
        <w:t>, arts. 221–224]</w:t>
      </w:r>
    </w:p>
    <w:p>
      <w:pPr>
        <w:pStyle w:val="Heading2"/>
      </w:pPr>
      <w:r>
        <w:t>7.5 Protección, participación y seguimiento</w:t>
      </w:r>
    </w:p>
    <w:p>
      <w:pPr>
        <w:jc w:val="both"/>
      </w:pPr>
      <w:r>
        <w:t>Los artículos 109 y 110 del Código Nacional reconocen derechos de la víctima u ofendido y la asistencia de asesor jurídico. El artículo 137 prevé medidas de protección ante riesgo inminente, bajo valoración del Ministerio Público y controles aplicables. Entre ellas existen restricciones de acercamiento o comunicación y medidas frente a intimidaciones. Su otorgamiento depende del caso; no se obtiene automáticamente por llenar un formulario. [</w:t>
      </w:r>
      <w:hyperlink w:anchor="S16">
        <w:r>
          <w:rPr>
            <w:color w:val="24506B"/>
            <w:u w:val="single"/>
          </w:rPr>
          <w:t>S16</w:t>
        </w:r>
      </w:hyperlink>
      <w:r>
        <w:t>]</w:t>
      </w:r>
    </w:p>
    <w:p>
      <w:pPr>
        <w:jc w:val="both"/>
      </w:pPr>
      <w:r>
        <w:t>Para seguimiento se recomienda conservar número de carpeta o referencia, oficina, fechas de comparecencia, asesoría recibida y copias de determinaciones accesibles. Una llamada, una orientación y una denuncia formal son actuaciones diferentes. Si existe una decisión de archivo, abstención de investigar u otra determinación, conviene solicitar asesoría sobre el medio de impugnación y su plazo concreto; no debe suponerse que una inconformidad informal lo sustituye.</w:t>
      </w:r>
    </w:p>
    <w:p>
      <w:pPr>
        <w:jc w:val="both"/>
      </w:pPr>
      <w:r>
        <w:t>Si una persona teme responsabilidad por haber ofrecido o entregado el beneficio, necesita asesoría independiente sobre sus derechos y obligaciones antes de una declaración formal. La ausencia de garantía de inmunidad no justifica ocultar, destruir o fabricar información. Tampoco autoriza al prototipo a asignarle de antemano el carácter de responsable. La investigación debe examinar los hechos, incluida cualquier presión denunciada.</w:t>
      </w:r>
    </w:p>
    <w:p>
      <w:pPr>
        <w:pStyle w:val="Heading2"/>
      </w:pPr>
      <w:r>
        <w:t>7.6 Conciliación y acuerdos</w:t>
      </w:r>
    </w:p>
    <w:p>
      <w:pPr>
        <w:jc w:val="both"/>
      </w:pPr>
      <w:r>
        <w:t>La existencia de mecanismos universitarios de solución alterna no significa que cualquier intercambio indebido deba resolverse con una disculpa, un pago o un acuerdo privado. La pertinencia de un mecanismo alternativo depende de la materia, los requisitos normativos, la voluntariedad y los riesgos del caso. Debe evitarse sugerir que retirar una denuncia a cambio de aprobar una materia constituye una solución adecuada.</w:t>
      </w:r>
    </w:p>
    <w:p>
      <w:pPr>
        <w:jc w:val="both"/>
      </w:pPr>
      <w:r>
        <w:t>Las salidas alternas penales también requieren condiciones legales y control de la autoridad; el chatbot no puede negociarlas. Un acuerdo académico o una restitución no extinguen automáticamente otras responsabilidades. El objetivo de la orientación es explicar opciones competentes y proteger la continuidad de derechos, sin sustituir la determinación institucional o judicial. [</w:t>
      </w:r>
      <w:hyperlink w:anchor="S01">
        <w:r>
          <w:rPr>
            <w:color w:val="24506B"/>
            <w:u w:val="single"/>
          </w:rPr>
          <w:t>S01</w:t>
        </w:r>
      </w:hyperlink>
      <w:r>
        <w:t xml:space="preserve">, art. 23; </w:t>
      </w:r>
      <w:hyperlink w:anchor="S14">
        <w:r>
          <w:rPr>
            <w:color w:val="24506B"/>
            <w:u w:val="single"/>
          </w:rPr>
          <w:t>S14</w:t>
        </w:r>
      </w:hyperlink>
      <w:r>
        <w:t xml:space="preserve">, art. 4; </w:t>
      </w:r>
      <w:hyperlink w:anchor="S16">
        <w:r>
          <w:rPr>
            <w:color w:val="24506B"/>
            <w:u w:val="single"/>
          </w:rPr>
          <w:t>S16</w:t>
        </w:r>
      </w:hyperlink>
      <w:r>
        <w:t>]</w:t>
      </w:r>
    </w:p>
    <w:p>
      <w:pPr>
        <w:pStyle w:val="Heading1"/>
      </w:pPr>
      <w:r>
        <w:t>8 Importancia y decisión de canalización</w:t>
      </w:r>
    </w:p>
    <w:p>
      <w:pPr>
        <w:pStyle w:val="Heading2"/>
      </w:pPr>
      <w:r>
        <w:t>8.1 Tres dimensiones separadas</w:t>
      </w:r>
    </w:p>
    <w:p>
      <w:pPr>
        <w:jc w:val="both"/>
      </w:pPr>
      <w:r>
        <w:t>Se propone valorar por separado la urgencia, la relevancia de la conducta y el respaldo del relato. La urgencia identifica riesgos actuales o plazos próximos. La relevancia considera el posible intercambio, el uso de una posición de poder, el daño y las presiones. El respaldo describe qué información se conoce y cuál falta. Ninguna de estas variables equivale a culpabilidad.</w:t>
      </w:r>
    </w:p>
    <w:p>
      <w:pPr>
        <w:jc w:val="both"/>
      </w:pPr>
      <w:r>
        <w:t>Una denuncia poco documentada puede describir un riesgo urgente; un relato detallado puede referirse a hechos antiguos sin peligro actual. Por ello, una puntuación única que combine monto, repetición y cantidad de capturas puede conducir a decisiones equivocadas. El número de mensajes o generaciones que repiten una historia no demuestra reiteración de hechos independientes.</w:t>
      </w:r>
    </w:p>
    <w:p>
      <w:pPr>
        <w:jc w:val="both"/>
      </w:pPr>
      <w:r>
        <w:t>La gravedad jurídica no la fija este proyecto. El artículo 24 del reglamento universitario contempla factores de individualización y supuestos de gravedad, entre ellos dolo, reincidencia y otras condiciones. La reincidencia tiene requisitos normativos relacionados con una sanción previa; no debe confundirse con que se mencione a una persona varias veces. La clasificación administrativa de faltas graves tampoco es una escala emocional de uno a cinco. [</w:t>
      </w:r>
      <w:hyperlink w:anchor="S01">
        <w:r>
          <w:rPr>
            <w:color w:val="24506B"/>
            <w:u w:val="single"/>
          </w:rPr>
          <w:t>S01</w:t>
        </w:r>
      </w:hyperlink>
      <w:r>
        <w:t xml:space="preserve">, art. 24; </w:t>
      </w:r>
      <w:hyperlink w:anchor="S12">
        <w:r>
          <w:rPr>
            <w:color w:val="24506B"/>
            <w:u w:val="single"/>
          </w:rPr>
          <w:t>S12</w:t>
        </w:r>
      </w:hyperlink>
      <w:r>
        <w:t>]</w:t>
      </w:r>
    </w:p>
    <w:p>
      <w:pPr>
        <w:pStyle w:val="Heading2"/>
      </w:pPr>
      <w:r>
        <w:t>8.2 Matriz propuesta de prioridad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3888"/>
      </w:tblGrid>
      <w:tr>
        <w:trPr>
          <w:cantSplit/>
          <w:tblHeader w:val="true"/>
        </w:trPr>
        <w:tc>
          <w:tcPr>
            <w:tcW w:type="dxa" w:w="2232"/>
            <w:vAlign w:val="center"/>
            <w:tcMar>
              <w:top w:w="95" w:type="dxa"/>
              <w:bottom w:w="95" w:type="dxa"/>
              <w:left w:w="110" w:type="dxa"/>
              <w:right w:w="110" w:type="dxa"/>
            </w:tcMar>
            <w:shd w:fill="3C4650"/>
          </w:tcPr>
          <w:p>
            <w:pPr>
              <w:spacing w:after="0" w:line="252" w:lineRule="auto"/>
            </w:pPr>
            <w:r>
              <w:rPr>
                <w:b/>
                <w:color w:val="FFFFFF"/>
                <w:sz w:val="20"/>
              </w:rPr>
              <w:t>Situación descrita</w:t>
            </w:r>
          </w:p>
        </w:tc>
        <w:tc>
          <w:tcPr>
            <w:tcW w:type="dxa" w:w="3672"/>
            <w:vAlign w:val="center"/>
            <w:tcMar>
              <w:top w:w="95" w:type="dxa"/>
              <w:bottom w:w="95" w:type="dxa"/>
              <w:left w:w="110" w:type="dxa"/>
              <w:right w:w="110" w:type="dxa"/>
            </w:tcMar>
            <w:shd w:fill="3C4650"/>
          </w:tcPr>
          <w:p>
            <w:pPr>
              <w:spacing w:after="0" w:line="252" w:lineRule="auto"/>
            </w:pPr>
            <w:r>
              <w:rPr>
                <w:b/>
                <w:color w:val="FFFFFF"/>
                <w:sz w:val="20"/>
              </w:rPr>
              <w:t>Prioridad de orientación</w:t>
            </w:r>
          </w:p>
        </w:tc>
        <w:tc>
          <w:tcPr>
            <w:tcW w:type="dxa" w:w="3888"/>
            <w:vAlign w:val="center"/>
            <w:tcMar>
              <w:top w:w="95" w:type="dxa"/>
              <w:bottom w:w="95" w:type="dxa"/>
              <w:left w:w="110" w:type="dxa"/>
              <w:right w:w="110" w:type="dxa"/>
            </w:tcMar>
            <w:shd w:fill="3C4650"/>
          </w:tcPr>
          <w:p>
            <w:pPr>
              <w:spacing w:after="0" w:line="252" w:lineRule="auto"/>
            </w:pPr>
            <w:r>
              <w:rPr>
                <w:b/>
                <w:color w:val="FFFFFF"/>
                <w:sz w:val="20"/>
              </w:rPr>
              <w:t>Acciones compatibles</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Comentario indirecto sin episodio identificable</w:t>
            </w:r>
          </w:p>
        </w:tc>
        <w:tc>
          <w:tcPr>
            <w:tcW w:type="dxa" w:w="3672"/>
            <w:vAlign w:val="center"/>
            <w:tcMar>
              <w:top w:w="95" w:type="dxa"/>
              <w:bottom w:w="95" w:type="dxa"/>
              <w:left w:w="110" w:type="dxa"/>
              <w:right w:w="110" w:type="dxa"/>
            </w:tcMar>
            <w:shd w:fill="FFFFFF"/>
          </w:tcPr>
          <w:p>
            <w:pPr>
              <w:spacing w:after="0" w:line="252" w:lineRule="auto"/>
            </w:pPr>
            <w:r>
              <w:rPr>
                <w:b w:val="0"/>
                <w:sz w:val="20"/>
              </w:rPr>
              <w:t>Aclaración y prevención</w:t>
            </w:r>
          </w:p>
        </w:tc>
        <w:tc>
          <w:tcPr>
            <w:tcW w:type="dxa" w:w="3888"/>
            <w:vAlign w:val="center"/>
            <w:tcMar>
              <w:top w:w="95" w:type="dxa"/>
              <w:bottom w:w="95" w:type="dxa"/>
              <w:left w:w="110" w:type="dxa"/>
              <w:right w:w="110" w:type="dxa"/>
            </w:tcMar>
            <w:shd w:fill="FFFFFF"/>
          </w:tcPr>
          <w:p>
            <w:pPr>
              <w:spacing w:after="0" w:line="252" w:lineRule="auto"/>
            </w:pPr>
            <w:r>
              <w:rPr>
                <w:b w:val="0"/>
                <w:sz w:val="20"/>
              </w:rPr>
              <w:t>Explicar criterios; registrar procedencia; no atribuir responsabilidad</w:t>
            </w:r>
          </w:p>
        </w:tc>
      </w:tr>
      <w:tr>
        <w:trPr>
          <w:cantSplit/>
        </w:trPr>
        <w:tc>
          <w:tcPr>
            <w:tcW w:type="dxa" w:w="2232"/>
            <w:vAlign w:val="center"/>
            <w:tcMar>
              <w:top w:w="95" w:type="dxa"/>
              <w:bottom w:w="95" w:type="dxa"/>
              <w:left w:w="110" w:type="dxa"/>
              <w:right w:w="110" w:type="dxa"/>
            </w:tcMar>
            <w:shd w:fill="F2F4F6"/>
          </w:tcPr>
          <w:p>
            <w:pPr>
              <w:spacing w:after="0" w:line="252" w:lineRule="auto"/>
            </w:pPr>
            <w:r>
              <w:rPr>
                <w:b w:val="0"/>
                <w:sz w:val="20"/>
              </w:rPr>
              <w:t>Duda sobre cobro o aportación sin ventaja académica identificada</w:t>
            </w:r>
          </w:p>
        </w:tc>
        <w:tc>
          <w:tcPr>
            <w:tcW w:type="dxa" w:w="3672"/>
            <w:vAlign w:val="center"/>
            <w:tcMar>
              <w:top w:w="95" w:type="dxa"/>
              <w:bottom w:w="95" w:type="dxa"/>
              <w:left w:w="110" w:type="dxa"/>
              <w:right w:w="110" w:type="dxa"/>
            </w:tcMar>
            <w:shd w:fill="F2F4F6"/>
          </w:tcPr>
          <w:p>
            <w:pPr>
              <w:spacing w:after="0" w:line="252" w:lineRule="auto"/>
            </w:pPr>
            <w:r>
              <w:rPr>
                <w:b w:val="0"/>
                <w:sz w:val="20"/>
              </w:rPr>
              <w:t>Aclaración pronta</w:t>
            </w:r>
          </w:p>
        </w:tc>
        <w:tc>
          <w:tcPr>
            <w:tcW w:type="dxa" w:w="3888"/>
            <w:vAlign w:val="center"/>
            <w:tcMar>
              <w:top w:w="95" w:type="dxa"/>
              <w:bottom w:w="95" w:type="dxa"/>
              <w:left w:w="110" w:type="dxa"/>
              <w:right w:w="110" w:type="dxa"/>
            </w:tcMar>
            <w:shd w:fill="F2F4F6"/>
          </w:tcPr>
          <w:p>
            <w:pPr>
              <w:spacing w:after="0" w:line="252" w:lineRule="auto"/>
            </w:pPr>
            <w:r>
              <w:rPr>
                <w:b w:val="0"/>
                <w:sz w:val="20"/>
              </w:rPr>
              <w:t>Pedir información de reglas y destino por canales seguros; consultar coordinación</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Solicitud u ofrecimiento de beneficio por una ventaja académica</w:t>
            </w:r>
          </w:p>
        </w:tc>
        <w:tc>
          <w:tcPr>
            <w:tcW w:type="dxa" w:w="3672"/>
            <w:vAlign w:val="center"/>
            <w:tcMar>
              <w:top w:w="95" w:type="dxa"/>
              <w:bottom w:w="95" w:type="dxa"/>
              <w:left w:w="110" w:type="dxa"/>
              <w:right w:w="110" w:type="dxa"/>
            </w:tcMar>
            <w:shd w:fill="FFFFFF"/>
          </w:tcPr>
          <w:p>
            <w:pPr>
              <w:spacing w:after="0" w:line="252" w:lineRule="auto"/>
            </w:pPr>
            <w:r>
              <w:rPr>
                <w:b w:val="0"/>
                <w:sz w:val="20"/>
              </w:rPr>
              <w:t>Atención prioritaria</w:t>
            </w:r>
          </w:p>
        </w:tc>
        <w:tc>
          <w:tcPr>
            <w:tcW w:type="dxa" w:w="3888"/>
            <w:vAlign w:val="center"/>
            <w:tcMar>
              <w:top w:w="95" w:type="dxa"/>
              <w:bottom w:w="95" w:type="dxa"/>
              <w:left w:w="110" w:type="dxa"/>
              <w:right w:w="110" w:type="dxa"/>
            </w:tcMar>
            <w:shd w:fill="FFFFFF"/>
          </w:tcPr>
          <w:p>
            <w:pPr>
              <w:spacing w:after="0" w:line="252" w:lineRule="auto"/>
            </w:pPr>
            <w:r>
              <w:rPr>
                <w:b w:val="0"/>
                <w:sz w:val="20"/>
              </w:rPr>
              <w:t>Información universitaria y valoración legal, incluso sin entrega</w:t>
            </w:r>
          </w:p>
        </w:tc>
      </w:tr>
      <w:tr>
        <w:trPr>
          <w:cantSplit/>
        </w:trPr>
        <w:tc>
          <w:tcPr>
            <w:tcW w:type="dxa" w:w="2232"/>
            <w:vAlign w:val="center"/>
            <w:tcMar>
              <w:top w:w="95" w:type="dxa"/>
              <w:bottom w:w="95" w:type="dxa"/>
              <w:left w:w="110" w:type="dxa"/>
              <w:right w:w="110" w:type="dxa"/>
            </w:tcMar>
            <w:shd w:fill="F2F4F6"/>
          </w:tcPr>
          <w:p>
            <w:pPr>
              <w:spacing w:after="0" w:line="252" w:lineRule="auto"/>
            </w:pPr>
            <w:r>
              <w:rPr>
                <w:b w:val="0"/>
                <w:sz w:val="20"/>
              </w:rPr>
              <w:t>Riesgo para evaluación o trámite con fecha próxima</w:t>
            </w:r>
          </w:p>
        </w:tc>
        <w:tc>
          <w:tcPr>
            <w:tcW w:type="dxa" w:w="3672"/>
            <w:vAlign w:val="center"/>
            <w:tcMar>
              <w:top w:w="95" w:type="dxa"/>
              <w:bottom w:w="95" w:type="dxa"/>
              <w:left w:w="110" w:type="dxa"/>
              <w:right w:w="110" w:type="dxa"/>
            </w:tcMar>
            <w:shd w:fill="F2F4F6"/>
          </w:tcPr>
          <w:p>
            <w:pPr>
              <w:spacing w:after="0" w:line="252" w:lineRule="auto"/>
            </w:pPr>
            <w:r>
              <w:rPr>
                <w:b w:val="0"/>
                <w:sz w:val="20"/>
              </w:rPr>
              <w:t>Prioridad académica por plazo</w:t>
            </w:r>
          </w:p>
        </w:tc>
        <w:tc>
          <w:tcPr>
            <w:tcW w:type="dxa" w:w="3888"/>
            <w:vAlign w:val="center"/>
            <w:tcMar>
              <w:top w:w="95" w:type="dxa"/>
              <w:bottom w:w="95" w:type="dxa"/>
              <w:left w:w="110" w:type="dxa"/>
              <w:right w:w="110" w:type="dxa"/>
            </w:tcMar>
            <w:shd w:fill="F2F4F6"/>
          </w:tcPr>
          <w:p>
            <w:pPr>
              <w:spacing w:after="0" w:line="252" w:lineRule="auto"/>
            </w:pPr>
            <w:r>
              <w:rPr>
                <w:b w:val="0"/>
                <w:sz w:val="20"/>
              </w:rPr>
              <w:t>Revisar fecha; escrito al departamento competente; denuncia separada si procede</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Amenaza, intimidación o represalia concreta</w:t>
            </w:r>
          </w:p>
        </w:tc>
        <w:tc>
          <w:tcPr>
            <w:tcW w:type="dxa" w:w="3672"/>
            <w:vAlign w:val="center"/>
            <w:tcMar>
              <w:top w:w="95" w:type="dxa"/>
              <w:bottom w:w="95" w:type="dxa"/>
              <w:left w:w="110" w:type="dxa"/>
              <w:right w:w="110" w:type="dxa"/>
            </w:tcMar>
            <w:shd w:fill="FFFFFF"/>
          </w:tcPr>
          <w:p>
            <w:pPr>
              <w:spacing w:after="0" w:line="252" w:lineRule="auto"/>
            </w:pPr>
            <w:r>
              <w:rPr>
                <w:b w:val="0"/>
                <w:sz w:val="20"/>
              </w:rPr>
              <w:t>Protección prioritaria</w:t>
            </w:r>
          </w:p>
        </w:tc>
        <w:tc>
          <w:tcPr>
            <w:tcW w:type="dxa" w:w="3888"/>
            <w:vAlign w:val="center"/>
            <w:tcMar>
              <w:top w:w="95" w:type="dxa"/>
              <w:bottom w:w="95" w:type="dxa"/>
              <w:left w:w="110" w:type="dxa"/>
              <w:right w:w="110" w:type="dxa"/>
            </w:tcMar>
            <w:shd w:fill="FFFFFF"/>
          </w:tcPr>
          <w:p>
            <w:pPr>
              <w:spacing w:after="0" w:line="252" w:lineRule="auto"/>
            </w:pPr>
            <w:r>
              <w:rPr>
                <w:b w:val="0"/>
                <w:sz w:val="20"/>
              </w:rPr>
              <w:t>Primer Contacto o autoridad competente, documentación y valoración externa</w:t>
            </w:r>
          </w:p>
        </w:tc>
      </w:tr>
      <w:tr>
        <w:trPr>
          <w:cantSplit/>
        </w:trPr>
        <w:tc>
          <w:tcPr>
            <w:tcW w:type="dxa" w:w="2232"/>
            <w:vAlign w:val="center"/>
            <w:tcMar>
              <w:top w:w="95" w:type="dxa"/>
              <w:bottom w:w="95" w:type="dxa"/>
              <w:left w:w="110" w:type="dxa"/>
              <w:right w:w="110" w:type="dxa"/>
            </w:tcMar>
            <w:shd w:fill="F2F4F6"/>
          </w:tcPr>
          <w:p>
            <w:pPr>
              <w:spacing w:after="0" w:line="252" w:lineRule="auto"/>
            </w:pPr>
            <w:r>
              <w:rPr>
                <w:b w:val="0"/>
                <w:sz w:val="20"/>
              </w:rPr>
              <w:t>Peligro actual para la integridad</w:t>
            </w:r>
          </w:p>
        </w:tc>
        <w:tc>
          <w:tcPr>
            <w:tcW w:type="dxa" w:w="3672"/>
            <w:vAlign w:val="center"/>
            <w:tcMar>
              <w:top w:w="95" w:type="dxa"/>
              <w:bottom w:w="95" w:type="dxa"/>
              <w:left w:w="110" w:type="dxa"/>
              <w:right w:w="110" w:type="dxa"/>
            </w:tcMar>
            <w:shd w:fill="F2F4F6"/>
          </w:tcPr>
          <w:p>
            <w:pPr>
              <w:spacing w:after="0" w:line="252" w:lineRule="auto"/>
            </w:pPr>
            <w:r>
              <w:rPr>
                <w:b w:val="0"/>
                <w:sz w:val="20"/>
              </w:rPr>
              <w:t>Atención inmediata</w:t>
            </w:r>
          </w:p>
        </w:tc>
        <w:tc>
          <w:tcPr>
            <w:tcW w:type="dxa" w:w="3888"/>
            <w:vAlign w:val="center"/>
            <w:tcMar>
              <w:top w:w="95" w:type="dxa"/>
              <w:bottom w:w="95" w:type="dxa"/>
              <w:left w:w="110" w:type="dxa"/>
              <w:right w:w="110" w:type="dxa"/>
            </w:tcMar>
            <w:shd w:fill="F2F4F6"/>
          </w:tcPr>
          <w:p>
            <w:pPr>
              <w:spacing w:after="0" w:line="252" w:lineRule="auto"/>
            </w:pPr>
            <w:r>
              <w:rPr>
                <w:b w:val="0"/>
                <w:sz w:val="20"/>
              </w:rPr>
              <w:t>Servicios de emergencia y protección; no prolongar preguntas del chatbot</w:t>
            </w:r>
          </w:p>
        </w:tc>
      </w:tr>
    </w:tbl>
    <w:p>
      <w:pPr>
        <w:spacing w:after="40" w:before="0" w:line="240" w:lineRule="auto"/>
      </w:pPr>
      <w:r>
        <w:rPr>
          <w:sz w:val="4"/>
        </w:rPr>
      </w:r>
    </w:p>
    <w:p>
      <w:pPr>
        <w:jc w:val="both"/>
      </w:pPr>
      <w:r>
        <w:t>Esta matriz organiza la orientación del prototipo; no es una escala oficial ni determina el orden obligatorio de los procedimientos. La persona debe recibir una explicación de la razón de la ruta y las alternativas relevantes. Si no desea iniciar un trámite, pueden ofrecerse información y apoyos, respetando las obligaciones legales que correspondan a autoridades y profesionales.</w:t>
      </w:r>
    </w:p>
    <w:p>
      <w:pPr>
        <w:pStyle w:val="Heading2"/>
      </w:pPr>
      <w:r>
        <w:t>8.3 Regla para evitar una escalera obligatoria</w:t>
      </w:r>
    </w:p>
    <w:p>
      <w:pPr>
        <w:jc w:val="both"/>
      </w:pPr>
      <w:r>
        <w:t>El nivel personal atiende bienestar, comprensión y organización. El nivel universitario atiende evaluación, disciplina y derechos en la institución. El nivel legal atiende posibles responsabilidades y protección fuera de ella. La elección no consiste en agotar personal, después UDG y finalmente judicial. Puede mantenerse apoyo personal mientras se activan ambas vías formales.</w:t>
      </w:r>
    </w:p>
    <w:p>
      <w:pPr>
        <w:jc w:val="both"/>
      </w:pPr>
      <w:r>
        <w:t>Por ejemplo, ante una exigencia de dinero por aprobar, el sistema puede sugerir conservar mensajes, confirmar la fecha de evaluación, identificar una instancia receptora universitaria y solicitar orientación en Fiscalía o asesoría jurídica. Si además existe una amenaza concreta, debe añadir protección. Si sólo se relata amistad con un docente, debe preguntar por criterios y hechos antes de afirmar un intercambio. El objetivo es fundamentar decisiones, no maximizar la gravedad asignada.</w:t>
      </w:r>
    </w:p>
    <w:p>
      <w:pPr>
        <w:pStyle w:val="Heading1"/>
      </w:pPr>
      <w:r>
        <w:t>9 Escenarios ficticios de aplicación</w:t>
      </w:r>
    </w:p>
    <w:p>
      <w:pPr>
        <w:jc w:val="both"/>
      </w:pPr>
      <w:r>
        <w:t>Los siguientes escenarios fueron elaborados para análisis y pruebas del prototipo. No describen hechos acreditados ni identifican docentes o estudiantes reales. La clasificación es preliminar y depende de la información disponible.</w:t>
      </w:r>
    </w:p>
    <w:p>
      <w:pPr>
        <w:pStyle w:val="Heading2"/>
      </w:pPr>
      <w:r>
        <w:t>9.1 Aportación voluntaria sin relación con calificaciones</w:t>
      </w:r>
    </w:p>
    <w:p>
      <w:pPr>
        <w:jc w:val="both"/>
      </w:pPr>
      <w:r>
        <w:t>Una campaña estudiantil solicita alimento para animales del campus. La participación es voluntaria, no interviene en la evaluación y no se ofrece ventaja académica. Con esos datos no se identifica por sí sola una compra de calificaciones. Debe aclararse quién organiza y si existe presión o trato diferenciado. La orientación consiste en informar y verificar condiciones; no corresponde denunciar penalmente por la sola palabra donación.</w:t>
      </w:r>
    </w:p>
    <w:p>
      <w:pPr>
        <w:jc w:val="both"/>
      </w:pPr>
      <w:r>
        <w:t>Si después se añade que quienes aportan reciben puntos sin actividad evaluable equivalente, el dato cambia el análisis. Se debe consultar la normativa y el criterio de evaluación, y valorar una posible ventaja académica indebida. La finalidad benéfica no elimina la necesidad de examinar el intercambio. [</w:t>
      </w:r>
      <w:hyperlink w:anchor="S01">
        <w:r>
          <w:rPr>
            <w:color w:val="24506B"/>
            <w:u w:val="single"/>
          </w:rPr>
          <w:t>S01</w:t>
        </w:r>
      </w:hyperlink>
      <w:r>
        <w:t xml:space="preserve">, art. 21; </w:t>
      </w:r>
      <w:hyperlink w:anchor="S04">
        <w:r>
          <w:rPr>
            <w:color w:val="24506B"/>
            <w:u w:val="single"/>
          </w:rPr>
          <w:t>S04</w:t>
        </w:r>
      </w:hyperlink>
      <w:r>
        <w:t>]</w:t>
      </w:r>
    </w:p>
    <w:p>
      <w:pPr>
        <w:pStyle w:val="Heading2"/>
      </w:pPr>
      <w:r>
        <w:t>9.2 Aportación condicionada a obtener cien</w:t>
      </w:r>
    </w:p>
    <w:p>
      <w:pPr>
        <w:jc w:val="both"/>
      </w:pPr>
      <w:r>
        <w:t>Una persona docente comunica que quienes entreguen una cantidad para una causa recibirán cien en la materia, con independencia de su desempeño. El estudiante conserva el mensaje. Existe un nexo explícito entre beneficio y ventaja académica; corresponde orientación universitaria prioritaria y valoración legal por posible cohecho, sin afirmar culpabilidad. Deben aclararse autoría, contexto, funciones y forma de solicitud. [</w:t>
      </w:r>
      <w:hyperlink w:anchor="S01">
        <w:r>
          <w:rPr>
            <w:color w:val="24506B"/>
            <w:u w:val="single"/>
          </w:rPr>
          <w:t>S01</w:t>
        </w:r>
      </w:hyperlink>
      <w:r>
        <w:t xml:space="preserve">; </w:t>
      </w:r>
      <w:hyperlink w:anchor="S13">
        <w:r>
          <w:rPr>
            <w:color w:val="24506B"/>
            <w:u w:val="single"/>
          </w:rPr>
          <w:t>S13</w:t>
        </w:r>
      </w:hyperlink>
      <w:r>
        <w:t>]</w:t>
      </w:r>
    </w:p>
    <w:p>
      <w:pPr>
        <w:jc w:val="both"/>
      </w:pPr>
      <w:r>
        <w:t>La respuesta puede incluir pedir información sobre protección, conservar el mensaje completo y verificar el plazo de revisión si ya se publicó la evaluación. No debe proponer pagar para comprobar la promesa ni exigir que varias personas se sumen antes de solicitar ayuda.</w:t>
      </w:r>
    </w:p>
    <w:p>
      <w:pPr>
        <w:pStyle w:val="Heading2"/>
      </w:pPr>
      <w:r>
        <w:t>9.3 Entrega de una botella para acreditar</w:t>
      </w:r>
    </w:p>
    <w:p>
      <w:pPr>
        <w:jc w:val="both"/>
      </w:pPr>
      <w:r>
        <w:t>Un estudiante relata que ofreció y entregó una botella a cambio de aprobar y que la oferta fue aceptada. El bien distinto al dinero puede ser relevante; el análisis no depende sólo de su precio. Se requiere aclarar qué se acordó, quién participó y qué decisión académica ocurrió. Las posibles responsabilidades de cada persona se evalúan individualmente. [</w:t>
      </w:r>
      <w:hyperlink w:anchor="S01">
        <w:r>
          <w:rPr>
            <w:color w:val="24506B"/>
            <w:u w:val="single"/>
          </w:rPr>
          <w:t>S01</w:t>
        </w:r>
      </w:hyperlink>
      <w:r>
        <w:t xml:space="preserve">, art. 21; </w:t>
      </w:r>
      <w:hyperlink w:anchor="S12">
        <w:r>
          <w:rPr>
            <w:color w:val="24506B"/>
            <w:u w:val="single"/>
          </w:rPr>
          <w:t>S12</w:t>
        </w:r>
      </w:hyperlink>
      <w:r>
        <w:t>–</w:t>
      </w:r>
      <w:hyperlink w:anchor="S13">
        <w:r>
          <w:rPr>
            <w:color w:val="24506B"/>
            <w:u w:val="single"/>
          </w:rPr>
          <w:t>S13</w:t>
        </w:r>
      </w:hyperlink>
      <w:r>
        <w:t>]</w:t>
      </w:r>
    </w:p>
    <w:p>
      <w:pPr>
        <w:jc w:val="both"/>
      </w:pPr>
      <w:r>
        <w:t>Se recomienda asesoría jurídica por la participación narrada y orientación institucional, sin prometer que reportar elimina cualquier consecuencia. Si únicamente un tercero comenta que vio una botella, faltan elementos para concluir que existió un intercambio por acreditación.</w:t>
      </w:r>
    </w:p>
    <w:p>
      <w:pPr>
        <w:pStyle w:val="Heading2"/>
      </w:pPr>
      <w:r>
        <w:t>9.4 Trato preferencial por cercanía personal</w:t>
      </w:r>
    </w:p>
    <w:p>
      <w:pPr>
        <w:jc w:val="both"/>
      </w:pPr>
      <w:r>
        <w:t>Un grupo percibe que una persona cercana al docente recibe mejores oportunidades, pero no conoce pago, regalo ni beneficio ofrecido. Puede existir una preocupación por imparcialidad, aunque los datos no permiten clasificar soborno. Deben examinarse criterios, actividades y decisiones concretas sin acceder indebidamente a información escolar ajena.</w:t>
      </w:r>
    </w:p>
    <w:p>
      <w:pPr>
        <w:jc w:val="both"/>
      </w:pPr>
      <w:r>
        <w:t>Quien considera incorrecta su propia nota puede solicitar revisión dentro del plazo aplicable. Si existe trato discriminatorio o una afectación a derechos, procede orientación sobre las vías universitarias. No debe añadirse una contraprestación inexistente para encajar el asunto en el tema del proyecto. [</w:t>
      </w:r>
      <w:hyperlink w:anchor="S04">
        <w:r>
          <w:rPr>
            <w:color w:val="24506B"/>
            <w:u w:val="single"/>
          </w:rPr>
          <w:t>S04</w:t>
        </w:r>
      </w:hyperlink>
      <w:r>
        <w:t xml:space="preserve">; </w:t>
      </w:r>
      <w:hyperlink w:anchor="S09">
        <w:r>
          <w:rPr>
            <w:color w:val="24506B"/>
            <w:u w:val="single"/>
          </w:rPr>
          <w:t>S09</w:t>
        </w:r>
      </w:hyperlink>
      <w:r>
        <w:t>]</w:t>
      </w:r>
    </w:p>
    <w:p>
      <w:pPr>
        <w:pStyle w:val="Heading2"/>
      </w:pPr>
      <w:r>
        <w:t>9.5 Ofrecimiento rechazado</w:t>
      </w:r>
    </w:p>
    <w:p>
      <w:pPr>
        <w:jc w:val="both"/>
      </w:pPr>
      <w:r>
        <w:t>Un alumno ofrece dinero para que se cambie su nota y el docente lo rechaza. La negativa evita afirmar recepción, pero no vuelve irrelevante el ofrecimiento. La normativa universitaria contempla ofrecer o prometer beneficios; el régimen administrativo de particulares también analiza esas conductas sin exigir aceptación. [</w:t>
      </w:r>
      <w:hyperlink w:anchor="S01">
        <w:r>
          <w:rPr>
            <w:color w:val="24506B"/>
            <w:u w:val="single"/>
          </w:rPr>
          <w:t>S01</w:t>
        </w:r>
      </w:hyperlink>
      <w:r>
        <w:t xml:space="preserve">, art. 21; </w:t>
      </w:r>
      <w:hyperlink w:anchor="S12">
        <w:r>
          <w:rPr>
            <w:color w:val="24506B"/>
            <w:u w:val="single"/>
          </w:rPr>
          <w:t>S12</w:t>
        </w:r>
      </w:hyperlink>
      <w:r>
        <w:t>, art. 66]</w:t>
      </w:r>
    </w:p>
    <w:p>
      <w:pPr>
        <w:jc w:val="both"/>
      </w:pPr>
      <w:r>
        <w:t>La documentación debe registrar el rechazo y evitar atribuir complicidad al docente. La orientación para la persona que ofreció incluye asesoría sobre su situación; la autoridad competente determinará si se inicia un procedimiento y qué hechos se acreditan.</w:t>
      </w:r>
    </w:p>
    <w:p>
      <w:pPr>
        <w:pStyle w:val="Heading2"/>
      </w:pPr>
      <w:r>
        <w:t>9.6 Exigencia acompañada de amenaza</w:t>
      </w:r>
    </w:p>
    <w:p>
      <w:pPr>
        <w:jc w:val="both"/>
      </w:pPr>
      <w:r>
        <w:t>Se comunica a una estudiante que reprobará o tendrá obstáculos posteriores si no entrega dinero. La orientación debe distinguir la presión académica de cualquier peligro físico inmediato. Una amenaza concreta aumenta la necesidad de protección y hace insuficiente sugerir una conversación privada con quien controla la evaluación.</w:t>
      </w:r>
    </w:p>
    <w:p>
      <w:pPr>
        <w:jc w:val="both"/>
      </w:pPr>
      <w:r>
        <w:t>Se propone acudir a Primer Contacto o a la instancia universitaria competente, solicitar valoración de medidas y obtener asesoría legal externa. Si hay evaluación publicada, la revisión corre por separado. La denominación penal precisa de la amenaza o coacción debe determinarse conforme a los hechos y la ley aplicable. [</w:t>
      </w:r>
      <w:hyperlink w:anchor="S01">
        <w:r>
          <w:rPr>
            <w:color w:val="24506B"/>
            <w:u w:val="single"/>
          </w:rPr>
          <w:t>S01</w:t>
        </w:r>
      </w:hyperlink>
      <w:r>
        <w:t xml:space="preserve">, arts. 39–46; </w:t>
      </w:r>
      <w:hyperlink w:anchor="S13">
        <w:r>
          <w:rPr>
            <w:color w:val="24506B"/>
            <w:u w:val="single"/>
          </w:rPr>
          <w:t>S13</w:t>
        </w:r>
      </w:hyperlink>
      <w:r>
        <w:t xml:space="preserve">; </w:t>
      </w:r>
      <w:hyperlink w:anchor="S16">
        <w:r>
          <w:rPr>
            <w:color w:val="24506B"/>
            <w:u w:val="single"/>
          </w:rPr>
          <w:t>S16</w:t>
        </w:r>
      </w:hyperlink>
      <w:r>
        <w:t>, art. 137]</w:t>
      </w:r>
    </w:p>
    <w:p>
      <w:pPr>
        <w:pStyle w:val="Heading2"/>
      </w:pPr>
      <w:r>
        <w:t>9.7 Intermediario que promete cambiar una nota</w:t>
      </w:r>
    </w:p>
    <w:p>
      <w:pPr>
        <w:jc w:val="both"/>
      </w:pPr>
      <w:r>
        <w:t>Una persona sin cargo académico solicita una transferencia y asegura que conoce a alguien que puede modificar el sistema. No está demostrado que exista participación de un docente. Deben aclararse la identidad, la supuesta capacidad y el destino del pago; podría tratarse de un engaño, un intercambio indebido u otra conducta.</w:t>
      </w:r>
    </w:p>
    <w:p>
      <w:pPr>
        <w:jc w:val="both"/>
      </w:pPr>
      <w:r>
        <w:t>El sistema debe recomendar no efectuar nuevos pagos, preservar las comunicaciones y consultar asesoría universitaria y legal. No debe presentar la promesa del intermediario como prueba de corrupción de la persona a la que menciona. Tampoco debe pedir credenciales escolares ni intentar comprobar acceso al sistema.</w:t>
      </w:r>
    </w:p>
    <w:p>
      <w:pPr>
        <w:pStyle w:val="Heading2"/>
      </w:pPr>
      <w:r>
        <w:t>9.8 Represalia después de reportar</w:t>
      </w:r>
    </w:p>
    <w:p>
      <w:pPr>
        <w:jc w:val="both"/>
      </w:pPr>
      <w:r>
        <w:t>Tras solicitar orientación, una persona recibe un mensaje que amenaza con perjudicarla y posteriormente observa una nota que considera injusta. La relación temporal es relevante, pero no acredita por sí misma la causa de la evaluación. Deben conservarse mensaje, criterios y fecha del resultado, y describirse por separado ambos hechos.</w:t>
      </w:r>
    </w:p>
    <w:p>
      <w:pPr>
        <w:jc w:val="both"/>
      </w:pPr>
      <w:r>
        <w:t>La actuación sugerida combina comunicación del nuevo riesgo a la autoridad del caso, solicitud de protección, revisión de la calificación si procede y valoración legal de la amenaza. Una queja ante la Defensoría puede ser pertinente por posibles afectaciones a derechos. [</w:t>
      </w:r>
      <w:hyperlink w:anchor="S01">
        <w:r>
          <w:rPr>
            <w:color w:val="24506B"/>
            <w:u w:val="single"/>
          </w:rPr>
          <w:t>S01</w:t>
        </w:r>
      </w:hyperlink>
      <w:r>
        <w:t xml:space="preserve">; </w:t>
      </w:r>
      <w:hyperlink w:anchor="S04">
        <w:r>
          <w:rPr>
            <w:color w:val="24506B"/>
            <w:u w:val="single"/>
          </w:rPr>
          <w:t>S04</w:t>
        </w:r>
      </w:hyperlink>
      <w:r>
        <w:t xml:space="preserve">; </w:t>
      </w:r>
      <w:hyperlink w:anchor="S09">
        <w:r>
          <w:rPr>
            <w:color w:val="24506B"/>
            <w:u w:val="single"/>
          </w:rPr>
          <w:t>S09</w:t>
        </w:r>
      </w:hyperlink>
      <w:r>
        <w:t xml:space="preserve">; </w:t>
      </w:r>
      <w:hyperlink w:anchor="S16">
        <w:r>
          <w:rPr>
            <w:color w:val="24506B"/>
            <w:u w:val="single"/>
          </w:rPr>
          <w:t>S16</w:t>
        </w:r>
      </w:hyperlink>
      <w:r>
        <w:t>]</w:t>
      </w:r>
    </w:p>
    <w:p>
      <w:pPr>
        <w:pStyle w:val="Heading2"/>
      </w:pPr>
      <w:r>
        <w:t>9.9 Relato repetido entre generaciones</w:t>
      </w:r>
    </w:p>
    <w:p>
      <w:pPr>
        <w:jc w:val="both"/>
      </w:pPr>
      <w:r>
        <w:t>Varias personas afirman haber escuchado que en una materia se puede pagar para aprobar, pero nadie identifica un episodio propio. El sistema debe conservar el carácter indirecto de la información. Puede orientar sobre criterios, canales y recopilación voluntaria de testimonios directos, sin producir una acusación nominal ni marcar un caso como confirmado.</w:t>
      </w:r>
    </w:p>
    <w:p>
      <w:pPr>
        <w:jc w:val="both"/>
      </w:pPr>
      <w:r>
        <w:t>Para el informe académico, la circulación del relato constituye un antecedente que justifica estudiar percepción, normalización y conocimiento de los apoyos. Su reiteración no establece prevalencia ni sustituye una investigación institucional.</w:t>
      </w:r>
    </w:p>
    <w:p>
      <w:pPr>
        <w:pStyle w:val="Heading2"/>
      </w:pPr>
      <w:r>
        <w:t>9.10 Pago efectuado bajo presión</w:t>
      </w:r>
    </w:p>
    <w:p>
      <w:pPr>
        <w:jc w:val="both"/>
      </w:pPr>
      <w:r>
        <w:t>Una persona relata haber entregado dinero por temor a perder la materia y después desea buscar ayuda. La orientación debe escuchar la presión narrada, conservar la cronología y ofrecer apoyo y asesoría jurídica. No corresponde equiparar automáticamente esa situación con un ofrecimiento libre ni garantizar que ninguna autoridad examine su participación.</w:t>
      </w:r>
    </w:p>
    <w:p>
      <w:pPr>
        <w:jc w:val="both"/>
      </w:pPr>
      <w:r>
        <w:t>Se recomienda separar la necesidad de protección, la posible revisión académica y el análisis jurídico del pago. Si hay un riesgo vigente, debe atenderse sin esperar a resolver todas las dudas sobre responsabilidad. El modelo debe explicar que las determinaciones corresponden a las autoridades y que la documentación veraz incluye tanto la exigencia como la respuesta de la persona.</w:t>
      </w:r>
    </w:p>
    <w:p>
      <w:pPr>
        <w:pStyle w:val="Heading1"/>
      </w:pPr>
      <w:r>
        <w:t>10 Evidencia pública y casos documentados</w:t>
      </w:r>
    </w:p>
    <w:p>
      <w:pPr>
        <w:pStyle w:val="Heading2"/>
      </w:pPr>
      <w:r>
        <w:t>10.1 Actividad institucional de CUTonalá</w:t>
      </w:r>
    </w:p>
    <w:p>
      <w:pPr>
        <w:jc w:val="both"/>
      </w:pPr>
      <w:r>
        <w:t>El Informe de Actividades CUTonalá 2024 reporta 29 casos de denuncias que siguieron procesos de investigación para deliberar sobre responsabilidades. Su apartado 2.3.2.1.3 y tabla 106 presentan actuaciones por comisiones divisionales y del Consejo de Centro. Para Ingenierías e Innovación Tecnológica se mencionan cuatro investigaciones, dos desistimientos y una medida cautelar. Es evidencia de actividad institucional reportada, no de 29 casos de soborno ni de responsabilidad acreditada en todos ellos. [</w:t>
      </w:r>
      <w:hyperlink w:anchor="S20">
        <w:r>
          <w:rPr>
            <w:color w:val="24506B"/>
            <w:u w:val="single"/>
          </w:rPr>
          <w:t>S20</w:t>
        </w:r>
      </w:hyperlink>
      <w:r>
        <w:t>, pp. 287–288]</w:t>
      </w:r>
    </w:p>
    <w:p>
      <w:pPr>
        <w:jc w:val="both"/>
      </w:pPr>
      <w:r>
        <w:t>El Informe Técnico de Actividades 2025 señala 40 denuncias formales en Primer Contacto, seis colectivas y cuatro con más de una persona señalada. También refiere 62 personas denunciantes. Estos datos ilustran por qué denuncias, personas y manifestaciones de violencia son unidades diferentes. No deben convertirse en una tasa de corrupción ni compararse directamente con los procesos de investigación de 2024 como si fueran el mismo indicador. [</w:t>
      </w:r>
      <w:hyperlink w:anchor="S21">
        <w:r>
          <w:rPr>
            <w:color w:val="24506B"/>
            <w:u w:val="single"/>
          </w:rPr>
          <w:t>S21</w:t>
        </w:r>
      </w:hyperlink>
      <w:r>
        <w:t>, pp. 258–259]</w:t>
      </w:r>
    </w:p>
    <w:p>
      <w:pPr>
        <w:jc w:val="both"/>
      </w:pPr>
      <w:r>
        <w:t>Se observó una inconsistencia que merece aclaración: la narración de 2025 menciona 78 manifestaciones, mientras la tabla 137 totaliza 80; además, las tablas por tipo de persona y por sexo no presentan el mismo total de denunciados. Esto limita inferencias cuantitativas. No demuestra falsedad deliberada, ausencia de atención o ineficacia. Deben precisarse universos y criterios antes de calcular resultados. [</w:t>
      </w:r>
      <w:hyperlink w:anchor="S21">
        <w:r>
          <w:rPr>
            <w:color w:val="24506B"/>
            <w:u w:val="single"/>
          </w:rPr>
          <w:t>S21</w:t>
        </w:r>
      </w:hyperlink>
      <w:r>
        <w:t>]</w:t>
      </w:r>
    </w:p>
    <w:p>
      <w:pPr>
        <w:pStyle w:val="Heading2"/>
      </w:pPr>
      <w:r>
        <w:t>10.2 Caso de cohecho publicado por Fiscalía</w:t>
      </w:r>
    </w:p>
    <w:p>
      <w:pPr>
        <w:jc w:val="both"/>
      </w:pPr>
      <w:r>
        <w:t>El 15 de septiembre de 2026, la Fiscalía Anticorrupción informó la vinculación a proceso de un exservidor público del Instituto de Justicia Alternativa por probable cohecho. Según el comunicado, en hechos de 2017 habría solicitado y recibido 15 mil pesos para un trámite que debía ser gratuito y después habría pedido otra cantidad. La publicación refiere restricciones de contacto con víctima y testigos y un plazo de investigación complementaria. [</w:t>
      </w:r>
      <w:hyperlink w:anchor="S22">
        <w:r>
          <w:rPr>
            <w:color w:val="24506B"/>
            <w:u w:val="single"/>
          </w:rPr>
          <w:t>S22</w:t>
        </w:r>
      </w:hyperlink>
      <w:r>
        <w:t>]</w:t>
      </w:r>
    </w:p>
    <w:p>
      <w:pPr>
        <w:jc w:val="both"/>
      </w:pPr>
      <w:r>
        <w:t>Este caso sirve para mostrar que el cobro ligado a una función pública puede investigarse penalmente y que las medidas de protección o cautelares son distintas de la sentencia. No pertenece a CUTonalá, no trata de calificaciones y no acredita los relatos aportados por el autor. La información consultada documenta una etapa procesal; no se presenta como condena firme ni se traslada su resultado a los ejemplos universitarios.</w:t>
      </w:r>
    </w:p>
    <w:p>
      <w:pPr>
        <w:pStyle w:val="Heading2"/>
      </w:pPr>
      <w:r>
        <w:t>10.3 Caso del sector educativo con figura jurídica distinta</w:t>
      </w:r>
    </w:p>
    <w:p>
      <w:pPr>
        <w:jc w:val="both"/>
      </w:pPr>
      <w:r>
        <w:t>El 17 de septiembre de 2026, la misma Fiscalía publicó la vinculación a proceso de dos personas por presuntas irregularidades en la nómina del CECyTEJ. El comunicado menciona una contratación y pagos por servicios que presuntamente no se prestaron, y señala peculado y abuso de autoridad como delitos atribuidos. [</w:t>
      </w:r>
      <w:hyperlink w:anchor="S23">
        <w:r>
          <w:rPr>
            <w:color w:val="24506B"/>
            <w:u w:val="single"/>
          </w:rPr>
          <w:t>S23</w:t>
        </w:r>
      </w:hyperlink>
      <w:r>
        <w:t>]</w:t>
      </w:r>
    </w:p>
    <w:p>
      <w:pPr>
        <w:jc w:val="both"/>
      </w:pPr>
      <w:r>
        <w:t>La referencia permite explicar que no toda irregularidad educativa se denomina soborno. Un problema de nómina, una ventaja académica y un trato preferencial pueden requerir calificaciones y competencias diferentes. CECyTEJ es una institución distinta de la UDG. La vinculación es una decisión procesal y no una afirmación de culpabilidad definitiva de las personas mencionadas.</w:t>
      </w:r>
    </w:p>
    <w:p>
      <w:pPr>
        <w:pStyle w:val="Heading2"/>
      </w:pPr>
      <w:r>
        <w:t>10.4 Qué puede afirmarse sobre los relatos del campus</w:t>
      </w:r>
    </w:p>
    <w:p>
      <w:pPr>
        <w:jc w:val="both"/>
      </w:pPr>
      <w:r>
        <w:t>Las fuentes revisadas no permiten presentar los relatos específicos compartidos por el autor como casos comprobados de soborno en CUTonalá. La investigación sí puede afirmar que esos relatos fueron aportados como motivación, que la normativa contempla conductas compatibles con algunos de sus patrones y que existen canales institucionales para solicitar orientación y comunicar hechos.</w:t>
      </w:r>
    </w:p>
    <w:p>
      <w:pPr>
        <w:jc w:val="both"/>
      </w:pPr>
      <w:r>
        <w:t>La falta de una resolución localizada no demuestra inexistencia del comportamiento ni encubrimiento. Puede haber información no pública, no indexada o no identificada por esta revisión. Para ampliar la evidencia sería necesario recopilar testimonios con metodología y consentimiento, consultar datos agregados y, cuando corresponda, obtener documentos públicos de resoluciones. No se requiere exponer nombres en una presentación de clase para explicar las conductas y los problemas de acceso.</w:t>
      </w:r>
    </w:p>
    <w:p>
      <w:pPr>
        <w:pStyle w:val="Heading1"/>
      </w:pPr>
      <w:r>
        <w:t>11 Accesibilidad de la información y evaluación crítica</w:t>
      </w:r>
    </w:p>
    <w:p>
      <w:pPr>
        <w:pStyle w:val="Heading2"/>
      </w:pPr>
      <w:r>
        <w:t>11.1 Criterios de revisión</w:t>
      </w:r>
    </w:p>
    <w:p>
      <w:pPr>
        <w:jc w:val="both"/>
      </w:pPr>
      <w:r>
        <w:t>La revisión valoró si era posible encontrar la ruta mediante lenguaje cotidiano; identificar autoridad y servicio; conocer lugar, contacto y horario; distinguir orientación de denuncia; comprender requisitos; y localizar información de seguimiento y protección. Se examinaron páginas locales, directorios centrales, normativa y formularios externos. Se registraron hallazgos positivos y dificultades, evitando convertir una experiencia de navegación en un juicio general sobre la institución.</w:t>
      </w:r>
    </w:p>
    <w:p>
      <w:pPr>
        <w:pStyle w:val="Heading2"/>
      </w:pPr>
      <w:r>
        <w:t>11.2 Resultados de la consulta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3888"/>
      </w:tblGrid>
      <w:tr>
        <w:trPr>
          <w:cantSplit/>
          <w:tblHeader w:val="true"/>
        </w:trPr>
        <w:tc>
          <w:tcPr>
            <w:tcW w:type="dxa" w:w="2232"/>
            <w:vAlign w:val="center"/>
            <w:tcMar>
              <w:top w:w="95" w:type="dxa"/>
              <w:bottom w:w="95" w:type="dxa"/>
              <w:left w:w="110" w:type="dxa"/>
              <w:right w:w="110" w:type="dxa"/>
            </w:tcMar>
            <w:shd w:fill="3C4650"/>
          </w:tcPr>
          <w:p>
            <w:pPr>
              <w:spacing w:after="0" w:line="252" w:lineRule="auto"/>
            </w:pPr>
            <w:r>
              <w:rPr>
                <w:b/>
                <w:color w:val="FFFFFF"/>
                <w:sz w:val="20"/>
              </w:rPr>
              <w:t>Aspecto</w:t>
            </w:r>
          </w:p>
        </w:tc>
        <w:tc>
          <w:tcPr>
            <w:tcW w:type="dxa" w:w="3672"/>
            <w:vAlign w:val="center"/>
            <w:tcMar>
              <w:top w:w="95" w:type="dxa"/>
              <w:bottom w:w="95" w:type="dxa"/>
              <w:left w:w="110" w:type="dxa"/>
              <w:right w:w="110" w:type="dxa"/>
            </w:tcMar>
            <w:shd w:fill="3C4650"/>
          </w:tcPr>
          <w:p>
            <w:pPr>
              <w:spacing w:after="0" w:line="252" w:lineRule="auto"/>
            </w:pPr>
            <w:r>
              <w:rPr>
                <w:b/>
                <w:color w:val="FFFFFF"/>
                <w:sz w:val="20"/>
              </w:rPr>
              <w:t>Evidencia observada</w:t>
            </w:r>
          </w:p>
        </w:tc>
        <w:tc>
          <w:tcPr>
            <w:tcW w:type="dxa" w:w="3888"/>
            <w:vAlign w:val="center"/>
            <w:tcMar>
              <w:top w:w="95" w:type="dxa"/>
              <w:bottom w:w="95" w:type="dxa"/>
              <w:left w:w="110" w:type="dxa"/>
              <w:right w:w="110" w:type="dxa"/>
            </w:tcMar>
            <w:shd w:fill="3C4650"/>
          </w:tcPr>
          <w:p>
            <w:pPr>
              <w:spacing w:after="0" w:line="252" w:lineRule="auto"/>
            </w:pPr>
            <w:r>
              <w:rPr>
                <w:b/>
                <w:color w:val="FFFFFF"/>
                <w:sz w:val="20"/>
              </w:rPr>
              <w:t>Alcance de la conclusión</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Normativa</w:t>
            </w:r>
          </w:p>
        </w:tc>
        <w:tc>
          <w:tcPr>
            <w:tcW w:type="dxa" w:w="3672"/>
            <w:vAlign w:val="center"/>
            <w:tcMar>
              <w:top w:w="95" w:type="dxa"/>
              <w:bottom w:w="95" w:type="dxa"/>
              <w:left w:w="110" w:type="dxa"/>
              <w:right w:w="110" w:type="dxa"/>
            </w:tcMar>
            <w:shd w:fill="FFFFFF"/>
          </w:tcPr>
          <w:p>
            <w:pPr>
              <w:spacing w:after="0" w:line="252" w:lineRule="auto"/>
            </w:pPr>
            <w:r>
              <w:rPr>
                <w:b w:val="0"/>
                <w:sz w:val="20"/>
              </w:rPr>
              <w:t>Reglamentos oficiales descargables con conductas y procedimiento</w:t>
            </w:r>
          </w:p>
        </w:tc>
        <w:tc>
          <w:tcPr>
            <w:tcW w:type="dxa" w:w="3888"/>
            <w:vAlign w:val="center"/>
            <w:tcMar>
              <w:top w:w="95" w:type="dxa"/>
              <w:bottom w:w="95" w:type="dxa"/>
              <w:left w:w="110" w:type="dxa"/>
              <w:right w:w="110" w:type="dxa"/>
            </w:tcMar>
            <w:shd w:fill="FFFFFF"/>
          </w:tcPr>
          <w:p>
            <w:pPr>
              <w:spacing w:after="0" w:line="252" w:lineRule="auto"/>
            </w:pPr>
            <w:r>
              <w:rPr>
                <w:b w:val="0"/>
                <w:sz w:val="20"/>
              </w:rPr>
              <w:t>Existe fundamento público; requiere lectura y relación entre documentos</w:t>
            </w:r>
          </w:p>
        </w:tc>
      </w:tr>
      <w:tr>
        <w:trPr>
          <w:cantSplit/>
        </w:trPr>
        <w:tc>
          <w:tcPr>
            <w:tcW w:type="dxa" w:w="2232"/>
            <w:vAlign w:val="center"/>
            <w:tcMar>
              <w:top w:w="95" w:type="dxa"/>
              <w:bottom w:w="95" w:type="dxa"/>
              <w:left w:w="110" w:type="dxa"/>
              <w:right w:w="110" w:type="dxa"/>
            </w:tcMar>
            <w:shd w:fill="F2F4F6"/>
          </w:tcPr>
          <w:p>
            <w:pPr>
              <w:spacing w:after="0" w:line="252" w:lineRule="auto"/>
            </w:pPr>
            <w:r>
              <w:rPr>
                <w:b w:val="0"/>
                <w:sz w:val="20"/>
              </w:rPr>
              <w:t>Ruta de soborno</w:t>
            </w:r>
          </w:p>
        </w:tc>
        <w:tc>
          <w:tcPr>
            <w:tcW w:type="dxa" w:w="3672"/>
            <w:vAlign w:val="center"/>
            <w:tcMar>
              <w:top w:w="95" w:type="dxa"/>
              <w:bottom w:w="95" w:type="dxa"/>
              <w:left w:w="110" w:type="dxa"/>
              <w:right w:w="110" w:type="dxa"/>
            </w:tcMar>
            <w:shd w:fill="F2F4F6"/>
          </w:tcPr>
          <w:p>
            <w:pPr>
              <w:spacing w:after="0" w:line="252" w:lineRule="auto"/>
            </w:pPr>
            <w:r>
              <w:rPr>
                <w:b w:val="0"/>
                <w:sz w:val="20"/>
              </w:rPr>
              <w:t>Contraloría remite faltas universitarias a Primer Contacto; página local enfatiza violencia</w:t>
            </w:r>
          </w:p>
        </w:tc>
        <w:tc>
          <w:tcPr>
            <w:tcW w:type="dxa" w:w="3888"/>
            <w:vAlign w:val="center"/>
            <w:tcMar>
              <w:top w:w="95" w:type="dxa"/>
              <w:bottom w:w="95" w:type="dxa"/>
              <w:left w:w="110" w:type="dxa"/>
              <w:right w:w="110" w:type="dxa"/>
            </w:tcMar>
            <w:shd w:fill="F2F4F6"/>
          </w:tcPr>
          <w:p>
            <w:pPr>
              <w:spacing w:after="0" w:line="252" w:lineRule="auto"/>
            </w:pPr>
            <w:r>
              <w:rPr>
                <w:b w:val="0"/>
                <w:sz w:val="20"/>
              </w:rPr>
              <w:t>Falta claridad para quien no reconoce su caso como violencia</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Contactos</w:t>
            </w:r>
          </w:p>
        </w:tc>
        <w:tc>
          <w:tcPr>
            <w:tcW w:type="dxa" w:w="3672"/>
            <w:vAlign w:val="center"/>
            <w:tcMar>
              <w:top w:w="95" w:type="dxa"/>
              <w:bottom w:w="95" w:type="dxa"/>
              <w:left w:w="110" w:type="dxa"/>
              <w:right w:w="110" w:type="dxa"/>
            </w:tcMar>
            <w:shd w:fill="FFFFFF"/>
          </w:tcPr>
          <w:p>
            <w:pPr>
              <w:spacing w:after="0" w:line="252" w:lineRule="auto"/>
            </w:pPr>
            <w:r>
              <w:rPr>
                <w:b w:val="0"/>
                <w:sz w:val="20"/>
              </w:rPr>
              <w:t>Correos y ubicaciones publicados; teléfonos y nombre del enlace DDU difieren</w:t>
            </w:r>
          </w:p>
        </w:tc>
        <w:tc>
          <w:tcPr>
            <w:tcW w:type="dxa" w:w="3888"/>
            <w:vAlign w:val="center"/>
            <w:tcMar>
              <w:top w:w="95" w:type="dxa"/>
              <w:bottom w:w="95" w:type="dxa"/>
              <w:left w:w="110" w:type="dxa"/>
              <w:right w:w="110" w:type="dxa"/>
            </w:tcMar>
            <w:shd w:fill="FFFFFF"/>
          </w:tcPr>
          <w:p>
            <w:pPr>
              <w:spacing w:after="0" w:line="252" w:lineRule="auto"/>
            </w:pPr>
            <w:r>
              <w:rPr>
                <w:b w:val="0"/>
                <w:sz w:val="20"/>
              </w:rPr>
              <w:t>Se requiere depuración o confirmación; no se comprobó que los contactos fallen</w:t>
            </w:r>
          </w:p>
        </w:tc>
      </w:tr>
      <w:tr>
        <w:trPr>
          <w:cantSplit/>
        </w:trPr>
        <w:tc>
          <w:tcPr>
            <w:tcW w:type="dxa" w:w="2232"/>
            <w:vAlign w:val="center"/>
            <w:tcMar>
              <w:top w:w="95" w:type="dxa"/>
              <w:bottom w:w="95" w:type="dxa"/>
              <w:left w:w="110" w:type="dxa"/>
              <w:right w:w="110" w:type="dxa"/>
            </w:tcMar>
            <w:shd w:fill="F2F4F6"/>
          </w:tcPr>
          <w:p>
            <w:pPr>
              <w:spacing w:after="0" w:line="252" w:lineRule="auto"/>
            </w:pPr>
            <w:r>
              <w:rPr>
                <w:b w:val="0"/>
                <w:sz w:val="20"/>
              </w:rPr>
              <w:t>Denuncia electrónica CUT</w:t>
            </w:r>
          </w:p>
        </w:tc>
        <w:tc>
          <w:tcPr>
            <w:tcW w:type="dxa" w:w="3672"/>
            <w:vAlign w:val="center"/>
            <w:tcMar>
              <w:top w:w="95" w:type="dxa"/>
              <w:bottom w:w="95" w:type="dxa"/>
              <w:left w:w="110" w:type="dxa"/>
              <w:right w:w="110" w:type="dxa"/>
            </w:tcMar>
            <w:shd w:fill="F2F4F6"/>
          </w:tcPr>
          <w:p>
            <w:pPr>
              <w:spacing w:after="0" w:line="252" w:lineRule="auto"/>
            </w:pPr>
            <w:r>
              <w:rPr>
                <w:b w:val="0"/>
                <w:sz w:val="20"/>
              </w:rPr>
              <w:t>No se localizó un formulario inequívoco de soborno en las páginas revisadas</w:t>
            </w:r>
          </w:p>
        </w:tc>
        <w:tc>
          <w:tcPr>
            <w:tcW w:type="dxa" w:w="3888"/>
            <w:vAlign w:val="center"/>
            <w:tcMar>
              <w:top w:w="95" w:type="dxa"/>
              <w:bottom w:w="95" w:type="dxa"/>
              <w:left w:w="110" w:type="dxa"/>
              <w:right w:w="110" w:type="dxa"/>
            </w:tcMar>
            <w:shd w:fill="F2F4F6"/>
          </w:tcPr>
          <w:p>
            <w:pPr>
              <w:spacing w:after="0" w:line="252" w:lineRule="auto"/>
            </w:pPr>
            <w:r>
              <w:rPr>
                <w:b w:val="0"/>
                <w:sz w:val="20"/>
              </w:rPr>
              <w:t>Dificultad de localización, no prueba de inexistencia</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Apoyo psicológico</w:t>
            </w:r>
          </w:p>
        </w:tc>
        <w:tc>
          <w:tcPr>
            <w:tcW w:type="dxa" w:w="3672"/>
            <w:vAlign w:val="center"/>
            <w:tcMar>
              <w:top w:w="95" w:type="dxa"/>
              <w:bottom w:w="95" w:type="dxa"/>
              <w:left w:w="110" w:type="dxa"/>
              <w:right w:w="110" w:type="dxa"/>
            </w:tcMar>
            <w:shd w:fill="FFFFFF"/>
          </w:tcPr>
          <w:p>
            <w:pPr>
              <w:spacing w:after="0" w:line="252" w:lineRule="auto"/>
            </w:pPr>
            <w:r>
              <w:rPr>
                <w:b w:val="0"/>
                <w:sz w:val="20"/>
              </w:rPr>
              <w:t>Instrucciones públicas con formulario, SIGA y correo</w:t>
            </w:r>
          </w:p>
        </w:tc>
        <w:tc>
          <w:tcPr>
            <w:tcW w:type="dxa" w:w="3888"/>
            <w:vAlign w:val="center"/>
            <w:tcMar>
              <w:top w:w="95" w:type="dxa"/>
              <w:bottom w:w="95" w:type="dxa"/>
              <w:left w:w="110" w:type="dxa"/>
              <w:right w:w="110" w:type="dxa"/>
            </w:tcMar>
            <w:shd w:fill="FFFFFF"/>
          </w:tcPr>
          <w:p>
            <w:pPr>
              <w:spacing w:after="0" w:line="252" w:lineRule="auto"/>
            </w:pPr>
            <w:r>
              <w:rPr>
                <w:b w:val="0"/>
                <w:sz w:val="20"/>
              </w:rPr>
              <w:t>Ruta identificable con varias etapas; no se midieron tiempos ni abandono</w:t>
            </w:r>
          </w:p>
        </w:tc>
      </w:tr>
      <w:tr>
        <w:trPr>
          <w:cantSplit/>
        </w:trPr>
        <w:tc>
          <w:tcPr>
            <w:tcW w:type="dxa" w:w="2232"/>
            <w:vAlign w:val="center"/>
            <w:tcMar>
              <w:top w:w="95" w:type="dxa"/>
              <w:bottom w:w="95" w:type="dxa"/>
              <w:left w:w="110" w:type="dxa"/>
              <w:right w:w="110" w:type="dxa"/>
            </w:tcMar>
            <w:shd w:fill="F2F4F6"/>
          </w:tcPr>
          <w:p>
            <w:pPr>
              <w:spacing w:after="0" w:line="252" w:lineRule="auto"/>
            </w:pPr>
            <w:r>
              <w:rPr>
                <w:b w:val="0"/>
                <w:sz w:val="20"/>
              </w:rPr>
              <w:t>Fiscalía</w:t>
            </w:r>
          </w:p>
        </w:tc>
        <w:tc>
          <w:tcPr>
            <w:tcW w:type="dxa" w:w="3672"/>
            <w:vAlign w:val="center"/>
            <w:tcMar>
              <w:top w:w="95" w:type="dxa"/>
              <w:bottom w:w="95" w:type="dxa"/>
              <w:left w:w="110" w:type="dxa"/>
              <w:right w:w="110" w:type="dxa"/>
            </w:tcMar>
            <w:shd w:fill="F2F4F6"/>
          </w:tcPr>
          <w:p>
            <w:pPr>
              <w:spacing w:after="0" w:line="252" w:lineRule="auto"/>
            </w:pPr>
            <w:r>
              <w:rPr>
                <w:b w:val="0"/>
                <w:sz w:val="20"/>
              </w:rPr>
              <w:t>Formulario anónimo o con datos, adjuntos y seguimiento por correo</w:t>
            </w:r>
          </w:p>
        </w:tc>
        <w:tc>
          <w:tcPr>
            <w:tcW w:type="dxa" w:w="3888"/>
            <w:vAlign w:val="center"/>
            <w:tcMar>
              <w:top w:w="95" w:type="dxa"/>
              <w:bottom w:w="95" w:type="dxa"/>
              <w:left w:w="110" w:type="dxa"/>
              <w:right w:w="110" w:type="dxa"/>
            </w:tcMar>
            <w:shd w:fill="F2F4F6"/>
          </w:tcPr>
          <w:p>
            <w:pPr>
              <w:spacing w:after="0" w:line="252" w:lineRule="auto"/>
            </w:pPr>
            <w:r>
              <w:rPr>
                <w:b w:val="0"/>
                <w:sz w:val="20"/>
              </w:rPr>
              <w:t>Acceso visible; no se probó envío ni respuesta</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Actividad publicada</w:t>
            </w:r>
          </w:p>
        </w:tc>
        <w:tc>
          <w:tcPr>
            <w:tcW w:type="dxa" w:w="3672"/>
            <w:vAlign w:val="center"/>
            <w:tcMar>
              <w:top w:w="95" w:type="dxa"/>
              <w:bottom w:w="95" w:type="dxa"/>
              <w:left w:w="110" w:type="dxa"/>
              <w:right w:w="110" w:type="dxa"/>
            </w:tcMar>
            <w:shd w:fill="FFFFFF"/>
          </w:tcPr>
          <w:p>
            <w:pPr>
              <w:spacing w:after="0" w:line="252" w:lineRule="auto"/>
            </w:pPr>
            <w:r>
              <w:rPr>
                <w:b w:val="0"/>
                <w:sz w:val="20"/>
              </w:rPr>
              <w:t>Informes CUT 2024 y 2025 con denuncias y actuaciones</w:t>
            </w:r>
          </w:p>
        </w:tc>
        <w:tc>
          <w:tcPr>
            <w:tcW w:type="dxa" w:w="3888"/>
            <w:vAlign w:val="center"/>
            <w:tcMar>
              <w:top w:w="95" w:type="dxa"/>
              <w:bottom w:w="95" w:type="dxa"/>
              <w:left w:w="110" w:type="dxa"/>
              <w:right w:w="110" w:type="dxa"/>
            </w:tcMar>
            <w:shd w:fill="FFFFFF"/>
          </w:tcPr>
          <w:p>
            <w:pPr>
              <w:spacing w:after="0" w:line="252" w:lineRule="auto"/>
            </w:pPr>
            <w:r>
              <w:rPr>
                <w:b w:val="0"/>
                <w:sz w:val="20"/>
              </w:rPr>
              <w:t>Evidencia agregada de actividad; no demuestra eficacia específica contra soborno</w:t>
            </w:r>
          </w:p>
        </w:tc>
      </w:tr>
    </w:tbl>
    <w:p>
      <w:pPr>
        <w:spacing w:after="40" w:before="0" w:line="240" w:lineRule="auto"/>
      </w:pPr>
      <w:r>
        <w:rPr>
          <w:sz w:val="4"/>
        </w:rPr>
      </w:r>
    </w:p>
    <w:p>
      <w:pPr>
        <w:jc w:val="both"/>
      </w:pPr>
      <w:r>
        <w:t xml:space="preserve">Fuentes del contraste: </w:t>
      </w:r>
      <w:hyperlink w:anchor="S01">
        <w:r>
          <w:rPr>
            <w:color w:val="24506B"/>
            <w:u w:val="single"/>
          </w:rPr>
          <w:t>S01</w:t>
        </w:r>
      </w:hyperlink>
      <w:r>
        <w:t>–</w:t>
      </w:r>
      <w:hyperlink w:anchor="S11">
        <w:r>
          <w:rPr>
            <w:color w:val="24506B"/>
            <w:u w:val="single"/>
          </w:rPr>
          <w:t>S11</w:t>
        </w:r>
      </w:hyperlink>
      <w:r>
        <w:t xml:space="preserve">, </w:t>
      </w:r>
      <w:hyperlink w:anchor="S17">
        <w:r>
          <w:rPr>
            <w:color w:val="24506B"/>
            <w:u w:val="single"/>
          </w:rPr>
          <w:t>S17</w:t>
        </w:r>
      </w:hyperlink>
      <w:r>
        <w:t xml:space="preserve">, </w:t>
      </w:r>
      <w:hyperlink w:anchor="S20">
        <w:r>
          <w:rPr>
            <w:color w:val="24506B"/>
            <w:u w:val="single"/>
          </w:rPr>
          <w:t>S20</w:t>
        </w:r>
      </w:hyperlink>
      <w:r>
        <w:t xml:space="preserve"> y </w:t>
      </w:r>
      <w:hyperlink w:anchor="S21">
        <w:r>
          <w:rPr>
            <w:color w:val="24506B"/>
            <w:u w:val="single"/>
          </w:rPr>
          <w:t>S21</w:t>
        </w:r>
      </w:hyperlink>
      <w:r>
        <w:t>. Las diferencias de datos deben permanecer visibles hasta que la institución las aclare. La accesibilidad informativa puede mejorarse aunque el servicio sí atienda adecuadamente en persona.</w:t>
      </w:r>
    </w:p>
    <w:p>
      <w:pPr>
        <w:pStyle w:val="Heading2"/>
      </w:pPr>
      <w:r>
        <w:t>11.3 Dificultades técnicas y experiencia de búsqueda</w:t>
      </w:r>
    </w:p>
    <w:p>
      <w:pPr>
        <w:jc w:val="both"/>
      </w:pPr>
      <w:r>
        <w:t>Algunas páginas dinámicas de Fiscalía no entregaron contenido legible en la herramienta inicial de consulta; su contenido sí pudo leerse mediante navegación ordinaria. El informe CUT 2024 excedió el límite de tamaño de una herramienta, pero fue descargable desde el sitio institucional. Los textos legales estatales se verificaron mediante el catálogo del Congreso y descarga de los documentos enlazados. Estas incidencias se atribuyen al método de consulta; no se presentan como caídas del portal para todo público.</w:t>
      </w:r>
    </w:p>
    <w:p>
      <w:pPr>
        <w:jc w:val="both"/>
      </w:pPr>
      <w:r>
        <w:t>Desde la perspectiva de quien busca ayuda, la necesidad de relacionar varios reglamentos y directorios puede aumentar el esfuerzo de comprensión. Esa es una inferencia razonable sobre la estructura de la información, no un resultado de pruebas de usabilidad con estudiantes. Para comprobarla se propone evaluar tareas concretas con participantes: localizar a dónde acudir, explicar el plazo de revisión y distinguir confidencialidad de anonimato, registrando errores y tiempo sin recopilar casos sensibles.</w:t>
      </w:r>
    </w:p>
    <w:p>
      <w:pPr>
        <w:pStyle w:val="Heading2"/>
      </w:pPr>
      <w:r>
        <w:t>11.4 Qué falta para evaluar eficacia</w:t>
      </w:r>
    </w:p>
    <w:p>
      <w:pPr>
        <w:jc w:val="both"/>
      </w:pPr>
      <w:r>
        <w:t>La eficacia requiere evidencia sobre recepción, respuesta, protección, resolución y experiencia de las personas. El número de denuncias no indica por sí solo más violencia, mejor atención o impunidad: puede variar por confianza, difusión, cambios de registro y otros factores. Tampoco un desistimiento demuestra automáticamente una solución satisfactoria o presión para abandonar.</w:t>
      </w:r>
    </w:p>
    <w:p>
      <w:pPr>
        <w:jc w:val="both"/>
      </w:pPr>
      <w:r>
        <w:t>Para una evaluación posterior convendría solicitar datos agregados sobre asuntos por ventajas académicas indebidas, tiempos de acuse, canalizaciones, medidas solicitadas y otorgadas, determinaciones y medios de defensa. También deberían conocerse definiciones de cada indicador y periodo. Los resultados tendrían que desagregarse sin identificar a personas ni permitir su reidentificación en grupos pequeños.</w:t>
      </w:r>
    </w:p>
    <w:p>
      <w:pPr>
        <w:pStyle w:val="Heading2"/>
      </w:pPr>
      <w:r>
        <w:t>11.5 Mejoras propuestas</w:t>
      </w:r>
    </w:p>
    <w:p>
      <w:pPr>
        <w:jc w:val="both"/>
      </w:pPr>
      <w:r>
        <w:t>Se propone publicar una ruta específica de soborno académico que explique ejemplos, autoridad receptora, relación con Primer Contacto, revisión de calificaciones y vía penal. Debería ofrecer un directorio único con fecha de actualización, canal electrónico habilitado, requisitos comprensibles y aclaración de qué constancia acredita la recepción.</w:t>
      </w:r>
    </w:p>
    <w:p>
      <w:pPr>
        <w:jc w:val="both"/>
      </w:pPr>
      <w:r>
        <w:t>Asimismo, sería útil explicar en lenguaje sencillo los límites de confidencialidad, las medidas frente a represalias y cómo reportar su incumplimiento. Los informes podrían diferenciar denuncias, personas, manifestaciones, investigaciones y resoluciones, explicando discrepancias. Estas propuestas se desprenden de las dificultades documentadas; no afirman que todas esas prácticas estén ausentes en la atención presencial.</w:t>
      </w:r>
    </w:p>
    <w:p>
      <w:pPr>
        <w:pStyle w:val="Heading1"/>
      </w:pPr>
      <w:r>
        <w:t>12 Aplicación al prototipo y al trabajo académico</w:t>
      </w:r>
    </w:p>
    <w:p>
      <w:pPr>
        <w:pStyle w:val="Heading2"/>
      </w:pPr>
      <w:r>
        <w:t>12.1 Base documental para recuperación de información</w:t>
      </w:r>
    </w:p>
    <w:p>
      <w:pPr>
        <w:jc w:val="both"/>
      </w:pPr>
      <w:r>
        <w:t>El módulo de soborno debe consultar documentos con identificación de fuente, institución, jurisdicción, fecha, artículos relevantes y estado de verificación. La base RAG puede reunir archivos de los temas del equipo, pero conviene conservar unidades documentales diferenciadas. Unir textos en un solo archivo sin procedencia dificulta saber qué norma respalda una respuesta y qué dato puede haber cambiado.</w:t>
      </w:r>
    </w:p>
    <w:p>
      <w:pPr>
        <w:jc w:val="both"/>
      </w:pPr>
      <w:r>
        <w:t>Cada fragmento debería conservar tema, nivel de atención, supuesto, autoridad, función, contacto, restricciones y enlace. Los directorios requieren actualización más frecuente que las explicaciones conceptuales. Ante datos contradictorios, el modelo debe informar la diferencia o usar el cargo y el canal institucional disponible, sin inventar una persona responsable ni completar teléfonos mediante inferencia.</w:t>
      </w:r>
    </w:p>
    <w:p>
      <w:pPr>
        <w:pStyle w:val="Heading2"/>
      </w:pPr>
      <w:r>
        <w:t>12.2 Estados y reglas del autómata</w:t>
      </w:r>
    </w:p>
    <w:p>
      <w:pPr>
        <w:jc w:val="both"/>
      </w:pPr>
      <w:r>
        <w:t>Se proponen estados de recepción, aclaración de hechos, valoración de urgencia, orientación, selección informada de vías y seguimiento. La memoria debe conservar hechos aportados, dudas y acciones realizadas, sin elevar un relato a hecho probado por repetición. Un agradecimiento posterior no elimina una evaluación previa; un nuevo dato de amenaza sí puede modificar la prioridad.</w:t>
      </w:r>
    </w:p>
    <w:p>
      <w:pPr>
        <w:jc w:val="both"/>
      </w:pPr>
      <w:r>
        <w:t>La clasificación preliminar debe permitir múltiples rutas. Si la arquitectura compartida exige una coordenada principal, ésta debe acompañarse de rutas adicionales y justificación. De otro modo, asignar UDG podría ocultar la valoración legal o asignar legal podría omitir el plazo de revisión académica. El eje de gravedad no debe utilizarse como una escala de delitos o sanciones.</w:t>
      </w:r>
    </w:p>
    <w:p>
      <w:pPr>
        <w:pStyle w:val="Heading2"/>
      </w:pPr>
      <w:r>
        <w:t>12.3 Requisitos de respuesta</w:t>
      </w:r>
    </w:p>
    <w:p>
      <w:pPr>
        <w:jc w:val="both"/>
      </w:pPr>
      <w:r>
        <w:t>Una respuesta útil debe explicar qué dato se reconoce, qué información falta, por qué una instancia es pertinente, dónde se encuentra y qué acción puede realizar el estudiante. Debe citar la fuente y distinguir una sugerencia del proyecto de una regla oficial. Si no existe información verificable sobre un contacto o plazo, debe indicarlo y ofrecer un canal de consulta.</w:t>
      </w:r>
    </w:p>
    <w:p>
      <w:pPr>
        <w:jc w:val="both"/>
      </w:pPr>
      <w:r>
        <w:t>El sistema no debe formular acusaciones nominales, garantizar anonimato, asegurar sanciones, diagnosticar daño psicológico ni presentar el registro interno como denuncia. Para las pruebas se deben usar casos ficticios y evitar datos de profesores o estudiantes reales. Los expedientes reales no deben incorporarse sin control a la base documental compartida ni enviarse automáticamente a servicios externos de inteligencia artificial.</w:t>
      </w:r>
    </w:p>
    <w:p>
      <w:pPr>
        <w:pStyle w:val="Heading2"/>
      </w:pPr>
      <w:r>
        <w:t>12.4 Pruebas funcionales y criterios de aceptación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192"/>
      </w:tblGrid>
      <w:tr>
        <w:trPr>
          <w:cantSplit/>
          <w:tblHeader w:val="true"/>
        </w:trPr>
        <w:tc>
          <w:tcPr>
            <w:tcW w:type="dxa" w:w="3600"/>
            <w:vAlign w:val="center"/>
            <w:tcMar>
              <w:top w:w="95" w:type="dxa"/>
              <w:bottom w:w="95" w:type="dxa"/>
              <w:left w:w="110" w:type="dxa"/>
              <w:right w:w="110" w:type="dxa"/>
            </w:tcMar>
            <w:shd w:fill="3C4650"/>
          </w:tcPr>
          <w:p>
            <w:pPr>
              <w:spacing w:after="0" w:line="252" w:lineRule="auto"/>
            </w:pPr>
            <w:r>
              <w:rPr>
                <w:b/>
                <w:color w:val="FFFFFF"/>
                <w:sz w:val="20"/>
              </w:rPr>
              <w:t>Entrada de prueba</w:t>
            </w:r>
          </w:p>
        </w:tc>
        <w:tc>
          <w:tcPr>
            <w:tcW w:type="dxa" w:w="6192"/>
            <w:vAlign w:val="center"/>
            <w:tcMar>
              <w:top w:w="95" w:type="dxa"/>
              <w:bottom w:w="95" w:type="dxa"/>
              <w:left w:w="110" w:type="dxa"/>
              <w:right w:w="110" w:type="dxa"/>
            </w:tcMar>
            <w:shd w:fill="3C4650"/>
          </w:tcPr>
          <w:p>
            <w:pPr>
              <w:spacing w:after="0" w:line="252" w:lineRule="auto"/>
            </w:pPr>
            <w:r>
              <w:rPr>
                <w:b/>
                <w:color w:val="FFFFFF"/>
                <w:sz w:val="20"/>
              </w:rPr>
              <w:t>Resultado esperado</w:t>
            </w:r>
          </w:p>
        </w:tc>
      </w:tr>
      <w:tr>
        <w:trPr>
          <w:cantSplit/>
        </w:trPr>
        <w:tc>
          <w:tcPr>
            <w:tcW w:type="dxa" w:w="3600"/>
            <w:vAlign w:val="center"/>
            <w:tcMar>
              <w:top w:w="95" w:type="dxa"/>
              <w:bottom w:w="95" w:type="dxa"/>
              <w:left w:w="110" w:type="dxa"/>
              <w:right w:w="110" w:type="dxa"/>
            </w:tcMar>
            <w:shd w:fill="FFFFFF"/>
          </w:tcPr>
          <w:p>
            <w:pPr>
              <w:spacing w:after="0" w:line="252" w:lineRule="auto"/>
            </w:pPr>
            <w:r>
              <w:rPr>
                <w:b w:val="0"/>
                <w:sz w:val="20"/>
              </w:rPr>
              <w:t>Cooperación voluntaria sin efecto académico</w:t>
            </w:r>
          </w:p>
        </w:tc>
        <w:tc>
          <w:tcPr>
            <w:tcW w:type="dxa" w:w="6192"/>
            <w:vAlign w:val="center"/>
            <w:tcMar>
              <w:top w:w="95" w:type="dxa"/>
              <w:bottom w:w="95" w:type="dxa"/>
              <w:left w:w="110" w:type="dxa"/>
              <w:right w:w="110" w:type="dxa"/>
            </w:tcMar>
            <w:shd w:fill="FFFFFF"/>
          </w:tcPr>
          <w:p>
            <w:pPr>
              <w:spacing w:after="0" w:line="252" w:lineRule="auto"/>
            </w:pPr>
            <w:r>
              <w:rPr>
                <w:b w:val="0"/>
                <w:sz w:val="20"/>
              </w:rPr>
              <w:t>Preguntas de aclaración; no clasificación automática de soborno</w:t>
            </w:r>
          </w:p>
        </w:tc>
      </w:tr>
      <w:tr>
        <w:trPr>
          <w:cantSplit/>
        </w:trPr>
        <w:tc>
          <w:tcPr>
            <w:tcW w:type="dxa" w:w="3600"/>
            <w:vAlign w:val="center"/>
            <w:tcMar>
              <w:top w:w="95" w:type="dxa"/>
              <w:bottom w:w="95" w:type="dxa"/>
              <w:left w:w="110" w:type="dxa"/>
              <w:right w:w="110" w:type="dxa"/>
            </w:tcMar>
            <w:shd w:fill="F2F4F6"/>
          </w:tcPr>
          <w:p>
            <w:pPr>
              <w:spacing w:after="0" w:line="252" w:lineRule="auto"/>
            </w:pPr>
            <w:r>
              <w:rPr>
                <w:b w:val="0"/>
                <w:sz w:val="20"/>
              </w:rPr>
              <w:t>Dinero a cambio de cien</w:t>
            </w:r>
          </w:p>
        </w:tc>
        <w:tc>
          <w:tcPr>
            <w:tcW w:type="dxa" w:w="6192"/>
            <w:vAlign w:val="center"/>
            <w:tcMar>
              <w:top w:w="95" w:type="dxa"/>
              <w:bottom w:w="95" w:type="dxa"/>
              <w:left w:w="110" w:type="dxa"/>
              <w:right w:w="110" w:type="dxa"/>
            </w:tcMar>
            <w:shd w:fill="F2F4F6"/>
          </w:tcPr>
          <w:p>
            <w:pPr>
              <w:spacing w:after="0" w:line="252" w:lineRule="auto"/>
            </w:pPr>
            <w:r>
              <w:rPr>
                <w:b w:val="0"/>
                <w:sz w:val="20"/>
              </w:rPr>
              <w:t>Posible intercambio indebido; vías UDG y valoración legal justificadas</w:t>
            </w:r>
          </w:p>
        </w:tc>
      </w:tr>
      <w:tr>
        <w:trPr>
          <w:cantSplit/>
        </w:trPr>
        <w:tc>
          <w:tcPr>
            <w:tcW w:type="dxa" w:w="3600"/>
            <w:vAlign w:val="center"/>
            <w:tcMar>
              <w:top w:w="95" w:type="dxa"/>
              <w:bottom w:w="95" w:type="dxa"/>
              <w:left w:w="110" w:type="dxa"/>
              <w:right w:w="110" w:type="dxa"/>
            </w:tcMar>
            <w:shd w:fill="FFFFFF"/>
          </w:tcPr>
          <w:p>
            <w:pPr>
              <w:spacing w:after="0" w:line="252" w:lineRule="auto"/>
            </w:pPr>
            <w:r>
              <w:rPr>
                <w:b w:val="0"/>
                <w:sz w:val="20"/>
              </w:rPr>
              <w:t>Regalo ofrecido y rechazado</w:t>
            </w:r>
          </w:p>
        </w:tc>
        <w:tc>
          <w:tcPr>
            <w:tcW w:type="dxa" w:w="6192"/>
            <w:vAlign w:val="center"/>
            <w:tcMar>
              <w:top w:w="95" w:type="dxa"/>
              <w:bottom w:w="95" w:type="dxa"/>
              <w:left w:w="110" w:type="dxa"/>
              <w:right w:w="110" w:type="dxa"/>
            </w:tcMar>
            <w:shd w:fill="FFFFFF"/>
          </w:tcPr>
          <w:p>
            <w:pPr>
              <w:spacing w:after="0" w:line="252" w:lineRule="auto"/>
            </w:pPr>
            <w:r>
              <w:rPr>
                <w:b w:val="0"/>
                <w:sz w:val="20"/>
              </w:rPr>
              <w:t>Distinguir ofrecimiento de recepción; no acusar al receptor de aceptar</w:t>
            </w:r>
          </w:p>
        </w:tc>
      </w:tr>
      <w:tr>
        <w:trPr>
          <w:cantSplit/>
        </w:trPr>
        <w:tc>
          <w:tcPr>
            <w:tcW w:type="dxa" w:w="3600"/>
            <w:vAlign w:val="center"/>
            <w:tcMar>
              <w:top w:w="95" w:type="dxa"/>
              <w:bottom w:w="95" w:type="dxa"/>
              <w:left w:w="110" w:type="dxa"/>
              <w:right w:w="110" w:type="dxa"/>
            </w:tcMar>
            <w:shd w:fill="F2F4F6"/>
          </w:tcPr>
          <w:p>
            <w:pPr>
              <w:spacing w:after="0" w:line="252" w:lineRule="auto"/>
            </w:pPr>
            <w:r>
              <w:rPr>
                <w:b w:val="0"/>
                <w:sz w:val="20"/>
              </w:rPr>
              <w:t>Cercanía personal sin contraprestación</w:t>
            </w:r>
          </w:p>
        </w:tc>
        <w:tc>
          <w:tcPr>
            <w:tcW w:type="dxa" w:w="6192"/>
            <w:vAlign w:val="center"/>
            <w:tcMar>
              <w:top w:w="95" w:type="dxa"/>
              <w:bottom w:w="95" w:type="dxa"/>
              <w:left w:w="110" w:type="dxa"/>
              <w:right w:w="110" w:type="dxa"/>
            </w:tcMar>
            <w:shd w:fill="F2F4F6"/>
          </w:tcPr>
          <w:p>
            <w:pPr>
              <w:spacing w:after="0" w:line="252" w:lineRule="auto"/>
            </w:pPr>
            <w:r>
              <w:rPr>
                <w:b w:val="0"/>
                <w:sz w:val="20"/>
              </w:rPr>
              <w:t>Mantener hipótesis de trato preferencial; no inventar pago</w:t>
            </w:r>
          </w:p>
        </w:tc>
      </w:tr>
      <w:tr>
        <w:trPr>
          <w:cantSplit/>
        </w:trPr>
        <w:tc>
          <w:tcPr>
            <w:tcW w:type="dxa" w:w="3600"/>
            <w:vAlign w:val="center"/>
            <w:tcMar>
              <w:top w:w="95" w:type="dxa"/>
              <w:bottom w:w="95" w:type="dxa"/>
              <w:left w:w="110" w:type="dxa"/>
              <w:right w:w="110" w:type="dxa"/>
            </w:tcMar>
            <w:shd w:fill="FFFFFF"/>
          </w:tcPr>
          <w:p>
            <w:pPr>
              <w:spacing w:after="0" w:line="252" w:lineRule="auto"/>
            </w:pPr>
            <w:r>
              <w:rPr>
                <w:b w:val="0"/>
                <w:sz w:val="20"/>
              </w:rPr>
              <w:t>Amenaza después de reportar</w:t>
            </w:r>
          </w:p>
        </w:tc>
        <w:tc>
          <w:tcPr>
            <w:tcW w:type="dxa" w:w="6192"/>
            <w:vAlign w:val="center"/>
            <w:tcMar>
              <w:top w:w="95" w:type="dxa"/>
              <w:bottom w:w="95" w:type="dxa"/>
              <w:left w:w="110" w:type="dxa"/>
              <w:right w:w="110" w:type="dxa"/>
            </w:tcMar>
            <w:shd w:fill="FFFFFF"/>
          </w:tcPr>
          <w:p>
            <w:pPr>
              <w:spacing w:after="0" w:line="252" w:lineRule="auto"/>
            </w:pPr>
            <w:r>
              <w:rPr>
                <w:b w:val="0"/>
                <w:sz w:val="20"/>
              </w:rPr>
              <w:t>Aumentar prioridad de protección y conservar hechos anteriores</w:t>
            </w:r>
          </w:p>
        </w:tc>
      </w:tr>
      <w:tr>
        <w:trPr>
          <w:cantSplit/>
        </w:trPr>
        <w:tc>
          <w:tcPr>
            <w:tcW w:type="dxa" w:w="3600"/>
            <w:vAlign w:val="center"/>
            <w:tcMar>
              <w:top w:w="95" w:type="dxa"/>
              <w:bottom w:w="95" w:type="dxa"/>
              <w:left w:w="110" w:type="dxa"/>
              <w:right w:w="110" w:type="dxa"/>
            </w:tcMar>
            <w:shd w:fill="F2F4F6"/>
          </w:tcPr>
          <w:p>
            <w:pPr>
              <w:spacing w:after="0" w:line="252" w:lineRule="auto"/>
            </w:pPr>
            <w:r>
              <w:rPr>
                <w:b w:val="0"/>
                <w:sz w:val="20"/>
              </w:rPr>
              <w:t>Calificación recién publicada</w:t>
            </w:r>
          </w:p>
        </w:tc>
        <w:tc>
          <w:tcPr>
            <w:tcW w:type="dxa" w:w="6192"/>
            <w:vAlign w:val="center"/>
            <w:tcMar>
              <w:top w:w="95" w:type="dxa"/>
              <w:bottom w:w="95" w:type="dxa"/>
              <w:left w:w="110" w:type="dxa"/>
              <w:right w:w="110" w:type="dxa"/>
            </w:tcMar>
            <w:shd w:fill="F2F4F6"/>
          </w:tcPr>
          <w:p>
            <w:pPr>
              <w:spacing w:after="0" w:line="252" w:lineRule="auto"/>
            </w:pPr>
            <w:r>
              <w:rPr>
                <w:b w:val="0"/>
                <w:sz w:val="20"/>
              </w:rPr>
              <w:t>Informar regla de tres días hábiles y departamento competente</w:t>
            </w:r>
          </w:p>
        </w:tc>
      </w:tr>
      <w:tr>
        <w:trPr>
          <w:cantSplit/>
        </w:trPr>
        <w:tc>
          <w:tcPr>
            <w:tcW w:type="dxa" w:w="3600"/>
            <w:vAlign w:val="center"/>
            <w:tcMar>
              <w:top w:w="95" w:type="dxa"/>
              <w:bottom w:w="95" w:type="dxa"/>
              <w:left w:w="110" w:type="dxa"/>
              <w:right w:w="110" w:type="dxa"/>
            </w:tcMar>
            <w:shd w:fill="FFFFFF"/>
          </w:tcPr>
          <w:p>
            <w:pPr>
              <w:spacing w:after="0" w:line="252" w:lineRule="auto"/>
            </w:pPr>
            <w:r>
              <w:rPr>
                <w:b w:val="0"/>
                <w:sz w:val="20"/>
              </w:rPr>
              <w:t>Comentario de varias generaciones</w:t>
            </w:r>
          </w:p>
        </w:tc>
        <w:tc>
          <w:tcPr>
            <w:tcW w:type="dxa" w:w="6192"/>
            <w:vAlign w:val="center"/>
            <w:tcMar>
              <w:top w:w="95" w:type="dxa"/>
              <w:bottom w:w="95" w:type="dxa"/>
              <w:left w:w="110" w:type="dxa"/>
              <w:right w:w="110" w:type="dxa"/>
            </w:tcMar>
            <w:shd w:fill="FFFFFF"/>
          </w:tcPr>
          <w:p>
            <w:pPr>
              <w:spacing w:after="0" w:line="252" w:lineRule="auto"/>
            </w:pPr>
            <w:r>
              <w:rPr>
                <w:b w:val="0"/>
                <w:sz w:val="20"/>
              </w:rPr>
              <w:t>Mantener carácter indirecto; no sumar menciones como casos probados</w:t>
            </w:r>
          </w:p>
        </w:tc>
      </w:tr>
      <w:tr>
        <w:trPr>
          <w:cantSplit/>
        </w:trPr>
        <w:tc>
          <w:tcPr>
            <w:tcW w:type="dxa" w:w="3600"/>
            <w:vAlign w:val="center"/>
            <w:tcMar>
              <w:top w:w="95" w:type="dxa"/>
              <w:bottom w:w="95" w:type="dxa"/>
              <w:left w:w="110" w:type="dxa"/>
              <w:right w:w="110" w:type="dxa"/>
            </w:tcMar>
            <w:shd w:fill="F2F4F6"/>
          </w:tcPr>
          <w:p>
            <w:pPr>
              <w:spacing w:after="0" w:line="252" w:lineRule="auto"/>
            </w:pPr>
            <w:r>
              <w:rPr>
                <w:b w:val="0"/>
                <w:sz w:val="20"/>
              </w:rPr>
              <w:t>Directorios contradictorios</w:t>
            </w:r>
          </w:p>
        </w:tc>
        <w:tc>
          <w:tcPr>
            <w:tcW w:type="dxa" w:w="6192"/>
            <w:vAlign w:val="center"/>
            <w:tcMar>
              <w:top w:w="95" w:type="dxa"/>
              <w:bottom w:w="95" w:type="dxa"/>
              <w:left w:w="110" w:type="dxa"/>
              <w:right w:w="110" w:type="dxa"/>
            </w:tcMar>
            <w:shd w:fill="F2F4F6"/>
          </w:tcPr>
          <w:p>
            <w:pPr>
              <w:spacing w:after="0" w:line="252" w:lineRule="auto"/>
            </w:pPr>
            <w:r>
              <w:rPr>
                <w:b w:val="0"/>
                <w:sz w:val="20"/>
              </w:rPr>
              <w:t>Advertir discrepancia y mostrar fuente, sin resolverla por invención</w:t>
            </w:r>
          </w:p>
        </w:tc>
      </w:tr>
    </w:tbl>
    <w:p>
      <w:pPr>
        <w:spacing w:after="40" w:before="0" w:line="240" w:lineRule="auto"/>
      </w:pPr>
      <w:r>
        <w:rPr>
          <w:sz w:val="4"/>
        </w:rPr>
      </w:r>
    </w:p>
    <w:p>
      <w:pPr>
        <w:jc w:val="both"/>
      </w:pPr>
      <w:r>
        <w:t>La aceptación de una prueba requiere revisar contenido, fuente y alcance, además de la ejecución técnica. Un programa puede devolver una coordenada sin errores y aun orientar incorrectamente. La validación académica debe incluir que ninguna respuesta obligue a agotar la vía universitaria antes de una valoración penal, ni convierta la intención de denunciar en señal de máxima gravedad.</w:t>
      </w:r>
    </w:p>
    <w:p>
      <w:pPr>
        <w:pStyle w:val="Heading2"/>
      </w:pPr>
      <w:r>
        <w:t>12.5 Organización individual y compatibilidad del equipo</w:t>
      </w:r>
    </w:p>
    <w:p>
      <w:pPr>
        <w:jc w:val="both"/>
      </w:pPr>
      <w:r>
        <w:t>Para el tema de soborno, el entregable individual puede incluir esta investigación, fichas de fuentes, reglas de orientación, casos ficticios y evidencia de pruebas. El equipo debe acordar campos comunes de entrada y salida, tratamiento de incertidumbre y forma de citar, para integrar después los temas. La responsabilidad de investigación individual puede coexistir con arquitectura y criterios compartidos.</w:t>
      </w:r>
    </w:p>
    <w:p>
      <w:pPr>
        <w:jc w:val="both"/>
      </w:pPr>
      <w:r>
        <w:t>El Scrum master puede revisar que cada módulo tenga fuentes, decisiones justificadas, funcionamiento demostrable y compatibilidad con el resto. Esta es una propuesta de gestión para el proyecto, no una afirmación sobre requisitos adicionales del profesor. La documentación debe permitir distinguir lo desarrollado, lo investigado y lo aún sujeto a validación institucional antes de un uso real.</w:t>
      </w:r>
    </w:p>
    <w:p>
      <w:pPr>
        <w:pStyle w:val="Heading1"/>
      </w:pPr>
      <w:r>
        <w:t>13 Conclusiones</w:t>
      </w:r>
    </w:p>
    <w:p>
      <w:pPr>
        <w:jc w:val="both"/>
      </w:pPr>
      <w:r>
        <w:t>El análisis del soborno académico requiere identificar el intercambio indebido y su relación con una decisión universitaria. Las aportaciones, regalos y relaciones personales no deben tratarse de manera indiferenciada. La normativa universitaria ofrece bases expresas para investigar ventajas académicas obtenidas u otorgadas mediante beneficios, mientras que la legislación administrativa y penal puede resultar pertinente según los hechos y la condición de las personas.</w:t>
      </w:r>
    </w:p>
    <w:p>
      <w:pPr>
        <w:jc w:val="both"/>
      </w:pPr>
      <w:r>
        <w:t>La orientación adecuada combina bienestar, continuidad académica, recepción de hechos y valoración jurídica. Una posible conducta delictiva puede examinarse fuera de la universidad desde el inicio; esa vía no sustituye la revisión de una calificación ni la protección dentro del campus. La urgencia, la relevancia y el respaldo documental deben permanecer separados para evitar decisiones automáticas excesivas o insuficientes.</w:t>
      </w:r>
    </w:p>
    <w:p>
      <w:pPr>
        <w:jc w:val="both"/>
      </w:pPr>
      <w:r>
        <w:t>La normalización y el miedo a represalias, identificados por el autor, justifican explicar con claridad cómo pedir ayuda y qué puede esperarse de cada instancia. No permiten medir prevalencia ni atribuir responsabilidades concretas. El documento conserva esos antecedentes de manera anónima y diferencia los escenarios ficticios de las fuentes institucionales verificadas.</w:t>
      </w:r>
    </w:p>
    <w:p>
      <w:pPr>
        <w:jc w:val="both"/>
      </w:pPr>
      <w:r>
        <w:t>La búsqueda permitió localizar recursos y procedimientos, así como diferencias entre directorios y límites de los indicadores públicos. La crítica sustentada se concentra en claridad, consistencia y trazabilidad de la información. La eficacia real de los servicios requiere evidencia adicional de atención y resultados. Para el prototipo, esto se traduce en respuestas con fuentes, límites explícitos y posibilidad de canalización simultánea, en lugar de una decisión única que pretenda resolver todo el caso.</w:t>
      </w:r>
    </w:p>
    <w:p>
      <w:r>
        <w:br w:type="page"/>
      </w:r>
    </w:p>
    <w:p>
      <w:pPr>
        <w:pStyle w:val="Heading1"/>
      </w:pPr>
      <w:r>
        <w:t>14 Anexos para registro y consulta</w:t>
      </w:r>
    </w:p>
    <w:p>
      <w:pPr>
        <w:pStyle w:val="Heading2"/>
      </w:pPr>
      <w:r>
        <w:t>14.1 Ficha mínima de orientación</w:t>
      </w:r>
    </w:p>
    <w:p>
      <w:pPr>
        <w:jc w:val="both"/>
      </w:pPr>
      <w:r>
        <w:t>Esta ficha es una propuesta académica y no sustituye formatos oficiales. Debe usarse con información ficticia en la demostración del prototipo.</w:t>
      </w:r>
    </w:p>
    <w:p>
      <w:pPr>
        <w:spacing w:after="80"/>
        <w:ind w:left="259" w:hanging="259"/>
        <w:jc w:val="both"/>
      </w:pPr>
      <w:r>
        <w:t>1. Identificador interno y fecha de orientación. No denominarlo folio institucional.</w:t>
      </w:r>
    </w:p>
    <w:p>
      <w:pPr>
        <w:spacing w:after="80"/>
        <w:ind w:left="259" w:hanging="259"/>
        <w:jc w:val="both"/>
      </w:pPr>
      <w:r>
        <w:t>2. Tema y narración breve en palabras de la persona.</w:t>
      </w:r>
    </w:p>
    <w:p>
      <w:pPr>
        <w:spacing w:after="80"/>
        <w:ind w:left="259" w:hanging="259"/>
        <w:jc w:val="both"/>
      </w:pPr>
      <w:r>
        <w:t>3. Procedencia del relato: experiencia directa, testimonio de tercero o comentario indirecto.</w:t>
      </w:r>
    </w:p>
    <w:p>
      <w:pPr>
        <w:spacing w:after="80"/>
        <w:ind w:left="259" w:hanging="259"/>
        <w:jc w:val="both"/>
      </w:pPr>
      <w:r>
        <w:t>4. Fecha, materia y contexto; indicar qué datos son aproximados o desconocidos.</w:t>
      </w:r>
    </w:p>
    <w:p>
      <w:pPr>
        <w:spacing w:after="80"/>
        <w:ind w:left="259" w:hanging="259"/>
        <w:jc w:val="both"/>
      </w:pPr>
      <w:r>
        <w:t>5. Beneficio solicitado u ofrecido y ventaja académica mencionada.</w:t>
      </w:r>
    </w:p>
    <w:p>
      <w:pPr>
        <w:spacing w:after="80"/>
        <w:ind w:left="259" w:hanging="259"/>
        <w:jc w:val="both"/>
      </w:pPr>
      <w:r>
        <w:t>6. Existencia de presión, amenaza, consecuencia o plazo próximo.</w:t>
      </w:r>
    </w:p>
    <w:p>
      <w:pPr>
        <w:spacing w:after="80"/>
        <w:ind w:left="259" w:hanging="259"/>
        <w:jc w:val="both"/>
      </w:pPr>
      <w:r>
        <w:t>7. Información disponible y ubicación privada de originales, sin adjuntarlos automáticamente.</w:t>
      </w:r>
    </w:p>
    <w:p>
      <w:pPr>
        <w:spacing w:after="80"/>
        <w:ind w:left="259" w:hanging="259"/>
        <w:jc w:val="both"/>
      </w:pPr>
      <w:r>
        <w:t>8. Necesidad de bienestar, orientación académica o protección.</w:t>
      </w:r>
    </w:p>
    <w:p>
      <w:pPr>
        <w:spacing w:after="80"/>
        <w:ind w:left="259" w:hanging="259"/>
        <w:jc w:val="both"/>
      </w:pPr>
      <w:r>
        <w:t>9. Rutas explicadas, fundamento y preferencias de la persona.</w:t>
      </w:r>
    </w:p>
    <w:p>
      <w:pPr>
        <w:spacing w:after="80"/>
        <w:ind w:left="259" w:hanging="259"/>
        <w:jc w:val="both"/>
      </w:pPr>
      <w:r>
        <w:t>10. Actuación realmente realizada, constancia recibida y siguiente fecha relevante.</w:t>
      </w:r>
    </w:p>
    <w:p>
      <w:pPr>
        <w:pStyle w:val="Heading2"/>
      </w:pPr>
      <w:r>
        <w:t>14.2 Preguntas útiles ante una oficina</w:t>
      </w:r>
    </w:p>
    <w:p>
      <w:pPr>
        <w:pStyle w:val="ListBullet"/>
      </w:pPr>
      <w:r>
        <w:t>¿Esta atención es orientación o recepción formal de una denuncia?</w:t>
      </w:r>
    </w:p>
    <w:p>
      <w:pPr>
        <w:pStyle w:val="ListBullet"/>
      </w:pPr>
      <w:r>
        <w:t>¿Qué autoridad es competente y qué canal está habilitado para presentar documentos?</w:t>
      </w:r>
    </w:p>
    <w:p>
      <w:pPr>
        <w:pStyle w:val="ListBullet"/>
      </w:pPr>
      <w:r>
        <w:t>¿Qué constancia se entrega y cómo se reciben las notificaciones?</w:t>
      </w:r>
    </w:p>
    <w:p>
      <w:pPr>
        <w:pStyle w:val="ListBullet"/>
      </w:pPr>
      <w:r>
        <w:t>¿Qué información falta y cuál es el plazo exacto para completarla?</w:t>
      </w:r>
    </w:p>
    <w:p>
      <w:pPr>
        <w:pStyle w:val="ListBullet"/>
      </w:pPr>
      <w:r>
        <w:t>¿Cómo se solicita confidencialidad y quién tendrá acceso a los datos?</w:t>
      </w:r>
    </w:p>
    <w:p>
      <w:pPr>
        <w:pStyle w:val="ListBullet"/>
      </w:pPr>
      <w:r>
        <w:t>¿Qué medidas pueden valorarse frente al riesgo narrado y quién vigila su cumplimiento?</w:t>
      </w:r>
    </w:p>
    <w:p>
      <w:pPr>
        <w:pStyle w:val="ListBullet"/>
      </w:pPr>
      <w:r>
        <w:t>¿La revisión de mi calificación requiere un escrito separado y ante qué departamento?</w:t>
      </w:r>
    </w:p>
    <w:p>
      <w:pPr>
        <w:pStyle w:val="ListBullet"/>
      </w:pPr>
      <w:r>
        <w:t>¿Cómo puedo obtener copia de una determinación y asesoría sobre los medios de defensa?</w:t>
      </w:r>
    </w:p>
    <w:p>
      <w:pPr>
        <w:pStyle w:val="Heading2"/>
      </w:pPr>
      <w:r>
        <w:t>14.3 Plazos normativos que no deben confundirse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3888"/>
      </w:tblGrid>
      <w:tr>
        <w:trPr>
          <w:cantSplit/>
          <w:tblHeader w:val="true"/>
        </w:trPr>
        <w:tc>
          <w:tcPr>
            <w:tcW w:type="dxa" w:w="2232"/>
            <w:vAlign w:val="center"/>
            <w:tcMar>
              <w:top w:w="95" w:type="dxa"/>
              <w:bottom w:w="95" w:type="dxa"/>
              <w:left w:w="110" w:type="dxa"/>
              <w:right w:w="110" w:type="dxa"/>
            </w:tcMar>
            <w:shd w:fill="3C4650"/>
          </w:tcPr>
          <w:p>
            <w:pPr>
              <w:spacing w:after="0" w:line="252" w:lineRule="auto"/>
            </w:pPr>
            <w:r>
              <w:rPr>
                <w:b/>
                <w:color w:val="FFFFFF"/>
                <w:sz w:val="20"/>
              </w:rPr>
              <w:t>Actuación</w:t>
            </w:r>
          </w:p>
        </w:tc>
        <w:tc>
          <w:tcPr>
            <w:tcW w:type="dxa" w:w="3672"/>
            <w:vAlign w:val="center"/>
            <w:tcMar>
              <w:top w:w="95" w:type="dxa"/>
              <w:bottom w:w="95" w:type="dxa"/>
              <w:left w:w="110" w:type="dxa"/>
              <w:right w:w="110" w:type="dxa"/>
            </w:tcMar>
            <w:shd w:fill="3C4650"/>
          </w:tcPr>
          <w:p>
            <w:pPr>
              <w:spacing w:after="0" w:line="252" w:lineRule="auto"/>
            </w:pPr>
            <w:r>
              <w:rPr>
                <w:b/>
                <w:color w:val="FFFFFF"/>
                <w:sz w:val="20"/>
              </w:rPr>
              <w:t>Referencia y plazo publicado</w:t>
            </w:r>
          </w:p>
        </w:tc>
        <w:tc>
          <w:tcPr>
            <w:tcW w:type="dxa" w:w="3888"/>
            <w:vAlign w:val="center"/>
            <w:tcMar>
              <w:top w:w="95" w:type="dxa"/>
              <w:bottom w:w="95" w:type="dxa"/>
              <w:left w:w="110" w:type="dxa"/>
              <w:right w:w="110" w:type="dxa"/>
            </w:tcMar>
            <w:shd w:fill="3C4650"/>
          </w:tcPr>
          <w:p>
            <w:pPr>
              <w:spacing w:after="0" w:line="252" w:lineRule="auto"/>
            </w:pPr>
            <w:r>
              <w:rPr>
                <w:b/>
                <w:color w:val="FFFFFF"/>
                <w:sz w:val="20"/>
              </w:rPr>
              <w:t>Precisión</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Solicitud de revisión de evaluación</w:t>
            </w:r>
          </w:p>
        </w:tc>
        <w:tc>
          <w:tcPr>
            <w:tcW w:type="dxa" w:w="3672"/>
            <w:vAlign w:val="center"/>
            <w:tcMar>
              <w:top w:w="95" w:type="dxa"/>
              <w:bottom w:w="95" w:type="dxa"/>
              <w:left w:w="110" w:type="dxa"/>
              <w:right w:w="110" w:type="dxa"/>
            </w:tcMar>
            <w:shd w:fill="FFFFFF"/>
          </w:tcPr>
          <w:p>
            <w:pPr>
              <w:spacing w:after="0" w:line="252" w:lineRule="auto"/>
            </w:pPr>
            <w:r>
              <w:rPr>
                <w:b w:val="0"/>
                <w:sz w:val="20"/>
              </w:rPr>
              <w:t>RGEPA, art. 49: tres días hábiles siguientes a publicación o notificación</w:t>
            </w:r>
          </w:p>
        </w:tc>
        <w:tc>
          <w:tcPr>
            <w:tcW w:type="dxa" w:w="3888"/>
            <w:vAlign w:val="center"/>
            <w:tcMar>
              <w:top w:w="95" w:type="dxa"/>
              <w:bottom w:w="95" w:type="dxa"/>
              <w:left w:w="110" w:type="dxa"/>
              <w:right w:w="110" w:type="dxa"/>
            </w:tcMar>
            <w:shd w:fill="FFFFFF"/>
          </w:tcPr>
          <w:p>
            <w:pPr>
              <w:spacing w:after="0" w:line="252" w:lineRule="auto"/>
            </w:pPr>
            <w:r>
              <w:rPr>
                <w:b w:val="0"/>
                <w:sz w:val="20"/>
              </w:rPr>
              <w:t>Procedimiento académico separado</w:t>
            </w:r>
          </w:p>
        </w:tc>
      </w:tr>
      <w:tr>
        <w:trPr>
          <w:cantSplit/>
        </w:trPr>
        <w:tc>
          <w:tcPr>
            <w:tcW w:type="dxa" w:w="2232"/>
            <w:vAlign w:val="center"/>
            <w:tcMar>
              <w:top w:w="95" w:type="dxa"/>
              <w:bottom w:w="95" w:type="dxa"/>
              <w:left w:w="110" w:type="dxa"/>
              <w:right w:w="110" w:type="dxa"/>
            </w:tcMar>
            <w:shd w:fill="F2F4F6"/>
          </w:tcPr>
          <w:p>
            <w:pPr>
              <w:spacing w:after="0" w:line="252" w:lineRule="auto"/>
            </w:pPr>
            <w:r>
              <w:rPr>
                <w:b w:val="0"/>
                <w:sz w:val="20"/>
              </w:rPr>
              <w:t>Aclaración de denuncia universitaria</w:t>
            </w:r>
          </w:p>
        </w:tc>
        <w:tc>
          <w:tcPr>
            <w:tcW w:type="dxa" w:w="3672"/>
            <w:vAlign w:val="center"/>
            <w:tcMar>
              <w:top w:w="95" w:type="dxa"/>
              <w:bottom w:w="95" w:type="dxa"/>
              <w:left w:w="110" w:type="dxa"/>
              <w:right w:w="110" w:type="dxa"/>
            </w:tcMar>
            <w:shd w:fill="F2F4F6"/>
          </w:tcPr>
          <w:p>
            <w:pPr>
              <w:spacing w:after="0" w:line="252" w:lineRule="auto"/>
            </w:pPr>
            <w:r>
              <w:rPr>
                <w:b w:val="0"/>
                <w:sz w:val="20"/>
              </w:rPr>
              <w:t>RRVFNU, art. 55: cinco días hábiles desde el día siguiente a la notificación</w:t>
            </w:r>
          </w:p>
        </w:tc>
        <w:tc>
          <w:tcPr>
            <w:tcW w:type="dxa" w:w="3888"/>
            <w:vAlign w:val="center"/>
            <w:tcMar>
              <w:top w:w="95" w:type="dxa"/>
              <w:bottom w:w="95" w:type="dxa"/>
              <w:left w:w="110" w:type="dxa"/>
              <w:right w:w="110" w:type="dxa"/>
            </w:tcMar>
            <w:shd w:fill="F2F4F6"/>
          </w:tcPr>
          <w:p>
            <w:pPr>
              <w:spacing w:after="0" w:line="252" w:lineRule="auto"/>
            </w:pPr>
            <w:r>
              <w:rPr>
                <w:b w:val="0"/>
                <w:sz w:val="20"/>
              </w:rPr>
              <w:t>No es un plazo para resolver el caso</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Remisión por Primer Contacto</w:t>
            </w:r>
          </w:p>
        </w:tc>
        <w:tc>
          <w:tcPr>
            <w:tcW w:type="dxa" w:w="3672"/>
            <w:vAlign w:val="center"/>
            <w:tcMar>
              <w:top w:w="95" w:type="dxa"/>
              <w:bottom w:w="95" w:type="dxa"/>
              <w:left w:w="110" w:type="dxa"/>
              <w:right w:w="110" w:type="dxa"/>
            </w:tcMar>
            <w:shd w:fill="FFFFFF"/>
          </w:tcPr>
          <w:p>
            <w:pPr>
              <w:spacing w:after="0" w:line="252" w:lineRule="auto"/>
            </w:pPr>
            <w:r>
              <w:rPr>
                <w:b w:val="0"/>
                <w:sz w:val="20"/>
              </w:rPr>
              <w:t>RRVFNU, art. 33, fr. XII: cuatro días hábiles</w:t>
            </w:r>
          </w:p>
        </w:tc>
        <w:tc>
          <w:tcPr>
            <w:tcW w:type="dxa" w:w="3888"/>
            <w:vAlign w:val="center"/>
            <w:tcMar>
              <w:top w:w="95" w:type="dxa"/>
              <w:bottom w:w="95" w:type="dxa"/>
              <w:left w:w="110" w:type="dxa"/>
              <w:right w:w="110" w:type="dxa"/>
            </w:tcMar>
            <w:shd w:fill="FFFFFF"/>
          </w:tcPr>
          <w:p>
            <w:pPr>
              <w:spacing w:after="0" w:line="252" w:lineRule="auto"/>
            </w:pPr>
            <w:r>
              <w:rPr>
                <w:b w:val="0"/>
                <w:sz w:val="20"/>
              </w:rPr>
              <w:t>Dentro del supuesto y funciones que regula el artículo</w:t>
            </w:r>
          </w:p>
        </w:tc>
      </w:tr>
      <w:tr>
        <w:trPr>
          <w:cantSplit/>
        </w:trPr>
        <w:tc>
          <w:tcPr>
            <w:tcW w:type="dxa" w:w="2232"/>
            <w:vAlign w:val="center"/>
            <w:tcMar>
              <w:top w:w="95" w:type="dxa"/>
              <w:bottom w:w="95" w:type="dxa"/>
              <w:left w:w="110" w:type="dxa"/>
              <w:right w:w="110" w:type="dxa"/>
            </w:tcMar>
            <w:shd w:fill="F2F4F6"/>
          </w:tcPr>
          <w:p>
            <w:pPr>
              <w:spacing w:after="0" w:line="252" w:lineRule="auto"/>
            </w:pPr>
            <w:r>
              <w:rPr>
                <w:b w:val="0"/>
                <w:sz w:val="20"/>
              </w:rPr>
              <w:t>Denuncia contra determinadas autoridades receptoras</w:t>
            </w:r>
          </w:p>
        </w:tc>
        <w:tc>
          <w:tcPr>
            <w:tcW w:type="dxa" w:w="3672"/>
            <w:vAlign w:val="center"/>
            <w:tcMar>
              <w:top w:w="95" w:type="dxa"/>
              <w:bottom w:w="95" w:type="dxa"/>
              <w:left w:w="110" w:type="dxa"/>
              <w:right w:w="110" w:type="dxa"/>
            </w:tcMar>
            <w:shd w:fill="F2F4F6"/>
          </w:tcPr>
          <w:p>
            <w:pPr>
              <w:spacing w:after="0" w:line="252" w:lineRule="auto"/>
            </w:pPr>
            <w:r>
              <w:rPr>
                <w:b w:val="0"/>
                <w:sz w:val="20"/>
              </w:rPr>
              <w:t>RRVFNU, art. 54: convocatoria dentro de 48 horas</w:t>
            </w:r>
          </w:p>
        </w:tc>
        <w:tc>
          <w:tcPr>
            <w:tcW w:type="dxa" w:w="3888"/>
            <w:vAlign w:val="center"/>
            <w:tcMar>
              <w:top w:w="95" w:type="dxa"/>
              <w:bottom w:w="95" w:type="dxa"/>
              <w:left w:w="110" w:type="dxa"/>
              <w:right w:w="110" w:type="dxa"/>
            </w:tcMar>
            <w:shd w:fill="F2F4F6"/>
          </w:tcPr>
          <w:p>
            <w:pPr>
              <w:spacing w:after="0" w:line="252" w:lineRule="auto"/>
            </w:pPr>
            <w:r>
              <w:rPr>
                <w:b w:val="0"/>
                <w:sz w:val="20"/>
              </w:rPr>
              <w:t>No equivale a resolución en 48 horas</w:t>
            </w:r>
          </w:p>
        </w:tc>
      </w:tr>
      <w:tr>
        <w:trPr>
          <w:cantSplit/>
        </w:trPr>
        <w:tc>
          <w:tcPr>
            <w:tcW w:type="dxa" w:w="2232"/>
            <w:vAlign w:val="center"/>
            <w:tcMar>
              <w:top w:w="95" w:type="dxa"/>
              <w:bottom w:w="95" w:type="dxa"/>
              <w:left w:w="110" w:type="dxa"/>
              <w:right w:w="110" w:type="dxa"/>
            </w:tcMar>
            <w:shd w:fill="FFFFFF"/>
          </w:tcPr>
          <w:p>
            <w:pPr>
              <w:spacing w:after="0" w:line="252" w:lineRule="auto"/>
            </w:pPr>
            <w:r>
              <w:rPr>
                <w:b w:val="0"/>
                <w:sz w:val="20"/>
              </w:rPr>
              <w:t>Medida provisional de titular</w:t>
            </w:r>
          </w:p>
        </w:tc>
        <w:tc>
          <w:tcPr>
            <w:tcW w:type="dxa" w:w="3672"/>
            <w:vAlign w:val="center"/>
            <w:tcMar>
              <w:top w:w="95" w:type="dxa"/>
              <w:bottom w:w="95" w:type="dxa"/>
              <w:left w:w="110" w:type="dxa"/>
              <w:right w:w="110" w:type="dxa"/>
            </w:tcMar>
            <w:shd w:fill="FFFFFF"/>
          </w:tcPr>
          <w:p>
            <w:pPr>
              <w:spacing w:after="0" w:line="252" w:lineRule="auto"/>
            </w:pPr>
            <w:r>
              <w:rPr>
                <w:b w:val="0"/>
                <w:sz w:val="20"/>
              </w:rPr>
              <w:t>RRVFNU, art. 39: hasta cinco días naturales bajo sus condiciones</w:t>
            </w:r>
          </w:p>
        </w:tc>
        <w:tc>
          <w:tcPr>
            <w:tcW w:type="dxa" w:w="3888"/>
            <w:vAlign w:val="center"/>
            <w:tcMar>
              <w:top w:w="95" w:type="dxa"/>
              <w:bottom w:w="95" w:type="dxa"/>
              <w:left w:w="110" w:type="dxa"/>
              <w:right w:w="110" w:type="dxa"/>
            </w:tcMar>
            <w:shd w:fill="FFFFFF"/>
          </w:tcPr>
          <w:p>
            <w:pPr>
              <w:spacing w:after="0" w:line="252" w:lineRule="auto"/>
            </w:pPr>
            <w:r>
              <w:rPr>
                <w:b w:val="0"/>
                <w:sz w:val="20"/>
              </w:rPr>
              <w:t>Debe comunicarse a la instancia competente</w:t>
            </w:r>
          </w:p>
        </w:tc>
      </w:tr>
      <w:tr>
        <w:trPr>
          <w:cantSplit/>
        </w:trPr>
        <w:tc>
          <w:tcPr>
            <w:tcW w:type="dxa" w:w="2232"/>
            <w:vAlign w:val="center"/>
            <w:tcMar>
              <w:top w:w="95" w:type="dxa"/>
              <w:bottom w:w="95" w:type="dxa"/>
              <w:left w:w="110" w:type="dxa"/>
              <w:right w:w="110" w:type="dxa"/>
            </w:tcMar>
            <w:shd w:fill="F2F4F6"/>
          </w:tcPr>
          <w:p>
            <w:pPr>
              <w:spacing w:after="0" w:line="252" w:lineRule="auto"/>
            </w:pPr>
            <w:r>
              <w:rPr>
                <w:b w:val="0"/>
                <w:sz w:val="20"/>
              </w:rPr>
              <w:t>Aviso de posible delito a Abogacía General</w:t>
            </w:r>
          </w:p>
        </w:tc>
        <w:tc>
          <w:tcPr>
            <w:tcW w:type="dxa" w:w="3672"/>
            <w:vAlign w:val="center"/>
            <w:tcMar>
              <w:top w:w="95" w:type="dxa"/>
              <w:bottom w:w="95" w:type="dxa"/>
              <w:left w:w="110" w:type="dxa"/>
              <w:right w:w="110" w:type="dxa"/>
            </w:tcMar>
            <w:shd w:fill="F2F4F6"/>
          </w:tcPr>
          <w:p>
            <w:pPr>
              <w:spacing w:after="0" w:line="252" w:lineRule="auto"/>
            </w:pPr>
            <w:r>
              <w:rPr>
                <w:b w:val="0"/>
                <w:sz w:val="20"/>
              </w:rPr>
              <w:t>RRVFNU, art. 60: copia dentro de cinco días hábiles desde conocimiento</w:t>
            </w:r>
          </w:p>
        </w:tc>
        <w:tc>
          <w:tcPr>
            <w:tcW w:type="dxa" w:w="3888"/>
            <w:vAlign w:val="center"/>
            <w:tcMar>
              <w:top w:w="95" w:type="dxa"/>
              <w:bottom w:w="95" w:type="dxa"/>
              <w:left w:w="110" w:type="dxa"/>
              <w:right w:w="110" w:type="dxa"/>
            </w:tcMar>
            <w:shd w:fill="F2F4F6"/>
          </w:tcPr>
          <w:p>
            <w:pPr>
              <w:spacing w:after="0" w:line="252" w:lineRule="auto"/>
            </w:pPr>
            <w:r>
              <w:rPr>
                <w:b w:val="0"/>
                <w:sz w:val="20"/>
              </w:rPr>
              <w:t>Obligación interna; no impide acudir directamente al MP</w:t>
            </w:r>
          </w:p>
        </w:tc>
      </w:tr>
    </w:tbl>
    <w:p>
      <w:pPr>
        <w:spacing w:after="40" w:before="0" w:line="240" w:lineRule="auto"/>
      </w:pPr>
      <w:r>
        <w:rPr>
          <w:sz w:val="4"/>
        </w:rPr>
      </w:r>
    </w:p>
    <w:p>
      <w:pPr>
        <w:jc w:val="both"/>
      </w:pPr>
      <w:r>
        <w:t>Los días hábiles requieren identificar calendario y fecha inicial aplicables. La ratificación del artículo 56 tiene reglas propias y no se resume como cinco días desde cualquier notificación. Las actuaciones deben confirmarse con la autoridad y la versión normativa pertinente.</w:t>
      </w:r>
    </w:p>
    <w:p>
      <w:pPr>
        <w:pStyle w:val="Heading2"/>
      </w:pPr>
      <w:r>
        <w:t>14.4 Registro abreviado de la búsqueda</w:t>
      </w:r>
    </w:p>
    <w:p>
      <w:pPr>
        <w:jc w:val="both"/>
      </w:pPr>
      <w:r>
        <w:t>Las consultas se realizaron con variantes de los siguientes grupos, además de navegación directa a páginas oficiales. La lista describe la cobertura temática; no constituye un experimento de usabilidad ni un registro de todos los resultados devueltos por el buscador.</w:t>
      </w:r>
    </w:p>
    <w:p>
      <w:pPr>
        <w:pStyle w:val="ListBullet"/>
      </w:pPr>
      <w:r>
        <w:t>Conducta: soborno académico UDG, dinero por calificaciones, ventajas académicas, cohecho Jalisco y regalos por acreditación.</w:t>
      </w:r>
    </w:p>
    <w:p>
      <w:pPr>
        <w:pStyle w:val="ListBullet"/>
      </w:pPr>
      <w:r>
        <w:t>Procedimiento: responsabilidades normatividad universitaria, denuncia formulario CUTonalá, medidas cautelares, confidencialidad y revisión de evaluación.</w:t>
      </w:r>
    </w:p>
    <w:p>
      <w:pPr>
        <w:pStyle w:val="ListBullet"/>
      </w:pPr>
      <w:r>
        <w:t>Servicios: Primer Contacto CUTonalá, directorio Secretaría Académica, coordinación Ciencias Computacionales, Defensoría y orientación psicológica.</w:t>
      </w:r>
    </w:p>
    <w:p>
      <w:pPr>
        <w:pStyle w:val="ListBullet"/>
      </w:pPr>
      <w:r>
        <w:t>Normativa externa: Código Penal Jalisco artículo 147, Constitución artículo 92, LGRA artículos 52 y 66 y denuncia CNPP.</w:t>
      </w:r>
    </w:p>
    <w:p>
      <w:pPr>
        <w:pStyle w:val="ListBullet"/>
      </w:pPr>
      <w:r>
        <w:t>Evidencia: informes CUTonalá 2024 y 2025, procesos de responsabilidades y comunicados de Fiscalía sobre cohecho y sector educativo.</w:t>
      </w:r>
    </w:p>
    <w:p>
      <w:pPr>
        <w:pStyle w:val="ListBullet"/>
      </w:pPr>
      <w:r>
        <w:t>Apoyo externo: Fiscalía Anticorrupción denuncia anónima, ubicación y contacto; Procuraduría Social asesoría jurídica gratuita.</w:t>
      </w:r>
    </w:p>
    <w:p>
      <w:pPr>
        <w:jc w:val="both"/>
      </w:pPr>
      <w:r>
        <w:t>El contraste final incluyó textos normativos completos en los artículos pertinentes, páginas de servicio, directorios y apartados específicos de informes. No se investigaron nombres de docentes asociados a rumores ni se usaron redes sociales como comprobación de culpabilidad.</w:t>
      </w:r>
    </w:p>
    <w:p>
      <w:r>
        <w:br w:type="page"/>
      </w:r>
    </w:p>
    <w:p>
      <w:pPr>
        <w:pStyle w:val="Heading1"/>
      </w:pPr>
      <w:r>
        <w:t>15 Fuentes y referencias</w:t>
      </w:r>
    </w:p>
    <w:p>
      <w:pPr>
        <w:jc w:val="both"/>
      </w:pPr>
      <w:r>
        <w:t xml:space="preserve">Las referencias </w:t>
      </w:r>
      <w:hyperlink w:anchor="S01">
        <w:r>
          <w:rPr>
            <w:color w:val="24506B"/>
            <w:u w:val="single"/>
          </w:rPr>
          <w:t>S01</w:t>
        </w:r>
      </w:hyperlink>
      <w:r>
        <w:t>–</w:t>
      </w:r>
      <w:hyperlink w:anchor="S23">
        <w:r>
          <w:rPr>
            <w:color w:val="24506B"/>
            <w:u w:val="single"/>
          </w:rPr>
          <w:t>S23</w:t>
        </w:r>
      </w:hyperlink>
      <w:r>
        <w:t xml:space="preserve"> identifican las fuentes citadas en el texto. Todos los recursos se consultaron el 8 de octubre de 2026 o se cotejaron en la revisión que culminó en esa fecha. Cuando no se identifica una fecha editorial, se indica sin fecha. Las versiones de reglamentos corresponden a los documentos oficiales localizados, no a una certificación de vigencia emitida por la autoridad.</w:t>
      </w:r>
    </w:p>
    <w:p>
      <w:pPr>
        <w:keepNext/>
        <w:spacing w:before="160" w:after="60"/>
      </w:pPr>
      <w:bookmarkStart w:id="1" w:name="S01"/>
      <w:r>
        <w:rPr>
          <w:b/>
          <w:sz w:val="20"/>
        </w:rPr>
        <w:t xml:space="preserve">S01  </w:t>
      </w:r>
      <w:r>
        <w:rPr>
          <w:sz w:val="20"/>
        </w:rPr>
        <w:t>Universidad de Guadalajara. Reglamento de Responsabilidades Vinculadas con Faltas a la Normatividad Universitaria. Versión oficial enlazada de junio de 2022. Especialmente arts. 21, 23–24, 30–60 y 64–66.</w:t>
      </w:r>
      <w:bookmarkEnd w:id="1"/>
    </w:p>
    <w:p>
      <w:pPr>
        <w:spacing w:after="100"/>
      </w:pPr>
      <w:hyperlink r:id="rId11">
        <w:r>
          <w:rPr>
            <w:color w:val="24506B"/>
            <w:u w:val="single"/>
          </w:rPr>
          <w:t>Reglamento completo</w:t>
        </w:r>
      </w:hyperlink>
      <w:r>
        <w:t xml:space="preserve">  ·  </w:t>
      </w:r>
      <w:hyperlink r:id="rId12">
        <w:r>
          <w:rPr>
            <w:color w:val="24506B"/>
            <w:u w:val="single"/>
          </w:rPr>
          <w:t>Ficha normativa institucional</w:t>
        </w:r>
      </w:hyperlink>
    </w:p>
    <w:p>
      <w:pPr>
        <w:keepNext/>
        <w:spacing w:before="160" w:after="60"/>
      </w:pPr>
      <w:bookmarkStart w:id="2" w:name="S02"/>
      <w:r>
        <w:rPr>
          <w:b/>
          <w:sz w:val="20"/>
        </w:rPr>
        <w:t xml:space="preserve">S02  </w:t>
      </w:r>
      <w:r>
        <w:rPr>
          <w:sz w:val="20"/>
        </w:rPr>
        <w:t>Universidad de Guadalajara. Reglamento de Responsabilidades Vinculadas con el Ejercicio de los Recursos de la Universidad de Guadalajara. Versión de marzo de 2022. Ámbito y competencias, arts. 1–3.</w:t>
      </w:r>
      <w:bookmarkEnd w:id="2"/>
    </w:p>
    <w:p>
      <w:pPr>
        <w:spacing w:after="100"/>
      </w:pPr>
      <w:hyperlink r:id="rId13">
        <w:r>
          <w:rPr>
            <w:color w:val="24506B"/>
            <w:u w:val="single"/>
          </w:rPr>
          <w:t>Reglamento sobre recursos universitarios</w:t>
        </w:r>
      </w:hyperlink>
    </w:p>
    <w:p>
      <w:pPr>
        <w:keepNext/>
        <w:spacing w:before="160" w:after="60"/>
      </w:pPr>
      <w:bookmarkStart w:id="3" w:name="S03"/>
      <w:r>
        <w:rPr>
          <w:b/>
          <w:sz w:val="20"/>
        </w:rPr>
        <w:t xml:space="preserve">S03  </w:t>
      </w:r>
      <w:r>
        <w:rPr>
          <w:sz w:val="20"/>
        </w:rPr>
        <w:t>Contraloría General de la Universidad de Guadalajara. Denuncias. Sin fecha. Canal de recursos universitarios y remisión de otras faltas a Primer Contacto.</w:t>
      </w:r>
      <w:bookmarkEnd w:id="3"/>
    </w:p>
    <w:p>
      <w:pPr>
        <w:spacing w:after="100"/>
      </w:pPr>
      <w:hyperlink r:id="rId14">
        <w:r>
          <w:rPr>
            <w:color w:val="24506B"/>
            <w:u w:val="single"/>
          </w:rPr>
          <w:t>Página de denuncias</w:t>
        </w:r>
      </w:hyperlink>
    </w:p>
    <w:p>
      <w:pPr>
        <w:keepNext/>
        <w:spacing w:before="160" w:after="60"/>
      </w:pPr>
      <w:bookmarkStart w:id="4" w:name="S04"/>
      <w:r>
        <w:rPr>
          <w:b/>
          <w:sz w:val="20"/>
        </w:rPr>
        <w:t xml:space="preserve">S04  </w:t>
      </w:r>
      <w:r>
        <w:rPr>
          <w:sz w:val="20"/>
        </w:rPr>
        <w:t>Universidad de Guadalajara. Reglamento General de Evaluación y Promoción de Alumnos. Versión oficial de octubre de 2017. Revisión de evaluación, arts. 49–52.</w:t>
      </w:r>
      <w:bookmarkEnd w:id="4"/>
    </w:p>
    <w:p>
      <w:pPr>
        <w:spacing w:after="100"/>
      </w:pPr>
      <w:hyperlink r:id="rId15">
        <w:r>
          <w:rPr>
            <w:color w:val="24506B"/>
            <w:u w:val="single"/>
          </w:rPr>
          <w:t>Reglamento de evaluación</w:t>
        </w:r>
      </w:hyperlink>
    </w:p>
    <w:p>
      <w:pPr>
        <w:keepNext/>
        <w:spacing w:before="160" w:after="60"/>
      </w:pPr>
      <w:bookmarkStart w:id="5" w:name="S05"/>
      <w:r>
        <w:rPr>
          <w:b/>
          <w:sz w:val="20"/>
        </w:rPr>
        <w:t xml:space="preserve">S05  </w:t>
      </w:r>
      <w:r>
        <w:rPr>
          <w:sz w:val="20"/>
        </w:rPr>
        <w:t>Centro Universitario de Tonalá. Unidad de Primer Contacto. Sin fecha. Presentación, funciones y atención presencial.</w:t>
      </w:r>
      <w:bookmarkEnd w:id="5"/>
    </w:p>
    <w:p>
      <w:pPr>
        <w:spacing w:after="100"/>
      </w:pPr>
      <w:hyperlink r:id="rId16">
        <w:r>
          <w:rPr>
            <w:color w:val="24506B"/>
            <w:u w:val="single"/>
          </w:rPr>
          <w:t>Primer Contacto CUTonalá</w:t>
        </w:r>
      </w:hyperlink>
    </w:p>
    <w:p>
      <w:pPr>
        <w:keepNext/>
        <w:spacing w:before="160" w:after="60"/>
      </w:pPr>
      <w:bookmarkStart w:id="6" w:name="S06"/>
      <w:r>
        <w:rPr>
          <w:b/>
          <w:sz w:val="20"/>
        </w:rPr>
        <w:t xml:space="preserve">S06  </w:t>
      </w:r>
      <w:r>
        <w:rPr>
          <w:sz w:val="20"/>
        </w:rPr>
        <w:t>Centro Universitario de Tonalá. Directorio de Secretaría Académica. Sin fecha. Secretaría Académica y persona encargada de Primer Contacto.</w:t>
      </w:r>
      <w:bookmarkEnd w:id="6"/>
    </w:p>
    <w:p>
      <w:pPr>
        <w:spacing w:after="100"/>
      </w:pPr>
      <w:hyperlink r:id="rId17">
        <w:r>
          <w:rPr>
            <w:color w:val="24506B"/>
            <w:u w:val="single"/>
          </w:rPr>
          <w:t>Directorio de Secretaría Académica</w:t>
        </w:r>
      </w:hyperlink>
    </w:p>
    <w:p>
      <w:pPr>
        <w:keepNext/>
        <w:spacing w:before="160" w:after="60"/>
      </w:pPr>
      <w:bookmarkStart w:id="7" w:name="S07"/>
      <w:r>
        <w:rPr>
          <w:b/>
          <w:sz w:val="20"/>
        </w:rPr>
        <w:t xml:space="preserve">S07  </w:t>
      </w:r>
      <w:r>
        <w:rPr>
          <w:sz w:val="20"/>
        </w:rPr>
        <w:t>Centro Universitario de Tonalá. Directorios institucionales. Sin fecha. Se contrastaron los datos del enlace de la Defensoría y teléfonos; se conservaron las discrepancias.</w:t>
      </w:r>
      <w:bookmarkEnd w:id="7"/>
    </w:p>
    <w:p>
      <w:pPr>
        <w:spacing w:after="100"/>
      </w:pPr>
      <w:hyperlink r:id="rId18">
        <w:r>
          <w:rPr>
            <w:color w:val="24506B"/>
            <w:u w:val="single"/>
          </w:rPr>
          <w:t>Directorio CUT</w:t>
        </w:r>
      </w:hyperlink>
      <w:r>
        <w:t xml:space="preserve">  ·  </w:t>
      </w:r>
      <w:hyperlink r:id="rId19">
        <w:r>
          <w:rPr>
            <w:color w:val="24506B"/>
            <w:u w:val="single"/>
          </w:rPr>
          <w:t>Directorio por áreas</w:t>
        </w:r>
      </w:hyperlink>
    </w:p>
    <w:p>
      <w:pPr>
        <w:keepNext/>
        <w:spacing w:before="160" w:after="60"/>
      </w:pPr>
      <w:bookmarkStart w:id="8" w:name="S08"/>
      <w:r>
        <w:rPr>
          <w:b/>
          <w:sz w:val="20"/>
        </w:rPr>
        <w:t xml:space="preserve">S08  </w:t>
      </w:r>
      <w:r>
        <w:rPr>
          <w:sz w:val="20"/>
        </w:rPr>
        <w:t>Unidad para la Igualdad de la UDG. Directorio de primeros contactos. Sin fecha. Sección CUTonalá: personas, horarios, ubicación y teléfono publicado.</w:t>
      </w:r>
      <w:bookmarkEnd w:id="8"/>
    </w:p>
    <w:p>
      <w:pPr>
        <w:spacing w:after="100"/>
      </w:pPr>
      <w:hyperlink r:id="rId20">
        <w:r>
          <w:rPr>
            <w:color w:val="24506B"/>
            <w:u w:val="single"/>
          </w:rPr>
          <w:t>Directorio central de primeros contactos</w:t>
        </w:r>
      </w:hyperlink>
    </w:p>
    <w:p>
      <w:pPr>
        <w:keepNext/>
        <w:spacing w:before="160" w:after="60"/>
      </w:pPr>
      <w:bookmarkStart w:id="9" w:name="S09"/>
      <w:r>
        <w:rPr>
          <w:b/>
          <w:sz w:val="20"/>
        </w:rPr>
        <w:t xml:space="preserve">S09  </w:t>
      </w:r>
      <w:r>
        <w:rPr>
          <w:sz w:val="20"/>
        </w:rPr>
        <w:t>Defensoría de los Derechos Universitarios de la UDG. Presentar una queja. Sin fecha. Alcance del servicio, recomendaciones y contacto central.</w:t>
      </w:r>
      <w:bookmarkEnd w:id="9"/>
    </w:p>
    <w:p>
      <w:pPr>
        <w:spacing w:after="100"/>
      </w:pPr>
      <w:hyperlink r:id="rId21">
        <w:r>
          <w:rPr>
            <w:color w:val="24506B"/>
            <w:u w:val="single"/>
          </w:rPr>
          <w:t>Quejas ante la Defensoría</w:t>
        </w:r>
      </w:hyperlink>
    </w:p>
    <w:p>
      <w:pPr>
        <w:keepNext/>
        <w:spacing w:before="160" w:after="60"/>
      </w:pPr>
      <w:bookmarkStart w:id="10" w:name="S10"/>
      <w:r>
        <w:rPr>
          <w:b/>
          <w:sz w:val="20"/>
        </w:rPr>
        <w:t xml:space="preserve">S10  </w:t>
      </w:r>
      <w:r>
        <w:rPr>
          <w:sz w:val="20"/>
        </w:rPr>
        <w:t>Centro Universitario de Tonalá. ¿Qué es la Unidad de Orientación Educativa? Sin fecha. Orientación psicológica, solicitud e intervención presencial en crisis.</w:t>
      </w:r>
      <w:bookmarkEnd w:id="10"/>
    </w:p>
    <w:p>
      <w:pPr>
        <w:spacing w:after="100"/>
      </w:pPr>
      <w:hyperlink r:id="rId22">
        <w:r>
          <w:rPr>
            <w:color w:val="24506B"/>
            <w:u w:val="single"/>
          </w:rPr>
          <w:t>Servicios de Orientación Educativa</w:t>
        </w:r>
      </w:hyperlink>
    </w:p>
    <w:p>
      <w:pPr>
        <w:keepNext/>
        <w:spacing w:before="160" w:after="60"/>
      </w:pPr>
      <w:bookmarkStart w:id="11" w:name="S11"/>
      <w:r>
        <w:rPr>
          <w:b/>
          <w:sz w:val="20"/>
        </w:rPr>
        <w:t xml:space="preserve">S11  </w:t>
      </w:r>
      <w:r>
        <w:rPr>
          <w:sz w:val="20"/>
        </w:rPr>
        <w:t>Centro Universitario de Tonalá. Directorios de coordinaciones de carrera y de la División de Ingenierías e Innovación Tecnológica. Sin fecha. Contactos de ICC, división y departamento.</w:t>
      </w:r>
      <w:bookmarkEnd w:id="11"/>
    </w:p>
    <w:p>
      <w:pPr>
        <w:spacing w:after="100"/>
      </w:pPr>
      <w:hyperlink r:id="rId23">
        <w:r>
          <w:rPr>
            <w:color w:val="24506B"/>
            <w:u w:val="single"/>
          </w:rPr>
          <w:t>Coordinaciones de carrera</w:t>
        </w:r>
      </w:hyperlink>
      <w:r>
        <w:t xml:space="preserve">  ·  </w:t>
      </w:r>
      <w:hyperlink r:id="rId24">
        <w:r>
          <w:rPr>
            <w:color w:val="24506B"/>
            <w:u w:val="single"/>
          </w:rPr>
          <w:t>División y departamentos</w:t>
        </w:r>
      </w:hyperlink>
    </w:p>
    <w:p>
      <w:pPr>
        <w:keepNext/>
        <w:spacing w:before="160" w:after="60"/>
      </w:pPr>
      <w:bookmarkStart w:id="12" w:name="S12"/>
      <w:r>
        <w:rPr>
          <w:b/>
          <w:sz w:val="20"/>
        </w:rPr>
        <w:t xml:space="preserve">S12  </w:t>
      </w:r>
      <w:r>
        <w:rPr>
          <w:sz w:val="20"/>
        </w:rPr>
        <w:t>Cámara de Diputados del H. Congreso de la Unión. Ley General de Responsabilidades Administrativas. Texto consultado con última reforma publicada el 15 de diciembre de 2025. Arts. 9–12, 52 y 66.</w:t>
      </w:r>
      <w:bookmarkEnd w:id="12"/>
    </w:p>
    <w:p>
      <w:pPr>
        <w:spacing w:after="100"/>
      </w:pPr>
      <w:hyperlink r:id="rId25">
        <w:r>
          <w:rPr>
            <w:color w:val="24506B"/>
            <w:u w:val="single"/>
          </w:rPr>
          <w:t>Ley General de Responsabilidades Administrativas</w:t>
        </w:r>
      </w:hyperlink>
    </w:p>
    <w:p>
      <w:pPr>
        <w:keepNext/>
        <w:spacing w:before="160" w:after="60"/>
      </w:pPr>
      <w:bookmarkStart w:id="13" w:name="S13"/>
      <w:r>
        <w:rPr>
          <w:b/>
          <w:sz w:val="20"/>
        </w:rPr>
        <w:t xml:space="preserve">S13  </w:t>
      </w:r>
      <w:r>
        <w:rPr>
          <w:sz w:val="20"/>
        </w:rPr>
        <w:t>Congreso del Estado de Jalisco. Código Penal para el Estado Libre y Soberano de Jalisco. Archivo enlazado en el catálogo oficial con terminación 240926; el catálogo registra modificación del 8 de septiembre de 2026. Arts. 144 y 147, páginas 40 y 44 del PDF consultado. El nombre del archivo no se toma como fecha de entrada en vigor.</w:t>
      </w:r>
      <w:bookmarkEnd w:id="13"/>
    </w:p>
    <w:p>
      <w:pPr>
        <w:spacing w:after="100"/>
      </w:pPr>
      <w:hyperlink r:id="rId26">
        <w:r>
          <w:rPr>
            <w:color w:val="24506B"/>
            <w:u w:val="single"/>
          </w:rPr>
          <w:t>Código Penal en PDF</w:t>
        </w:r>
      </w:hyperlink>
      <w:r>
        <w:t xml:space="preserve">  ·  </w:t>
      </w:r>
      <w:hyperlink r:id="rId27">
        <w:r>
          <w:rPr>
            <w:color w:val="24506B"/>
            <w:u w:val="single"/>
          </w:rPr>
          <w:t>Catálogo oficial de legislación</w:t>
        </w:r>
      </w:hyperlink>
    </w:p>
    <w:p>
      <w:pPr>
        <w:keepNext/>
        <w:spacing w:before="160" w:after="60"/>
      </w:pPr>
      <w:bookmarkStart w:id="14" w:name="S14"/>
      <w:r>
        <w:rPr>
          <w:b/>
          <w:sz w:val="20"/>
        </w:rPr>
        <w:t xml:space="preserve">S14  </w:t>
      </w:r>
      <w:r>
        <w:rPr>
          <w:sz w:val="20"/>
        </w:rPr>
        <w:t>Congreso del Estado de Jalisco. Ley de Responsabilidades Políticas y Administrativas del Estado de Jalisco. Archivo oficial con terminación 170323. Arts. 1, 2 y 4.</w:t>
      </w:r>
      <w:bookmarkEnd w:id="14"/>
    </w:p>
    <w:p>
      <w:pPr>
        <w:spacing w:after="100"/>
      </w:pPr>
      <w:hyperlink r:id="rId28">
        <w:r>
          <w:rPr>
            <w:color w:val="24506B"/>
            <w:u w:val="single"/>
          </w:rPr>
          <w:t>Ley estatal de responsabilidades</w:t>
        </w:r>
      </w:hyperlink>
    </w:p>
    <w:p>
      <w:pPr>
        <w:keepNext/>
        <w:spacing w:before="160" w:after="60"/>
      </w:pPr>
      <w:bookmarkStart w:id="15" w:name="S15"/>
      <w:r>
        <w:rPr>
          <w:b/>
          <w:sz w:val="20"/>
        </w:rPr>
        <w:t xml:space="preserve">S15  </w:t>
      </w:r>
      <w:r>
        <w:rPr>
          <w:sz w:val="20"/>
        </w:rPr>
        <w:t>Congreso del Estado de Jalisco. Constitución Política del Estado de Jalisco. Archivo oficial con terminación 230926, consultado a través del catálogo legislativo. Arts. 90–92, página 57 del PDF.</w:t>
      </w:r>
      <w:bookmarkEnd w:id="15"/>
    </w:p>
    <w:p>
      <w:pPr>
        <w:spacing w:after="100"/>
      </w:pPr>
      <w:hyperlink r:id="rId29">
        <w:r>
          <w:rPr>
            <w:color w:val="24506B"/>
            <w:u w:val="single"/>
          </w:rPr>
          <w:t>Constitución de Jalisco</w:t>
        </w:r>
      </w:hyperlink>
    </w:p>
    <w:p>
      <w:pPr>
        <w:keepNext/>
        <w:spacing w:before="160" w:after="60"/>
      </w:pPr>
      <w:bookmarkStart w:id="16" w:name="S16"/>
      <w:r>
        <w:rPr>
          <w:b/>
          <w:sz w:val="20"/>
        </w:rPr>
        <w:t xml:space="preserve">S16  </w:t>
      </w:r>
      <w:r>
        <w:rPr>
          <w:sz w:val="20"/>
        </w:rPr>
        <w:t>Cámara de Diputados del H. Congreso de la Unión. Código Nacional de Procedimientos Penales. Texto consultado con última reforma publicada el 28 de noviembre de 2025. Arts. 109–110, 137 y 221–224.</w:t>
      </w:r>
      <w:bookmarkEnd w:id="16"/>
    </w:p>
    <w:p>
      <w:pPr>
        <w:spacing w:after="100"/>
      </w:pPr>
      <w:hyperlink r:id="rId30">
        <w:r>
          <w:rPr>
            <w:color w:val="24506B"/>
            <w:u w:val="single"/>
          </w:rPr>
          <w:t>Código Nacional de Procedimientos Penales</w:t>
        </w:r>
      </w:hyperlink>
    </w:p>
    <w:p>
      <w:pPr>
        <w:keepNext/>
        <w:spacing w:before="160" w:after="60"/>
      </w:pPr>
      <w:bookmarkStart w:id="17" w:name="S17"/>
      <w:r>
        <w:rPr>
          <w:b/>
          <w:sz w:val="20"/>
        </w:rPr>
        <w:t xml:space="preserve">S17  </w:t>
      </w:r>
      <w:r>
        <w:rPr>
          <w:sz w:val="20"/>
        </w:rPr>
        <w:t>Fiscalía Especializada en Combate a la Corrupción del Estado de Jalisco. Denuncia y portal institucional. Sin fecha editorial. Se inspeccionaron formulario, opciones de anonimato, seguimiento, límite de adjuntos y datos del pie de página. No se realizó envío.</w:t>
      </w:r>
      <w:bookmarkEnd w:id="17"/>
    </w:p>
    <w:p>
      <w:pPr>
        <w:spacing w:after="100"/>
      </w:pPr>
      <w:hyperlink r:id="rId31">
        <w:r>
          <w:rPr>
            <w:color w:val="24506B"/>
            <w:u w:val="single"/>
          </w:rPr>
          <w:t>Formulario y formatos de denuncia</w:t>
        </w:r>
      </w:hyperlink>
      <w:r>
        <w:t xml:space="preserve">  ·  </w:t>
      </w:r>
      <w:hyperlink r:id="rId32">
        <w:r>
          <w:rPr>
            <w:color w:val="24506B"/>
            <w:u w:val="single"/>
          </w:rPr>
          <w:t>Ubicación y contacto</w:t>
        </w:r>
      </w:hyperlink>
    </w:p>
    <w:p>
      <w:pPr>
        <w:keepNext/>
        <w:spacing w:before="160" w:after="60"/>
      </w:pPr>
      <w:bookmarkStart w:id="18" w:name="S18"/>
      <w:r>
        <w:rPr>
          <w:b/>
          <w:sz w:val="20"/>
        </w:rPr>
        <w:t xml:space="preserve">S18  </w:t>
      </w:r>
      <w:r>
        <w:rPr>
          <w:sz w:val="20"/>
        </w:rPr>
        <w:t>Gobierno de Jalisco. Servicios Jurídicos Asistenciales e Identidad y Justicia, Procuraduría Social. Fichas de programas con distintas fechas de actualización. Describen asesoría gratuita; la disponibilidad y patrocinio específicos deben confirmarse.</w:t>
      </w:r>
      <w:bookmarkEnd w:id="18"/>
    </w:p>
    <w:p>
      <w:pPr>
        <w:spacing w:after="100"/>
      </w:pPr>
      <w:hyperlink r:id="rId33">
        <w:r>
          <w:rPr>
            <w:color w:val="24506B"/>
            <w:u w:val="single"/>
          </w:rPr>
          <w:t>Servicios Jurídicos Asistenciales</w:t>
        </w:r>
      </w:hyperlink>
      <w:r>
        <w:t xml:space="preserve">  ·  </w:t>
      </w:r>
      <w:hyperlink r:id="rId34">
        <w:r>
          <w:rPr>
            <w:color w:val="24506B"/>
            <w:u w:val="single"/>
          </w:rPr>
          <w:t>Ficha del programa Identidad y Justicia</w:t>
        </w:r>
      </w:hyperlink>
    </w:p>
    <w:p>
      <w:pPr>
        <w:keepNext/>
        <w:spacing w:before="160" w:after="60"/>
      </w:pPr>
      <w:bookmarkStart w:id="19" w:name="S19"/>
      <w:r>
        <w:rPr>
          <w:b/>
          <w:sz w:val="20"/>
        </w:rPr>
        <w:t xml:space="preserve">S19  </w:t>
      </w:r>
      <w:r>
        <w:rPr>
          <w:sz w:val="20"/>
        </w:rPr>
        <w:t>Universidad de Guadalajara, Consejo Social. Ley Orgánica de la Universidad de Guadalajara, extracto institucional. Arts. 1–2 sobre naturaleza y régimen jurídico.</w:t>
      </w:r>
      <w:bookmarkEnd w:id="19"/>
    </w:p>
    <w:p>
      <w:pPr>
        <w:spacing w:after="100"/>
      </w:pPr>
      <w:hyperlink r:id="rId35">
        <w:r>
          <w:rPr>
            <w:color w:val="24506B"/>
            <w:u w:val="single"/>
          </w:rPr>
          <w:t>Ley Orgánica en el sitio del Consejo Social</w:t>
        </w:r>
      </w:hyperlink>
    </w:p>
    <w:p>
      <w:pPr>
        <w:keepNext/>
        <w:spacing w:before="160" w:after="60"/>
      </w:pPr>
      <w:bookmarkStart w:id="20" w:name="S20"/>
      <w:r>
        <w:rPr>
          <w:b/>
          <w:sz w:val="20"/>
        </w:rPr>
        <w:t xml:space="preserve">S20  </w:t>
      </w:r>
      <w:r>
        <w:rPr>
          <w:sz w:val="20"/>
        </w:rPr>
        <w:t>Centro Universitario de Tonalá. Informe de Actividades CUTonalá 2024. Apartado 2.3.2.1.3 y tabla 106, pp. 287–288. Datos de procesos de responsabilidades publicados por la institución.</w:t>
      </w:r>
      <w:bookmarkEnd w:id="20"/>
    </w:p>
    <w:p>
      <w:pPr>
        <w:spacing w:after="100"/>
      </w:pPr>
      <w:hyperlink r:id="rId36">
        <w:r>
          <w:rPr>
            <w:color w:val="24506B"/>
            <w:u w:val="single"/>
          </w:rPr>
          <w:t>Informe de actividades 2024</w:t>
        </w:r>
      </w:hyperlink>
    </w:p>
    <w:p>
      <w:pPr>
        <w:keepNext/>
        <w:spacing w:before="160" w:after="60"/>
      </w:pPr>
      <w:bookmarkStart w:id="21" w:name="S21"/>
      <w:r>
        <w:rPr>
          <w:b/>
          <w:sz w:val="20"/>
        </w:rPr>
        <w:t xml:space="preserve">S21  </w:t>
      </w:r>
      <w:r>
        <w:rPr>
          <w:sz w:val="20"/>
        </w:rPr>
        <w:t>Centro Universitario de Tonalá. Informe Técnico de Actividades 2025. Apartado 4.1.2.4, Primer Contacto, pp. 258–259 y tablas 137–140. Se detectaron diferencias entre totales narrativos y tablas; no se calcularon tasas.</w:t>
      </w:r>
      <w:bookmarkEnd w:id="21"/>
    </w:p>
    <w:p>
      <w:pPr>
        <w:spacing w:after="100"/>
      </w:pPr>
      <w:hyperlink r:id="rId37">
        <w:r>
          <w:rPr>
            <w:color w:val="24506B"/>
            <w:u w:val="single"/>
          </w:rPr>
          <w:t>Informe técnico 2025</w:t>
        </w:r>
      </w:hyperlink>
      <w:r>
        <w:t xml:space="preserve">  ·  </w:t>
      </w:r>
      <w:hyperlink r:id="rId38">
        <w:r>
          <w:rPr>
            <w:color w:val="24506B"/>
            <w:u w:val="single"/>
          </w:rPr>
          <w:t>Página de informes del centro</w:t>
        </w:r>
      </w:hyperlink>
    </w:p>
    <w:p>
      <w:pPr>
        <w:keepNext/>
        <w:spacing w:before="160" w:after="60"/>
      </w:pPr>
      <w:bookmarkStart w:id="22" w:name="S22"/>
      <w:r>
        <w:rPr>
          <w:b/>
          <w:sz w:val="20"/>
        </w:rPr>
        <w:t xml:space="preserve">S22  </w:t>
      </w:r>
      <w:r>
        <w:rPr>
          <w:sz w:val="20"/>
        </w:rPr>
        <w:t>Fiscalía Especializada en Combate a la Corrupción del Estado de Jalisco. Logra FECC vinculación a proceso de exservidor público del IJA por presuntamente cobrar un trámite gratuito. 15 de septiembre de 2026. Comunicado sobre probable cohecho; no sentencia firme.</w:t>
      </w:r>
      <w:bookmarkEnd w:id="22"/>
    </w:p>
    <w:p>
      <w:pPr>
        <w:spacing w:after="100"/>
      </w:pPr>
      <w:hyperlink r:id="rId39">
        <w:r>
          <w:rPr>
            <w:color w:val="24506B"/>
            <w:u w:val="single"/>
          </w:rPr>
          <w:t>Comunicado del caso IJA</w:t>
        </w:r>
      </w:hyperlink>
    </w:p>
    <w:p>
      <w:pPr>
        <w:keepNext/>
        <w:spacing w:before="160" w:after="60"/>
      </w:pPr>
      <w:bookmarkStart w:id="23" w:name="S23"/>
      <w:r>
        <w:rPr>
          <w:b/>
          <w:sz w:val="20"/>
        </w:rPr>
        <w:t xml:space="preserve">S23  </w:t>
      </w:r>
      <w:r>
        <w:rPr>
          <w:sz w:val="20"/>
        </w:rPr>
        <w:t>Fiscalía Especializada en Combate a la Corrupción del Estado de Jalisco. Vinculan a proceso a 2 personas por presuntas irregularidades en la nómina del CECyTEJ. 17 de septiembre de 2026. Comunicado sobre peculado y abuso de autoridad; institución distinta de UDG.</w:t>
      </w:r>
      <w:bookmarkEnd w:id="23"/>
    </w:p>
    <w:p>
      <w:pPr>
        <w:spacing w:after="100"/>
      </w:pPr>
      <w:hyperlink r:id="rId40">
        <w:r>
          <w:rPr>
            <w:color w:val="24506B"/>
            <w:u w:val="single"/>
          </w:rPr>
          <w:t>Comunicado del caso CECyTEJ</w:t>
        </w:r>
      </w:hyperlink>
    </w:p>
    <w:sectPr w:rsidR="00FC693F" w:rsidRPr="0006063C" w:rsidSect="00034616">
      <w:headerReference w:type="default" r:id="rId9"/>
      <w:footerReference w:type="default" r:id="rId10"/>
      <w:pgSz w:w="12240" w:h="15840"/>
      <w:pgMar w:top="1152" w:right="1224" w:bottom="1080"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Investigación documental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SOBORNO ACADÉMICO  ·  CUTONALÁ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60" w:line="240" w:lineRule="auto" w:before="0"/>
      <w:contextualSpacing/>
    </w:pPr>
    <w:rPr>
      <w:rFonts w:asciiTheme="majorHAnsi" w:eastAsiaTheme="majorEastAsia" w:hAnsiTheme="majorHAnsi" w:cstheme="majorBidi" w:ascii="Calibri" w:hAnsi="Calibri" w:eastAsia="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pPr>
    <w:rPr>
      <w:rFonts w:asciiTheme="majorHAnsi" w:eastAsiaTheme="majorEastAsia" w:hAnsiTheme="majorHAnsi" w:cstheme="majorBidi" w:ascii="Calibri" w:hAnsi="Calibri" w:eastAsia="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ecgral.udg.mx/sites/default/files/Normatividad_general/RRVFNU%20%28Junio%202022%29.pdf" TargetMode="External"/><Relationship Id="rId12" Type="http://schemas.openxmlformats.org/officeDocument/2006/relationships/hyperlink" Target="https://secgral.udg.mx/normatividad/general/reglamento-de-responsabilidades-vinculadas-con-faltas-la-normatividad" TargetMode="External"/><Relationship Id="rId13" Type="http://schemas.openxmlformats.org/officeDocument/2006/relationships/hyperlink" Target="https://secgral.udg.mx/sites/default/files/Normatividad_general/RRVRP%20%28Marzo%202022%29.pdf" TargetMode="External"/><Relationship Id="rId14" Type="http://schemas.openxmlformats.org/officeDocument/2006/relationships/hyperlink" Target="https://contraloriageneral.udg.mx/denuncias" TargetMode="External"/><Relationship Id="rId15" Type="http://schemas.openxmlformats.org/officeDocument/2006/relationships/hyperlink" Target="https://secgral.udg.mx/sites/default/files/Normatividad_general/rgepa-oct-2017.pdf" TargetMode="External"/><Relationship Id="rId16" Type="http://schemas.openxmlformats.org/officeDocument/2006/relationships/hyperlink" Target="https://cutonala.udg.mx/primercontacto" TargetMode="External"/><Relationship Id="rId17" Type="http://schemas.openxmlformats.org/officeDocument/2006/relationships/hyperlink" Target="https://cutonala.udg.mx/acerca/directorio/secretaria-academica" TargetMode="External"/><Relationship Id="rId18" Type="http://schemas.openxmlformats.org/officeDocument/2006/relationships/hyperlink" Target="https://cutonala.udg.mx/directorio-cut" TargetMode="External"/><Relationship Id="rId19" Type="http://schemas.openxmlformats.org/officeDocument/2006/relationships/hyperlink" Target="https://cutonala.udg.mx/acerca/directorio" TargetMode="External"/><Relationship Id="rId20" Type="http://schemas.openxmlformats.org/officeDocument/2006/relationships/hyperlink" Target="https://igualdad.udg.mx/primeroscontactos" TargetMode="External"/><Relationship Id="rId21" Type="http://schemas.openxmlformats.org/officeDocument/2006/relationships/hyperlink" Target="https://ddu.udg.mx/presentar-una-queja" TargetMode="External"/><Relationship Id="rId22" Type="http://schemas.openxmlformats.org/officeDocument/2006/relationships/hyperlink" Target="https://cutonala.udg.mx/serviciosalacomunidadcut/que-es-la-unidad-de-orientacion-educativa" TargetMode="External"/><Relationship Id="rId23" Type="http://schemas.openxmlformats.org/officeDocument/2006/relationships/hyperlink" Target="https://cutonala.udg.mx/acerca/directorio/coordinadores-de-carrera" TargetMode="External"/><Relationship Id="rId24" Type="http://schemas.openxmlformats.org/officeDocument/2006/relationships/hyperlink" Target="https://cutonala.udg.mx/node/2720" TargetMode="External"/><Relationship Id="rId25" Type="http://schemas.openxmlformats.org/officeDocument/2006/relationships/hyperlink" Target="https://www.diputados.gob.mx/LeyesBiblio/pdf/LGRA.pdf" TargetMode="External"/><Relationship Id="rId26" Type="http://schemas.openxmlformats.org/officeDocument/2006/relationships/hyperlink" Target="https://congresoweb.congresojal.gob.mx/BibliotecaVirtual/legislacion/C%C3%B3digos/Documentos_PDF-C%C3%B3digos/C%C3%B3digo%20Penal%20para%20el%20Estado%20Libre%20y%20Soberano%20de%20Jalisco%20-240926.pdf" TargetMode="External"/><Relationship Id="rId27" Type="http://schemas.openxmlformats.org/officeDocument/2006/relationships/hyperlink" Target="https://congresoweb.congresojal.gob.mx/BibliotecaVirtual/busquedasleyes/ListadoNvo.cfm" TargetMode="External"/><Relationship Id="rId28" Type="http://schemas.openxmlformats.org/officeDocument/2006/relationships/hyperlink" Target="https://congresoweb.congresojal.gob.mx/BibliotecaVirtual/legislacion/Leyes/Documentos_PDF-Leyes/Ley%20de%20Responsabilidades%20Pol%C3%ADticas%20y%20Administrativas%20del%20Estado%20de%20Jalisco-170323.pdf" TargetMode="External"/><Relationship Id="rId29" Type="http://schemas.openxmlformats.org/officeDocument/2006/relationships/hyperlink" Target="https://congresoweb.congresojal.gob.mx/BibliotecaVirtual/legislacion/Constituci%C3%B3n/Documentos_PDF-Constituci%C3%B3n/Constituci%C3%B3n%20Pol%C3%ADtica%20del%20Estado%20de%20Jalisco-230926.pdf" TargetMode="External"/><Relationship Id="rId30" Type="http://schemas.openxmlformats.org/officeDocument/2006/relationships/hyperlink" Target="https://www.diputados.gob.mx/LeyesBiblio/pdf/CNPP.pdf" TargetMode="External"/><Relationship Id="rId31" Type="http://schemas.openxmlformats.org/officeDocument/2006/relationships/hyperlink" Target="https://fiscaliaanticorrupcion.jalisco.gob.mx/denuncia" TargetMode="External"/><Relationship Id="rId32" Type="http://schemas.openxmlformats.org/officeDocument/2006/relationships/hyperlink" Target="https://fiscaliaanticorrupcion.jalisco.gob.mx/acerca-de/ubicacion-y-contacto" TargetMode="External"/><Relationship Id="rId33" Type="http://schemas.openxmlformats.org/officeDocument/2006/relationships/hyperlink" Target="https://info.jalisco.gob.mx/gobierno/programas-apoyo/modalidad/21977" TargetMode="External"/><Relationship Id="rId34" Type="http://schemas.openxmlformats.org/officeDocument/2006/relationships/hyperlink" Target="https://misprogramas.jalisco.gob.mx/programas/panel/programa/796" TargetMode="External"/><Relationship Id="rId35" Type="http://schemas.openxmlformats.org/officeDocument/2006/relationships/hyperlink" Target="https://cs.udg.mx/normatividad/ley-organica" TargetMode="External"/><Relationship Id="rId36" Type="http://schemas.openxmlformats.org/officeDocument/2006/relationships/hyperlink" Target="https://cutonala.udg.mx/sites/default/files/adjuntos/informe_cutonala_2024vf_compressed_0.pdf" TargetMode="External"/><Relationship Id="rId37" Type="http://schemas.openxmlformats.org/officeDocument/2006/relationships/hyperlink" Target="https://cutonala.udg.mx/sites/default/files/adjuntos/Informe%20Te%CC%81cinco%20de%20Actividades%202025_CUTonala%CC%81%20%282%29.pdf" TargetMode="External"/><Relationship Id="rId38" Type="http://schemas.openxmlformats.org/officeDocument/2006/relationships/hyperlink" Target="https://cutonala.udg.mx/nuestrocentro/informe-de-actividades" TargetMode="External"/><Relationship Id="rId39" Type="http://schemas.openxmlformats.org/officeDocument/2006/relationships/hyperlink" Target="https://fiscaliaanticorrupcion.jalisco.gob.mx/prensa/noticias/logra-fecc-vinculacion-a-proceso-de-exservidor-pu-708" TargetMode="External"/><Relationship Id="rId40" Type="http://schemas.openxmlformats.org/officeDocument/2006/relationships/hyperlink" Target="https://fiscaliaanticorrupcion.jalisco.gob.mx/prensa/noticias/vinculan-a-proceso-a-2-personas-por-presuntas-irr-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Soborno académico en el Centro Universitario de Tonalá</dc:title>
  <dc:subject>Investigación en niveles personal, universitario y legal</dc:subject>
  <dc:creator>Oscar Alejandro Bermúdez Cota</dc:creator>
  <cp:keywords>soborno, CUTonalá, UDG, orientación, responsabilidades, Scrum</cp:keywords>
  <dc:description>Investigación documental académica con corte al 8 de octubre de 2026.</dc:description>
  <cp:lastModifiedBy/>
  <cp:revision>1</cp:revision>
  <dcterms:created xsi:type="dcterms:W3CDTF">2013-12-23T23:15:00Z</dcterms:created>
  <dcterms:modified xsi:type="dcterms:W3CDTF">2013-12-23T23:15:00Z</dcterms:modified>
  <cp:category/>
</cp:coreProperties>
</file>