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01897" w14:textId="1DF9AEBC" w:rsidR="00D45BD6" w:rsidRPr="00F74CBC" w:rsidRDefault="00D45BD6" w:rsidP="00D45BD6">
      <w:pPr>
        <w:pStyle w:val="Ttulo1"/>
        <w:jc w:val="center"/>
        <w:rPr>
          <w:rFonts w:ascii="Times New Roman" w:hAnsi="Times New Roman" w:cs="Times New Roman"/>
          <w:color w:val="000000" w:themeColor="text1"/>
          <w:sz w:val="48"/>
          <w:szCs w:val="48"/>
          <w:lang w:val="es-MX"/>
        </w:rPr>
      </w:pPr>
      <w:r w:rsidRPr="00F74CBC">
        <w:rPr>
          <w:rFonts w:ascii="Times New Roman" w:hAnsi="Times New Roman" w:cs="Times New Roman"/>
          <w:color w:val="000000" w:themeColor="text1"/>
          <w:sz w:val="24"/>
          <w:szCs w:val="24"/>
          <w:lang w:val="es-MX"/>
        </w:rPr>
        <w:br/>
      </w:r>
      <w:r w:rsidRPr="00F74CBC">
        <w:rPr>
          <w:rFonts w:ascii="Times New Roman" w:hAnsi="Times New Roman" w:cs="Times New Roman"/>
          <w:color w:val="000000" w:themeColor="text1"/>
          <w:sz w:val="48"/>
          <w:szCs w:val="48"/>
          <w:lang w:val="es-MX"/>
        </w:rPr>
        <w:br/>
      </w:r>
      <w:r w:rsidRPr="00F74CBC">
        <w:rPr>
          <w:rFonts w:ascii="Times New Roman" w:hAnsi="Times New Roman" w:cs="Times New Roman"/>
          <w:color w:val="000000" w:themeColor="text1"/>
          <w:sz w:val="48"/>
          <w:szCs w:val="48"/>
          <w:lang w:val="es-MX"/>
        </w:rPr>
        <w:br/>
      </w:r>
      <w:r w:rsidRPr="00F74CBC">
        <w:rPr>
          <w:rFonts w:ascii="Times New Roman" w:hAnsi="Times New Roman" w:cs="Times New Roman"/>
          <w:color w:val="000000" w:themeColor="text1"/>
          <w:sz w:val="48"/>
          <w:szCs w:val="48"/>
          <w:lang w:val="es-MX"/>
        </w:rPr>
        <w:br/>
      </w:r>
      <w:r w:rsidRPr="00F74CBC">
        <w:rPr>
          <w:rFonts w:ascii="Times New Roman" w:hAnsi="Times New Roman" w:cs="Times New Roman"/>
          <w:color w:val="000000" w:themeColor="text1"/>
          <w:sz w:val="48"/>
          <w:szCs w:val="48"/>
          <w:lang w:val="es-MX"/>
        </w:rPr>
        <w:t>Soborno académico en el Centro Universitario de Tonalá</w:t>
      </w:r>
    </w:p>
    <w:p w14:paraId="3741939C" w14:textId="113AA4C7" w:rsidR="00A31FB8" w:rsidRPr="00F74CBC" w:rsidRDefault="00D45BD6" w:rsidP="004E337F">
      <w:pPr>
        <w:pStyle w:val="Subttulo"/>
        <w:jc w:val="center"/>
        <w:rPr>
          <w:rFonts w:ascii="Times New Roman" w:hAnsi="Times New Roman" w:cs="Times New Roman"/>
          <w:color w:val="000000" w:themeColor="text1"/>
          <w:sz w:val="24"/>
          <w:lang w:val="es-MX"/>
        </w:rPr>
      </w:pPr>
      <w:r w:rsidRPr="00F74CBC">
        <w:rPr>
          <w:rFonts w:ascii="Times New Roman" w:hAnsi="Times New Roman" w:cs="Times New Roman"/>
          <w:color w:val="000000" w:themeColor="text1"/>
          <w:sz w:val="24"/>
          <w:lang w:val="es-MX"/>
        </w:rPr>
        <w:br/>
      </w:r>
    </w:p>
    <w:p w14:paraId="69C89EBC" w14:textId="77777777" w:rsidR="00A31FB8" w:rsidRPr="00F74CBC" w:rsidRDefault="000C42FC" w:rsidP="004E337F">
      <w:pPr>
        <w:spacing w:before="500"/>
        <w:jc w:val="center"/>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Oscar Alejandro Bermúdez Cota</w:t>
      </w:r>
    </w:p>
    <w:p w14:paraId="507E950C" w14:textId="77777777" w:rsidR="00A31FB8" w:rsidRPr="00F74CBC" w:rsidRDefault="000C42FC" w:rsidP="004E337F">
      <w:pPr>
        <w:jc w:val="center"/>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Ingeniería en Ciencias Computacionales</w:t>
      </w:r>
    </w:p>
    <w:p w14:paraId="2328C5C7" w14:textId="77777777" w:rsidR="00A31FB8" w:rsidRPr="00F74CBC" w:rsidRDefault="000C42FC" w:rsidP="004E337F">
      <w:pPr>
        <w:jc w:val="center"/>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Desarrollo de Metodologías Ágiles</w:t>
      </w:r>
    </w:p>
    <w:p w14:paraId="6E3823A7" w14:textId="77777777" w:rsidR="00A31FB8" w:rsidRPr="00F74CBC" w:rsidRDefault="000C42FC" w:rsidP="004E337F">
      <w:pPr>
        <w:jc w:val="center"/>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Universidad de Guadalajara · Centro Universitario de Tonalá</w:t>
      </w:r>
    </w:p>
    <w:p w14:paraId="7ABCBEFE" w14:textId="0EB12D01" w:rsidR="00A31FB8" w:rsidRPr="00F74CBC" w:rsidRDefault="000C42FC" w:rsidP="004E337F">
      <w:pPr>
        <w:spacing w:before="520"/>
        <w:jc w:val="center"/>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8 de octubre de 2026</w:t>
      </w:r>
    </w:p>
    <w:p w14:paraId="183E9460" w14:textId="77777777" w:rsidR="00D45BD6" w:rsidRPr="00F74CBC" w:rsidRDefault="00D45BD6">
      <w:pPr>
        <w:pStyle w:val="Ttulo1"/>
        <w:rPr>
          <w:rFonts w:ascii="Times New Roman" w:hAnsi="Times New Roman" w:cs="Times New Roman"/>
          <w:color w:val="000000" w:themeColor="text1"/>
          <w:sz w:val="24"/>
          <w:szCs w:val="24"/>
          <w:lang w:val="es-MX"/>
        </w:rPr>
      </w:pPr>
    </w:p>
    <w:p w14:paraId="00C32657" w14:textId="77777777" w:rsidR="009A3272" w:rsidRPr="00F74CBC" w:rsidRDefault="009A3272" w:rsidP="009A3272">
      <w:pPr>
        <w:rPr>
          <w:rFonts w:ascii="Times New Roman" w:hAnsi="Times New Roman" w:cs="Times New Roman"/>
          <w:color w:val="000000" w:themeColor="text1"/>
          <w:sz w:val="24"/>
          <w:szCs w:val="24"/>
          <w:lang w:val="es-MX"/>
        </w:rPr>
      </w:pPr>
    </w:p>
    <w:p w14:paraId="4C53EF94" w14:textId="77777777" w:rsidR="009A3272" w:rsidRPr="00F74CBC" w:rsidRDefault="009A3272" w:rsidP="009A3272">
      <w:pPr>
        <w:rPr>
          <w:rFonts w:ascii="Times New Roman" w:hAnsi="Times New Roman" w:cs="Times New Roman"/>
          <w:color w:val="000000" w:themeColor="text1"/>
          <w:sz w:val="24"/>
          <w:szCs w:val="24"/>
          <w:lang w:val="es-MX"/>
        </w:rPr>
      </w:pPr>
    </w:p>
    <w:p w14:paraId="5E8971C4" w14:textId="77777777" w:rsidR="009A3272" w:rsidRPr="00F74CBC" w:rsidRDefault="009A3272" w:rsidP="009A3272">
      <w:pPr>
        <w:rPr>
          <w:rFonts w:ascii="Times New Roman" w:hAnsi="Times New Roman" w:cs="Times New Roman"/>
          <w:color w:val="000000" w:themeColor="text1"/>
          <w:sz w:val="24"/>
          <w:szCs w:val="24"/>
          <w:lang w:val="es-MX"/>
        </w:rPr>
      </w:pPr>
    </w:p>
    <w:p w14:paraId="41A1A99B" w14:textId="77777777" w:rsidR="009A3272" w:rsidRPr="00F74CBC" w:rsidRDefault="009A3272" w:rsidP="009A3272">
      <w:pPr>
        <w:rPr>
          <w:rFonts w:ascii="Times New Roman" w:hAnsi="Times New Roman" w:cs="Times New Roman"/>
          <w:color w:val="000000" w:themeColor="text1"/>
          <w:sz w:val="24"/>
          <w:szCs w:val="24"/>
          <w:lang w:val="es-MX"/>
        </w:rPr>
      </w:pPr>
    </w:p>
    <w:p w14:paraId="48FE2DD1" w14:textId="77777777" w:rsidR="009A3272" w:rsidRPr="00F74CBC" w:rsidRDefault="009A3272" w:rsidP="009A3272">
      <w:pPr>
        <w:rPr>
          <w:rFonts w:ascii="Times New Roman" w:hAnsi="Times New Roman" w:cs="Times New Roman"/>
          <w:color w:val="000000" w:themeColor="text1"/>
          <w:sz w:val="24"/>
          <w:szCs w:val="24"/>
          <w:lang w:val="es-MX"/>
        </w:rPr>
      </w:pPr>
    </w:p>
    <w:p w14:paraId="10BE77C2" w14:textId="77777777" w:rsidR="009A3272" w:rsidRPr="00F74CBC" w:rsidRDefault="009A3272" w:rsidP="009A3272">
      <w:pPr>
        <w:rPr>
          <w:rFonts w:ascii="Times New Roman" w:hAnsi="Times New Roman" w:cs="Times New Roman"/>
          <w:color w:val="000000" w:themeColor="text1"/>
          <w:sz w:val="24"/>
          <w:szCs w:val="24"/>
          <w:lang w:val="es-MX"/>
        </w:rPr>
      </w:pPr>
    </w:p>
    <w:p w14:paraId="3CDF35D3" w14:textId="77777777" w:rsidR="009A3272" w:rsidRDefault="009A3272" w:rsidP="009A3272">
      <w:pPr>
        <w:rPr>
          <w:rFonts w:ascii="Times New Roman" w:hAnsi="Times New Roman" w:cs="Times New Roman"/>
          <w:color w:val="000000" w:themeColor="text1"/>
          <w:sz w:val="24"/>
          <w:szCs w:val="24"/>
          <w:lang w:val="es-MX"/>
        </w:rPr>
      </w:pPr>
    </w:p>
    <w:p w14:paraId="43EC8C7A" w14:textId="77777777" w:rsidR="00F74CBC" w:rsidRDefault="00F74CBC" w:rsidP="009A3272">
      <w:pPr>
        <w:rPr>
          <w:rFonts w:ascii="Times New Roman" w:hAnsi="Times New Roman" w:cs="Times New Roman"/>
          <w:color w:val="000000" w:themeColor="text1"/>
          <w:sz w:val="24"/>
          <w:szCs w:val="24"/>
          <w:lang w:val="es-MX"/>
        </w:rPr>
      </w:pPr>
    </w:p>
    <w:p w14:paraId="02A943DF" w14:textId="77777777" w:rsidR="00F74CBC" w:rsidRDefault="00F74CBC" w:rsidP="009A3272">
      <w:pPr>
        <w:rPr>
          <w:rFonts w:ascii="Times New Roman" w:hAnsi="Times New Roman" w:cs="Times New Roman"/>
          <w:color w:val="000000" w:themeColor="text1"/>
          <w:sz w:val="24"/>
          <w:szCs w:val="24"/>
          <w:lang w:val="es-MX"/>
        </w:rPr>
      </w:pPr>
    </w:p>
    <w:p w14:paraId="5AA61121" w14:textId="77777777" w:rsidR="00F74CBC" w:rsidRDefault="00F74CBC" w:rsidP="009A3272">
      <w:pPr>
        <w:rPr>
          <w:rFonts w:ascii="Times New Roman" w:hAnsi="Times New Roman" w:cs="Times New Roman"/>
          <w:color w:val="000000" w:themeColor="text1"/>
          <w:sz w:val="24"/>
          <w:szCs w:val="24"/>
          <w:lang w:val="es-MX"/>
        </w:rPr>
      </w:pPr>
    </w:p>
    <w:p w14:paraId="31088FA6" w14:textId="13E6CC76" w:rsidR="00A31FB8" w:rsidRPr="00F74CBC" w:rsidRDefault="000C42FC">
      <w:pPr>
        <w:pStyle w:val="Ttulo1"/>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lastRenderedPageBreak/>
        <w:t>Resumen ejecutivo</w:t>
      </w:r>
    </w:p>
    <w:p w14:paraId="307BB397"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El soborno académico se estudia aquí como un posible intercambio indebido de dinero, bienes u otros beneficios por decisiones relacionadas con calificaciones, acreditaciones o trámites universitarios. El problema requiere distinguir la experiencia del estudiante, la infracción universitaria y los supuestos de responsabilidad administrativa o penal. Un obsequio, una aportación voluntaria o una relación cercana no bastan por sí solos para demostrar soborno: es necesario esclarecer el vínculo entre el benefici</w:t>
      </w:r>
      <w:r w:rsidRPr="00F74CBC">
        <w:rPr>
          <w:rFonts w:ascii="Times New Roman" w:hAnsi="Times New Roman" w:cs="Times New Roman"/>
          <w:color w:val="000000" w:themeColor="text1"/>
          <w:sz w:val="24"/>
          <w:szCs w:val="24"/>
          <w:lang w:val="es-MX"/>
        </w:rPr>
        <w:t>o y la actuación académica.</w:t>
      </w:r>
    </w:p>
    <w:p w14:paraId="14A56AFF"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La normativa de la Universidad de Guadalajara contempla expresamente la exigencia o recepción de beneficios para otorgar ventajas académicas y el ofrecimiento de beneficios para obtenerlas. Por ello, la orientación no debe limitarse a conflictos interpersonales ni depender de que el caso reúna las características del acoso. El Reglamento de Responsabilidades Vinculadas con Faltas a la Normatividad Universitaria ofrece una vía disciplinaria; la revisión de una calificación constituye un procedimiento distint</w:t>
      </w:r>
      <w:r w:rsidRPr="00F74CBC">
        <w:rPr>
          <w:rFonts w:ascii="Times New Roman" w:hAnsi="Times New Roman" w:cs="Times New Roman"/>
          <w:color w:val="000000" w:themeColor="text1"/>
          <w:sz w:val="24"/>
          <w:szCs w:val="24"/>
          <w:lang w:val="es-MX"/>
        </w:rPr>
        <w:t>o, con un plazo inicial particularmente breve.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 xml:space="preserve">, arts. 21 y 50–56; </w:t>
      </w:r>
      <w:hyperlink w:anchor="S04">
        <w:r w:rsidRPr="00F74CBC">
          <w:rPr>
            <w:rFonts w:ascii="Times New Roman" w:hAnsi="Times New Roman" w:cs="Times New Roman"/>
            <w:color w:val="000000" w:themeColor="text1"/>
            <w:sz w:val="24"/>
            <w:szCs w:val="24"/>
            <w:u w:val="single"/>
            <w:lang w:val="es-MX"/>
          </w:rPr>
          <w:t>S04</w:t>
        </w:r>
      </w:hyperlink>
      <w:r w:rsidRPr="00F74CBC">
        <w:rPr>
          <w:rFonts w:ascii="Times New Roman" w:hAnsi="Times New Roman" w:cs="Times New Roman"/>
          <w:color w:val="000000" w:themeColor="text1"/>
          <w:sz w:val="24"/>
          <w:szCs w:val="24"/>
          <w:lang w:val="es-MX"/>
        </w:rPr>
        <w:t>, art. 49]</w:t>
      </w:r>
    </w:p>
    <w:p w14:paraId="29066286"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Los niveles personal, universitario y legal pueden activarse simultáneamente. El apoyo emocional puede acompañar una denuncia; la universidad puede proteger la continuidad académica mientras una autoridad externa investiga; y una posible conducta delictiva no necesita esperar al fracaso del procedimiento interno. El criterio para solicitar valoración legal es la naturaleza del hecho, su contexto y la competencia de la autoridad, no un monto mínimo fijado por el </w:t>
      </w:r>
      <w:proofErr w:type="spellStart"/>
      <w:r w:rsidRPr="00F74CBC">
        <w:rPr>
          <w:rFonts w:ascii="Times New Roman" w:hAnsi="Times New Roman" w:cs="Times New Roman"/>
          <w:color w:val="000000" w:themeColor="text1"/>
          <w:sz w:val="24"/>
          <w:szCs w:val="24"/>
          <w:lang w:val="es-MX"/>
        </w:rPr>
        <w:t>chatbot</w:t>
      </w:r>
      <w:proofErr w:type="spellEnd"/>
      <w:r w:rsidRPr="00F74CBC">
        <w:rPr>
          <w:rFonts w:ascii="Times New Roman" w:hAnsi="Times New Roman" w:cs="Times New Roman"/>
          <w:color w:val="000000" w:themeColor="text1"/>
          <w:sz w:val="24"/>
          <w:szCs w:val="24"/>
          <w:lang w:val="es-MX"/>
        </w:rPr>
        <w:t>.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 xml:space="preserve">, arts. 23 y 60; </w:t>
      </w:r>
      <w:hyperlink w:anchor="S12">
        <w:r w:rsidRPr="00F74CBC">
          <w:rPr>
            <w:rFonts w:ascii="Times New Roman" w:hAnsi="Times New Roman" w:cs="Times New Roman"/>
            <w:color w:val="000000" w:themeColor="text1"/>
            <w:sz w:val="24"/>
            <w:szCs w:val="24"/>
            <w:u w:val="single"/>
            <w:lang w:val="es-MX"/>
          </w:rPr>
          <w:t>S12</w:t>
        </w:r>
      </w:hyperlink>
      <w:r w:rsidRPr="00F74CBC">
        <w:rPr>
          <w:rFonts w:ascii="Times New Roman" w:hAnsi="Times New Roman" w:cs="Times New Roman"/>
          <w:color w:val="000000" w:themeColor="text1"/>
          <w:sz w:val="24"/>
          <w:szCs w:val="24"/>
          <w:lang w:val="es-MX"/>
        </w:rPr>
        <w:t>–</w:t>
      </w:r>
      <w:hyperlink w:anchor="S16">
        <w:r w:rsidRPr="00F74CBC">
          <w:rPr>
            <w:rFonts w:ascii="Times New Roman" w:hAnsi="Times New Roman" w:cs="Times New Roman"/>
            <w:color w:val="000000" w:themeColor="text1"/>
            <w:sz w:val="24"/>
            <w:szCs w:val="24"/>
            <w:u w:val="single"/>
            <w:lang w:val="es-MX"/>
          </w:rPr>
          <w:t>S16</w:t>
        </w:r>
      </w:hyperlink>
      <w:r w:rsidRPr="00F74CBC">
        <w:rPr>
          <w:rFonts w:ascii="Times New Roman" w:hAnsi="Times New Roman" w:cs="Times New Roman"/>
          <w:color w:val="000000" w:themeColor="text1"/>
          <w:sz w:val="24"/>
          <w:szCs w:val="24"/>
          <w:lang w:val="es-MX"/>
        </w:rPr>
        <w:t>]</w:t>
      </w:r>
    </w:p>
    <w:p w14:paraId="74FE76C2"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En </w:t>
      </w:r>
      <w:proofErr w:type="spellStart"/>
      <w:r w:rsidRPr="00F74CBC">
        <w:rPr>
          <w:rFonts w:ascii="Times New Roman" w:hAnsi="Times New Roman" w:cs="Times New Roman"/>
          <w:color w:val="000000" w:themeColor="text1"/>
          <w:sz w:val="24"/>
          <w:szCs w:val="24"/>
          <w:lang w:val="es-MX"/>
        </w:rPr>
        <w:t>CUTonalá</w:t>
      </w:r>
      <w:proofErr w:type="spellEnd"/>
      <w:r w:rsidRPr="00F74CBC">
        <w:rPr>
          <w:rFonts w:ascii="Times New Roman" w:hAnsi="Times New Roman" w:cs="Times New Roman"/>
          <w:color w:val="000000" w:themeColor="text1"/>
          <w:sz w:val="24"/>
          <w:szCs w:val="24"/>
          <w:lang w:val="es-MX"/>
        </w:rPr>
        <w:t xml:space="preserve"> se identificaron oficinas, correos y recursos de orientación. También se encontraron diferencias entre directorios, una presentación de Primer Contacto centrada en violencia y dificultades para localizar un formulario inequívoco de soborno académico. Estos hallazgos permiten cuestionar la claridad de la información pública. No permiten afirmar que las oficinas rechacen casos, que incumplan plazos o que su atención sea ineficaz, porque no se realizaron denuncias de prueba, llamadas ni seguimiento de</w:t>
      </w:r>
      <w:r w:rsidRPr="00F74CBC">
        <w:rPr>
          <w:rFonts w:ascii="Times New Roman" w:hAnsi="Times New Roman" w:cs="Times New Roman"/>
          <w:color w:val="000000" w:themeColor="text1"/>
          <w:sz w:val="24"/>
          <w:szCs w:val="24"/>
          <w:lang w:val="es-MX"/>
        </w:rPr>
        <w:t xml:space="preserve"> expedientes.</w:t>
      </w:r>
    </w:p>
    <w:p w14:paraId="611EE6A3"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La investigación incorpora los relatos aportados por el autor como antecedentes anónimos, diez escenarios ficticios para analizar decisiones y referencias institucionales verificables. No se identificó, entre las fuentes revisadas, una resolución firme que comprobara los relatos específicos de soborno en </w:t>
      </w:r>
      <w:proofErr w:type="spellStart"/>
      <w:r w:rsidRPr="00F74CBC">
        <w:rPr>
          <w:rFonts w:ascii="Times New Roman" w:hAnsi="Times New Roman" w:cs="Times New Roman"/>
          <w:color w:val="000000" w:themeColor="text1"/>
          <w:sz w:val="24"/>
          <w:szCs w:val="24"/>
          <w:lang w:val="es-MX"/>
        </w:rPr>
        <w:t>CUTonalá</w:t>
      </w:r>
      <w:proofErr w:type="spellEnd"/>
      <w:r w:rsidRPr="00F74CBC">
        <w:rPr>
          <w:rFonts w:ascii="Times New Roman" w:hAnsi="Times New Roman" w:cs="Times New Roman"/>
          <w:color w:val="000000" w:themeColor="text1"/>
          <w:sz w:val="24"/>
          <w:szCs w:val="24"/>
          <w:lang w:val="es-MX"/>
        </w:rPr>
        <w:t>. Los datos oficiales de denuncias por violencia y los casos de otras instituciones se utilizan únicamente dentro de su alcance.</w:t>
      </w:r>
    </w:p>
    <w:p w14:paraId="4A427EAE" w14:textId="7A930B65" w:rsidR="00F74CBC" w:rsidRDefault="00F74CBC">
      <w:pPr>
        <w:pStyle w:val="Ttulo2"/>
        <w:rPr>
          <w:rFonts w:ascii="Times New Roman" w:hAnsi="Times New Roman" w:cs="Times New Roman"/>
          <w:color w:val="000000" w:themeColor="text1"/>
          <w:sz w:val="24"/>
          <w:szCs w:val="24"/>
          <w:lang w:val="es-MX"/>
        </w:rPr>
      </w:pPr>
      <w:r>
        <w:rPr>
          <w:rFonts w:ascii="Times New Roman" w:hAnsi="Times New Roman" w:cs="Times New Roman"/>
          <w:color w:val="000000" w:themeColor="text1"/>
          <w:sz w:val="24"/>
          <w:szCs w:val="24"/>
          <w:lang w:val="es-MX"/>
        </w:rPr>
        <w:br/>
      </w:r>
      <w:r>
        <w:rPr>
          <w:rFonts w:ascii="Times New Roman" w:hAnsi="Times New Roman" w:cs="Times New Roman"/>
          <w:color w:val="000000" w:themeColor="text1"/>
          <w:sz w:val="24"/>
          <w:szCs w:val="24"/>
          <w:lang w:val="es-MX"/>
        </w:rPr>
        <w:br/>
      </w:r>
      <w:r>
        <w:rPr>
          <w:rFonts w:ascii="Times New Roman" w:hAnsi="Times New Roman" w:cs="Times New Roman"/>
          <w:color w:val="000000" w:themeColor="text1"/>
          <w:sz w:val="24"/>
          <w:szCs w:val="24"/>
          <w:lang w:val="es-MX"/>
        </w:rPr>
        <w:br/>
      </w:r>
      <w:r>
        <w:rPr>
          <w:rFonts w:ascii="Times New Roman" w:hAnsi="Times New Roman" w:cs="Times New Roman"/>
          <w:color w:val="000000" w:themeColor="text1"/>
          <w:sz w:val="24"/>
          <w:szCs w:val="24"/>
          <w:lang w:val="es-MX"/>
        </w:rPr>
        <w:br/>
      </w:r>
    </w:p>
    <w:p w14:paraId="22008BA2" w14:textId="77777777" w:rsidR="00F74CBC" w:rsidRDefault="00F74CBC" w:rsidP="00F74CBC">
      <w:pPr>
        <w:rPr>
          <w:lang w:val="es-MX"/>
        </w:rPr>
      </w:pPr>
    </w:p>
    <w:p w14:paraId="47172A7E" w14:textId="77777777" w:rsidR="00F74CBC" w:rsidRPr="00F74CBC" w:rsidRDefault="00F74CBC" w:rsidP="00F74CBC">
      <w:pPr>
        <w:rPr>
          <w:lang w:val="es-MX"/>
        </w:rPr>
      </w:pPr>
    </w:p>
    <w:p w14:paraId="7982E649" w14:textId="62113C48"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lastRenderedPageBreak/>
        <w:t>Organización del documento</w:t>
      </w:r>
    </w:p>
    <w:p w14:paraId="2DC96E04" w14:textId="77777777" w:rsidR="00A31FB8" w:rsidRPr="00F74CBC" w:rsidRDefault="000C42FC">
      <w:pPr>
        <w:spacing w:after="80"/>
        <w:ind w:left="259" w:hanging="259"/>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1. Propósito y metodología de investigación.</w:t>
      </w:r>
    </w:p>
    <w:p w14:paraId="238E4DB8" w14:textId="77777777" w:rsidR="00A31FB8" w:rsidRPr="00F74CBC" w:rsidRDefault="000C42FC">
      <w:pPr>
        <w:spacing w:after="80"/>
        <w:ind w:left="259" w:hanging="259"/>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2. Antecedentes y barreras identificadas por el autor.</w:t>
      </w:r>
    </w:p>
    <w:p w14:paraId="25486383" w14:textId="77777777" w:rsidR="00A31FB8" w:rsidRPr="00F74CBC" w:rsidRDefault="000C42FC">
      <w:pPr>
        <w:spacing w:after="80"/>
        <w:ind w:left="259" w:hanging="259"/>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3. Conceptos y diferencias entre conductas.</w:t>
      </w:r>
    </w:p>
    <w:p w14:paraId="651E5FFF" w14:textId="77777777" w:rsidR="00A31FB8" w:rsidRPr="00F74CBC" w:rsidRDefault="000C42FC">
      <w:pPr>
        <w:spacing w:after="80"/>
        <w:ind w:left="259" w:hanging="259"/>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4. Nivel personal y resguardo de información.</w:t>
      </w:r>
    </w:p>
    <w:p w14:paraId="59559772" w14:textId="77777777" w:rsidR="00A31FB8" w:rsidRPr="00F74CBC" w:rsidRDefault="000C42FC">
      <w:pPr>
        <w:spacing w:after="80"/>
        <w:ind w:left="259" w:hanging="259"/>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5. Ruta universitaria y seguimiento.</w:t>
      </w:r>
    </w:p>
    <w:p w14:paraId="439FDA23" w14:textId="77777777" w:rsidR="00A31FB8" w:rsidRPr="00F74CBC" w:rsidRDefault="000C42FC">
      <w:pPr>
        <w:spacing w:after="80"/>
        <w:ind w:left="259" w:hanging="259"/>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6. Directorio de responsables y recursos.</w:t>
      </w:r>
    </w:p>
    <w:p w14:paraId="668055DE" w14:textId="77777777" w:rsidR="00A31FB8" w:rsidRPr="00F74CBC" w:rsidRDefault="000C42FC">
      <w:pPr>
        <w:spacing w:after="80"/>
        <w:ind w:left="259" w:hanging="259"/>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7. Nivel legal y autoridades externas.</w:t>
      </w:r>
    </w:p>
    <w:p w14:paraId="646B07BA" w14:textId="77777777" w:rsidR="00A31FB8" w:rsidRPr="00F74CBC" w:rsidRDefault="000C42FC">
      <w:pPr>
        <w:spacing w:after="80"/>
        <w:ind w:left="259" w:hanging="259"/>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8. Criterios de importancia y decisión.</w:t>
      </w:r>
    </w:p>
    <w:p w14:paraId="791461DA" w14:textId="77777777" w:rsidR="00A31FB8" w:rsidRPr="00F74CBC" w:rsidRDefault="000C42FC">
      <w:pPr>
        <w:spacing w:after="80"/>
        <w:ind w:left="259" w:hanging="259"/>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9. Escenarios ficticios de aplicación.</w:t>
      </w:r>
    </w:p>
    <w:p w14:paraId="1DFAEEFE" w14:textId="77777777" w:rsidR="00A31FB8" w:rsidRPr="00F74CBC" w:rsidRDefault="000C42FC">
      <w:pPr>
        <w:spacing w:after="80"/>
        <w:ind w:left="259" w:hanging="259"/>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10. Evidencia pública y casos documentados.</w:t>
      </w:r>
    </w:p>
    <w:p w14:paraId="3EAF576C" w14:textId="77777777" w:rsidR="00A31FB8" w:rsidRPr="00F74CBC" w:rsidRDefault="000C42FC">
      <w:pPr>
        <w:spacing w:after="80"/>
        <w:ind w:left="259" w:hanging="259"/>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11. Accesibilidad y límites de la atención publicada.</w:t>
      </w:r>
    </w:p>
    <w:p w14:paraId="67B99935" w14:textId="77777777" w:rsidR="00A31FB8" w:rsidRPr="00F74CBC" w:rsidRDefault="000C42FC">
      <w:pPr>
        <w:spacing w:after="80"/>
        <w:ind w:left="259" w:hanging="259"/>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12. Aplicación al </w:t>
      </w:r>
      <w:proofErr w:type="spellStart"/>
      <w:r w:rsidRPr="00F74CBC">
        <w:rPr>
          <w:rFonts w:ascii="Times New Roman" w:hAnsi="Times New Roman" w:cs="Times New Roman"/>
          <w:color w:val="000000" w:themeColor="text1"/>
          <w:sz w:val="24"/>
          <w:szCs w:val="24"/>
          <w:lang w:val="es-MX"/>
        </w:rPr>
        <w:t>chatbot</w:t>
      </w:r>
      <w:proofErr w:type="spellEnd"/>
      <w:r w:rsidRPr="00F74CBC">
        <w:rPr>
          <w:rFonts w:ascii="Times New Roman" w:hAnsi="Times New Roman" w:cs="Times New Roman"/>
          <w:color w:val="000000" w:themeColor="text1"/>
          <w:sz w:val="24"/>
          <w:szCs w:val="24"/>
          <w:lang w:val="es-MX"/>
        </w:rPr>
        <w:t xml:space="preserve"> y al trabajo por </w:t>
      </w:r>
      <w:proofErr w:type="spellStart"/>
      <w:r w:rsidRPr="00F74CBC">
        <w:rPr>
          <w:rFonts w:ascii="Times New Roman" w:hAnsi="Times New Roman" w:cs="Times New Roman"/>
          <w:color w:val="000000" w:themeColor="text1"/>
          <w:sz w:val="24"/>
          <w:szCs w:val="24"/>
          <w:lang w:val="es-MX"/>
        </w:rPr>
        <w:t>sprints</w:t>
      </w:r>
      <w:proofErr w:type="spellEnd"/>
      <w:r w:rsidRPr="00F74CBC">
        <w:rPr>
          <w:rFonts w:ascii="Times New Roman" w:hAnsi="Times New Roman" w:cs="Times New Roman"/>
          <w:color w:val="000000" w:themeColor="text1"/>
          <w:sz w:val="24"/>
          <w:szCs w:val="24"/>
          <w:lang w:val="es-MX"/>
        </w:rPr>
        <w:t>.</w:t>
      </w:r>
    </w:p>
    <w:p w14:paraId="56377153" w14:textId="77777777" w:rsidR="00A31FB8" w:rsidRPr="00F74CBC" w:rsidRDefault="000C42FC">
      <w:pPr>
        <w:spacing w:after="80"/>
        <w:ind w:left="259" w:hanging="259"/>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13. Conclusiones.</w:t>
      </w:r>
    </w:p>
    <w:p w14:paraId="28036CA6" w14:textId="77777777" w:rsidR="00A31FB8" w:rsidRPr="00F74CBC" w:rsidRDefault="000C42FC">
      <w:pPr>
        <w:spacing w:after="80"/>
        <w:ind w:left="259" w:hanging="259"/>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14. Anexos de registro y consulta.</w:t>
      </w:r>
    </w:p>
    <w:p w14:paraId="266BDA92" w14:textId="77777777" w:rsidR="00A31FB8" w:rsidRPr="00F74CBC" w:rsidRDefault="000C42FC">
      <w:pPr>
        <w:spacing w:after="80"/>
        <w:ind w:left="259" w:hanging="259"/>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15. Fuentes y referencias.</w:t>
      </w:r>
    </w:p>
    <w:p w14:paraId="12ACEAB5" w14:textId="77777777" w:rsidR="00A31FB8" w:rsidRPr="00F74CBC" w:rsidRDefault="000C42FC">
      <w:pPr>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br w:type="page"/>
      </w:r>
    </w:p>
    <w:p w14:paraId="0EB4E92A" w14:textId="77777777" w:rsidR="00A31FB8" w:rsidRPr="00F74CBC" w:rsidRDefault="000C42FC">
      <w:pPr>
        <w:pStyle w:val="Ttulo1"/>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lastRenderedPageBreak/>
        <w:t xml:space="preserve">1 </w:t>
      </w:r>
      <w:proofErr w:type="gramStart"/>
      <w:r w:rsidRPr="00F74CBC">
        <w:rPr>
          <w:rFonts w:ascii="Times New Roman" w:hAnsi="Times New Roman" w:cs="Times New Roman"/>
          <w:color w:val="000000" w:themeColor="text1"/>
          <w:sz w:val="24"/>
          <w:szCs w:val="24"/>
          <w:lang w:val="es-MX"/>
        </w:rPr>
        <w:t>Propósito</w:t>
      </w:r>
      <w:proofErr w:type="gramEnd"/>
      <w:r w:rsidRPr="00F74CBC">
        <w:rPr>
          <w:rFonts w:ascii="Times New Roman" w:hAnsi="Times New Roman" w:cs="Times New Roman"/>
          <w:color w:val="000000" w:themeColor="text1"/>
          <w:sz w:val="24"/>
          <w:szCs w:val="24"/>
          <w:lang w:val="es-MX"/>
        </w:rPr>
        <w:t xml:space="preserve"> y metodología</w:t>
      </w:r>
    </w:p>
    <w:p w14:paraId="4D61A7B4"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1.1 Pregunta y objetivos</w:t>
      </w:r>
    </w:p>
    <w:p w14:paraId="366B8E1E"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La pregunta principal es cómo orientar a una persona de Ingeniería en Ciencias Computacionales de </w:t>
      </w:r>
      <w:proofErr w:type="spellStart"/>
      <w:r w:rsidRPr="00F74CBC">
        <w:rPr>
          <w:rFonts w:ascii="Times New Roman" w:hAnsi="Times New Roman" w:cs="Times New Roman"/>
          <w:color w:val="000000" w:themeColor="text1"/>
          <w:sz w:val="24"/>
          <w:szCs w:val="24"/>
          <w:lang w:val="es-MX"/>
        </w:rPr>
        <w:t>CUTonalá</w:t>
      </w:r>
      <w:proofErr w:type="spellEnd"/>
      <w:r w:rsidRPr="00F74CBC">
        <w:rPr>
          <w:rFonts w:ascii="Times New Roman" w:hAnsi="Times New Roman" w:cs="Times New Roman"/>
          <w:color w:val="000000" w:themeColor="text1"/>
          <w:sz w:val="24"/>
          <w:szCs w:val="24"/>
          <w:lang w:val="es-MX"/>
        </w:rPr>
        <w:t xml:space="preserve"> que relata un posible intercambio indebido de beneficios por una ventaja académica. Se busca identificar qué debe aclararse, qué apoyos existen, qué autoridad puede actuar y cómo fundamentar una canalización sin convertir una clasificación preliminar en una acusación o una resolución.</w:t>
      </w:r>
    </w:p>
    <w:p w14:paraId="5737D3B0"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Los objetivos son delimitar el soborno frente a otras irregularidades; explicar sus posibles consecuencias personales, sociales, académicas y legales; describir las vías universitarias y externas; verificar contactos institucionales; y evaluar la facilidad con que una persona puede localizar información suficiente para pedir ayuda. El resultado también proporciona criterios de contenido para un prototipo académico que responda con fuentes y conserve un registro de orientación.</w:t>
      </w:r>
    </w:p>
    <w:p w14:paraId="13C0E906"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1.2 Diseño y selección de fuentes</w:t>
      </w:r>
    </w:p>
    <w:p w14:paraId="6AB835BD"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Se realizó una revisión documental de fuentes públicas con corte al 8 de octubre de 2026. Se combinaron búsquedas generales, búsquedas restringidas a dominios oficiales, navegación por directorios, consulta de reglamentos y lectura de apartados pertinentes de informes institucionales. Se priorizaron la Secretaría General de la UDG, </w:t>
      </w:r>
      <w:proofErr w:type="spellStart"/>
      <w:r w:rsidRPr="00F74CBC">
        <w:rPr>
          <w:rFonts w:ascii="Times New Roman" w:hAnsi="Times New Roman" w:cs="Times New Roman"/>
          <w:color w:val="000000" w:themeColor="text1"/>
          <w:sz w:val="24"/>
          <w:szCs w:val="24"/>
          <w:lang w:val="es-MX"/>
        </w:rPr>
        <w:t>CUTonalá</w:t>
      </w:r>
      <w:proofErr w:type="spellEnd"/>
      <w:r w:rsidRPr="00F74CBC">
        <w:rPr>
          <w:rFonts w:ascii="Times New Roman" w:hAnsi="Times New Roman" w:cs="Times New Roman"/>
          <w:color w:val="000000" w:themeColor="text1"/>
          <w:sz w:val="24"/>
          <w:szCs w:val="24"/>
          <w:lang w:val="es-MX"/>
        </w:rPr>
        <w:t>, la Defensoría de los Derechos Universitarios, la Contraloría General, el Congreso de Jalisco, la Cámara de Diputados y la Fiscalía Especializada en Combate a la Corrupción de Jalisco.</w:t>
      </w:r>
    </w:p>
    <w:p w14:paraId="37F27418"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La búsqueda abordó términos como soborno, cohecho, ventajas académicas, dinero por calificaciones, regalos por acreditación, denuncia universitaria, medidas cautelares, revisión de evaluación, Primer Contacto, orientación psicológica y responsabilidades administrativas. Las consultas específicas para </w:t>
      </w:r>
      <w:proofErr w:type="spellStart"/>
      <w:r w:rsidRPr="00F74CBC">
        <w:rPr>
          <w:rFonts w:ascii="Times New Roman" w:hAnsi="Times New Roman" w:cs="Times New Roman"/>
          <w:color w:val="000000" w:themeColor="text1"/>
          <w:sz w:val="24"/>
          <w:szCs w:val="24"/>
          <w:lang w:val="es-MX"/>
        </w:rPr>
        <w:t>CUTonalá</w:t>
      </w:r>
      <w:proofErr w:type="spellEnd"/>
      <w:r w:rsidRPr="00F74CBC">
        <w:rPr>
          <w:rFonts w:ascii="Times New Roman" w:hAnsi="Times New Roman" w:cs="Times New Roman"/>
          <w:color w:val="000000" w:themeColor="text1"/>
          <w:sz w:val="24"/>
          <w:szCs w:val="24"/>
          <w:lang w:val="es-MX"/>
        </w:rPr>
        <w:t xml:space="preserve"> se contrastaron con la normativa de toda la Red Universitaria. Se evitó trasladar automáticamente procedimientos de otros centros al CUT.</w:t>
      </w:r>
    </w:p>
    <w:p w14:paraId="6B5C8DCA"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Se distinguieron cuatro clases de evidencia: normas que establecen obligaciones o competencias; páginas de servicios y directorios que describen una oferta institucional; informes y comunicados que documentan actividad reportada; y relatos informales aportados por el autor. Las propuestas de decisión del trabajo están identificadas como tales. Una noticia sobre vinculación a proceso no equivale a una sentencia condenatoria; un informe de actividades no equivale a una auditoría independiente del servicio.</w:t>
      </w:r>
    </w:p>
    <w:p w14:paraId="58B86CC0"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1.3 Alcance y límites</w:t>
      </w:r>
    </w:p>
    <w:p w14:paraId="3630F105"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La revisión fue amplia y orientada a resolver las preguntas del proyecto, pero no constituye una revisión sistemática exhaustiva de toda la literatura ni una búsqueda de expedientes reservados. No se entrevistó a personas denunciantes, no se realizó una encuesta representativa y no se verificaron los relatos individuales. Tampoco se enviaron formularios, se iniciaron sesiones en sistemas escolares o se probaron teléfonos y tiempos reales de atención.</w:t>
      </w:r>
    </w:p>
    <w:p w14:paraId="0E9B1C8B"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Las versiones normativas citadas son las localizadas en repositorios oficiales. La fecha de consulta no garantiza que un directorio se encuentre actualizado ni sustituye el examen de la norma aplicable al </w:t>
      </w:r>
      <w:r w:rsidRPr="00F74CBC">
        <w:rPr>
          <w:rFonts w:ascii="Times New Roman" w:hAnsi="Times New Roman" w:cs="Times New Roman"/>
          <w:color w:val="000000" w:themeColor="text1"/>
          <w:sz w:val="24"/>
          <w:szCs w:val="24"/>
          <w:lang w:val="es-MX"/>
        </w:rPr>
        <w:lastRenderedPageBreak/>
        <w:t>momento de los hechos. Para situaciones anteriores debe analizarse la legislación temporalmente aplicable; las sanciones penales no pueden deducirse únicamente del texto vigente al consultar. Los enlaces y artículos se proporcionan para permitir una revisión posterior.</w:t>
      </w:r>
    </w:p>
    <w:p w14:paraId="6FA2BE29" w14:textId="77777777" w:rsidR="00A31FB8" w:rsidRPr="00F74CBC" w:rsidRDefault="000C42FC">
      <w:pPr>
        <w:pStyle w:val="Ttulo1"/>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2 </w:t>
      </w:r>
      <w:proofErr w:type="gramStart"/>
      <w:r w:rsidRPr="00F74CBC">
        <w:rPr>
          <w:rFonts w:ascii="Times New Roman" w:hAnsi="Times New Roman" w:cs="Times New Roman"/>
          <w:color w:val="000000" w:themeColor="text1"/>
          <w:sz w:val="24"/>
          <w:szCs w:val="24"/>
          <w:lang w:val="es-MX"/>
        </w:rPr>
        <w:t>Antecedentes</w:t>
      </w:r>
      <w:proofErr w:type="gramEnd"/>
      <w:r w:rsidRPr="00F74CBC">
        <w:rPr>
          <w:rFonts w:ascii="Times New Roman" w:hAnsi="Times New Roman" w:cs="Times New Roman"/>
          <w:color w:val="000000" w:themeColor="text1"/>
          <w:sz w:val="24"/>
          <w:szCs w:val="24"/>
          <w:lang w:val="es-MX"/>
        </w:rPr>
        <w:t xml:space="preserve"> y barreras identificadas</w:t>
      </w:r>
    </w:p>
    <w:p w14:paraId="5166178A"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2.1 Relatos que motivan la investigación</w:t>
      </w:r>
    </w:p>
    <w:p w14:paraId="54A1F1A8"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Como punto de partida de esta investigación, se consideran relatos informales que, de acuerdo con lo recabado por el autor, han sido compartidos por estudiantes de distintas generaciones y semestres del Centro Universitario de Tonalá. Estos relatos hacen referencia a posibles prácticas de intercambio de dinero o bienes por ventajas académicas, entre ellas aportaciones económicas presentadas como apoyos a una causa y entregas de obsequios presuntamente vinculadas con la acreditación de materias. También se m</w:t>
      </w:r>
      <w:r w:rsidRPr="00F74CBC">
        <w:rPr>
          <w:rFonts w:ascii="Times New Roman" w:hAnsi="Times New Roman" w:cs="Times New Roman"/>
          <w:color w:val="000000" w:themeColor="text1"/>
          <w:sz w:val="24"/>
          <w:szCs w:val="24"/>
          <w:lang w:val="es-MX"/>
        </w:rPr>
        <w:t>encionan posibles tratos preferenciales en la evaluación relacionados con la cercanía personal entre docentes y estudiantes.</w:t>
      </w:r>
    </w:p>
    <w:p w14:paraId="63C0A2C7"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Estas referencias constituyen antecedentes testimoniales que motivan el estudio. Su recopilación no se realizó mediante una muestra sistemática ni permite establecer la frecuencia de las conductas, comprobar responsabilidades individuales o determinar cuántos episodios distintos representan. Por ello, se presentan sin identificar a las personas señaladas y sin atribuirles el carácter de hechos acreditados.</w:t>
      </w:r>
    </w:p>
    <w:p w14:paraId="7031A9F2"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La circulación de estos relatos plantea preguntas sobre el conocimiento que tiene el alumnado de las reglas de evaluación, los límites entre una aportación voluntaria y un intercambio indebido, y los mecanismos disponibles para solicitar orientación o comunicar una posible irregularidad. Asimismo, justifica examinar cómo distingue la normativa universitaria el soborno de otras conductas, como el favoritismo, y qué respuestas institucionales corresponden a cada supuesto.</w:t>
      </w:r>
    </w:p>
    <w:p w14:paraId="3C519A35"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La repetición de un relato entre generaciones merece atención como fenómeno de comunicación estudiantil. Sin embargo, varias personas pueden estar reproduciendo una misma historia. La investigación debe separar experiencia directa, testimonio de alguien que afirma haber vivido el hecho y comentario de procedencia desconocida. No corresponde sumar menciones como si fueran denuncias independientes ni presentar los nombres comentados como una lista de responsables.</w:t>
      </w:r>
    </w:p>
    <w:p w14:paraId="2195AF4F"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2.2 Normalización de las prácticas</w:t>
      </w:r>
    </w:p>
    <w:p w14:paraId="06732B31"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El autor identifica la normalización como una preocupación central: determinadas prácticas pueden describirse como habituales, como una ayuda benéfica o como una manera de resolver una materia. Esta observación orienta el análisis, pero no constituye una medición del comportamiento de toda la comunidad. Para comprobar su extensión sería necesario un estudio con criterios de selección, consentimiento y protección de participantes.</w:t>
      </w:r>
    </w:p>
    <w:p w14:paraId="0B4CA0D7"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Como hipótesis explicativa, la normalización puede debilitar la identificación de una irregularidad cuando el beneficio académico se presenta como reciprocidad, cooperación o costumbre. El propósito anunciado de una aportación no resuelve la cuestión: interesa saber si existe libertad real de negarse, si se mantiene la misma evaluación y si el apoyo tiene una relación indebida con la calificación. La aprobación social de compañeros no modifica los criterios normativos aplicables.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 art. 21]</w:t>
      </w:r>
    </w:p>
    <w:p w14:paraId="15C307C3"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lastRenderedPageBreak/>
        <w:t>2.3 Miedo a las represalias</w:t>
      </w:r>
    </w:p>
    <w:p w14:paraId="760D8B65"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El autor también señala el miedo a las represalias. En este trabajo se distinguen el temor anticipado, una amenaza concreta y una consecuencia efectivamente ocurrida. El primero requiere escucha y explicación de opciones; la segunda exige documentar el riesgo y solicitar valoración de protección; la tercera puede requerir agregar hechos al expediente y activar una revisión académica o una vía externa, según su naturaleza.</w:t>
      </w:r>
    </w:p>
    <w:p w14:paraId="00A98D71"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Como riesgos a explorar se consideran una evaluación injustificada, obstáculos en trámites, exposición de la identidad, aislamiento entre compañeros y afectaciones al bienestar. No se afirma que estos resultados hayan ocurrido en los relatos aportados. La respuesta institucional debe permitir expresar el temor sin exigir que se materialice el daño para orientar. La normativa universitaria contempla medidas contra amenazas, intimidación y acciones adversas, sujetas a decisión de la autoridad competente.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 arts. 39–46]</w:t>
      </w:r>
    </w:p>
    <w:p w14:paraId="03A3E353"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La documentación debe incluir la incertidumbre del estudiante y su necesidad de protección. Un consejo de confrontar al docente a solas o negociar una calificación puede aumentar la exposición de una persona que depende académicamente de él. Para el prototipo se propone ofrecer acompañamiento y alternativas de recepción antes de sugerir cualquier comunicación directa.</w:t>
      </w:r>
    </w:p>
    <w:p w14:paraId="41548E44" w14:textId="77777777" w:rsidR="00A31FB8" w:rsidRPr="00F74CBC" w:rsidRDefault="000C42FC">
      <w:pPr>
        <w:pStyle w:val="Ttulo1"/>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3 </w:t>
      </w:r>
      <w:proofErr w:type="gramStart"/>
      <w:r w:rsidRPr="00F74CBC">
        <w:rPr>
          <w:rFonts w:ascii="Times New Roman" w:hAnsi="Times New Roman" w:cs="Times New Roman"/>
          <w:color w:val="000000" w:themeColor="text1"/>
          <w:sz w:val="24"/>
          <w:szCs w:val="24"/>
          <w:lang w:val="es-MX"/>
        </w:rPr>
        <w:t>Conceptos</w:t>
      </w:r>
      <w:proofErr w:type="gramEnd"/>
      <w:r w:rsidRPr="00F74CBC">
        <w:rPr>
          <w:rFonts w:ascii="Times New Roman" w:hAnsi="Times New Roman" w:cs="Times New Roman"/>
          <w:color w:val="000000" w:themeColor="text1"/>
          <w:sz w:val="24"/>
          <w:szCs w:val="24"/>
          <w:lang w:val="es-MX"/>
        </w:rPr>
        <w:t xml:space="preserve"> y diferencias relevantes</w:t>
      </w:r>
    </w:p>
    <w:p w14:paraId="63E2A4FE"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3.1 Soborno académico como categoría de análisis</w:t>
      </w:r>
    </w:p>
    <w:p w14:paraId="08E0A082"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Para este proyecto, se emplea soborno académico para describir una solicitud, ofrecimiento, promesa, entrega o recepción de un beneficio indebido vinculado con una ventaja o decisión académica. Es una categoría de orientación que debe traducirse a los supuestos de cada ordenamiento. La denominación cotidiana soborno, la falta administrativa del particular y el delito de cohecho no son intercambiables sin analizar sus elementos.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 xml:space="preserve">, art. 21; </w:t>
      </w:r>
      <w:hyperlink w:anchor="S12">
        <w:r w:rsidRPr="00F74CBC">
          <w:rPr>
            <w:rFonts w:ascii="Times New Roman" w:hAnsi="Times New Roman" w:cs="Times New Roman"/>
            <w:color w:val="000000" w:themeColor="text1"/>
            <w:sz w:val="24"/>
            <w:szCs w:val="24"/>
            <w:u w:val="single"/>
            <w:lang w:val="es-MX"/>
          </w:rPr>
          <w:t>S12</w:t>
        </w:r>
      </w:hyperlink>
      <w:r w:rsidRPr="00F74CBC">
        <w:rPr>
          <w:rFonts w:ascii="Times New Roman" w:hAnsi="Times New Roman" w:cs="Times New Roman"/>
          <w:color w:val="000000" w:themeColor="text1"/>
          <w:sz w:val="24"/>
          <w:szCs w:val="24"/>
          <w:lang w:val="es-MX"/>
        </w:rPr>
        <w:t xml:space="preserve">, arts. 52 y 66; </w:t>
      </w:r>
      <w:hyperlink w:anchor="S13">
        <w:r w:rsidRPr="00F74CBC">
          <w:rPr>
            <w:rFonts w:ascii="Times New Roman" w:hAnsi="Times New Roman" w:cs="Times New Roman"/>
            <w:color w:val="000000" w:themeColor="text1"/>
            <w:sz w:val="24"/>
            <w:szCs w:val="24"/>
            <w:u w:val="single"/>
            <w:lang w:val="es-MX"/>
          </w:rPr>
          <w:t>S13</w:t>
        </w:r>
      </w:hyperlink>
      <w:r w:rsidRPr="00F74CBC">
        <w:rPr>
          <w:rFonts w:ascii="Times New Roman" w:hAnsi="Times New Roman" w:cs="Times New Roman"/>
          <w:color w:val="000000" w:themeColor="text1"/>
          <w:sz w:val="24"/>
          <w:szCs w:val="24"/>
          <w:lang w:val="es-MX"/>
        </w:rPr>
        <w:t>, art. 147]</w:t>
      </w:r>
    </w:p>
    <w:p w14:paraId="2C7A54D9"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El beneficio puede consistir en dinero o bienes y no necesariamente ser para quien evalúa. Para analizar una aportación destinada a terceros importa la relación entre el beneficio solicitado y el ejercicio de la función. Una causa benéfica no autoriza cambiar los criterios de acreditación. Tampoco debe suponerse que todos los participantes tienen la misma posición: una persona que enfrenta una exigencia, quien ofrece voluntariamente una ventaja y quien sólo conoce un comentario requieren preguntas y asesorí</w:t>
      </w:r>
      <w:r w:rsidRPr="00F74CBC">
        <w:rPr>
          <w:rFonts w:ascii="Times New Roman" w:hAnsi="Times New Roman" w:cs="Times New Roman"/>
          <w:color w:val="000000" w:themeColor="text1"/>
          <w:sz w:val="24"/>
          <w:szCs w:val="24"/>
          <w:lang w:val="es-MX"/>
        </w:rPr>
        <w:t>a diferentes.</w:t>
      </w:r>
    </w:p>
    <w:p w14:paraId="6C15D675" w14:textId="77777777" w:rsidR="00A31FB8" w:rsidRPr="00F74CBC" w:rsidRDefault="000C42FC">
      <w:pPr>
        <w:pStyle w:val="Ttulo2"/>
        <w:rPr>
          <w:rFonts w:ascii="Times New Roman" w:hAnsi="Times New Roman" w:cs="Times New Roman"/>
          <w:color w:val="000000" w:themeColor="text1"/>
          <w:sz w:val="24"/>
          <w:szCs w:val="24"/>
        </w:rPr>
      </w:pPr>
      <w:r w:rsidRPr="00F74CBC">
        <w:rPr>
          <w:rFonts w:ascii="Times New Roman" w:hAnsi="Times New Roman" w:cs="Times New Roman"/>
          <w:color w:val="000000" w:themeColor="text1"/>
          <w:sz w:val="24"/>
          <w:szCs w:val="24"/>
        </w:rPr>
        <w:t xml:space="preserve">3.2 </w:t>
      </w:r>
      <w:proofErr w:type="spellStart"/>
      <w:r w:rsidRPr="00F74CBC">
        <w:rPr>
          <w:rFonts w:ascii="Times New Roman" w:hAnsi="Times New Roman" w:cs="Times New Roman"/>
          <w:color w:val="000000" w:themeColor="text1"/>
          <w:sz w:val="24"/>
          <w:szCs w:val="24"/>
        </w:rPr>
        <w:t>Conductas</w:t>
      </w:r>
      <w:proofErr w:type="spellEnd"/>
      <w:r w:rsidRPr="00F74CBC">
        <w:rPr>
          <w:rFonts w:ascii="Times New Roman" w:hAnsi="Times New Roman" w:cs="Times New Roman"/>
          <w:color w:val="000000" w:themeColor="text1"/>
          <w:sz w:val="24"/>
          <w:szCs w:val="24"/>
        </w:rPr>
        <w:t xml:space="preserve"> </w:t>
      </w:r>
      <w:proofErr w:type="spellStart"/>
      <w:r w:rsidRPr="00F74CBC">
        <w:rPr>
          <w:rFonts w:ascii="Times New Roman" w:hAnsi="Times New Roman" w:cs="Times New Roman"/>
          <w:color w:val="000000" w:themeColor="text1"/>
          <w:sz w:val="24"/>
          <w:szCs w:val="24"/>
        </w:rPr>
        <w:t>que</w:t>
      </w:r>
      <w:proofErr w:type="spellEnd"/>
      <w:r w:rsidRPr="00F74CBC">
        <w:rPr>
          <w:rFonts w:ascii="Times New Roman" w:hAnsi="Times New Roman" w:cs="Times New Roman"/>
          <w:color w:val="000000" w:themeColor="text1"/>
          <w:sz w:val="24"/>
          <w:szCs w:val="24"/>
        </w:rPr>
        <w:t xml:space="preserve"> </w:t>
      </w:r>
      <w:proofErr w:type="spellStart"/>
      <w:r w:rsidRPr="00F74CBC">
        <w:rPr>
          <w:rFonts w:ascii="Times New Roman" w:hAnsi="Times New Roman" w:cs="Times New Roman"/>
          <w:color w:val="000000" w:themeColor="text1"/>
          <w:sz w:val="24"/>
          <w:szCs w:val="24"/>
        </w:rPr>
        <w:t>deben</w:t>
      </w:r>
      <w:proofErr w:type="spellEnd"/>
      <w:r w:rsidRPr="00F74CBC">
        <w:rPr>
          <w:rFonts w:ascii="Times New Roman" w:hAnsi="Times New Roman" w:cs="Times New Roman"/>
          <w:color w:val="000000" w:themeColor="text1"/>
          <w:sz w:val="24"/>
          <w:szCs w:val="24"/>
        </w:rPr>
        <w:t xml:space="preserve"> distinguirse</w:t>
      </w:r>
    </w:p>
    <w:tbl>
      <w:tblPr>
        <w:tblStyle w:val="Tablaconcuadrcula"/>
        <w:tblW w:w="0" w:type="auto"/>
        <w:tblLayout w:type="fixed"/>
        <w:tblLook w:val="04A0" w:firstRow="1" w:lastRow="0" w:firstColumn="1" w:lastColumn="0" w:noHBand="0" w:noVBand="1"/>
      </w:tblPr>
      <w:tblGrid>
        <w:gridCol w:w="2232"/>
        <w:gridCol w:w="3672"/>
        <w:gridCol w:w="3888"/>
      </w:tblGrid>
      <w:tr w:rsidR="00A31FB8" w:rsidRPr="00F74CBC" w14:paraId="2DC2D9DE" w14:textId="77777777" w:rsidTr="00F74CBC">
        <w:tc>
          <w:tcPr>
            <w:tcW w:w="2232" w:type="dxa"/>
          </w:tcPr>
          <w:p w14:paraId="1CD1273D"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b/>
                <w:color w:val="000000" w:themeColor="text1"/>
                <w:sz w:val="24"/>
                <w:szCs w:val="24"/>
              </w:rPr>
              <w:t>Situación</w:t>
            </w:r>
          </w:p>
        </w:tc>
        <w:tc>
          <w:tcPr>
            <w:tcW w:w="3672" w:type="dxa"/>
          </w:tcPr>
          <w:p w14:paraId="1EDB15D2"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b/>
                <w:color w:val="000000" w:themeColor="text1"/>
                <w:sz w:val="24"/>
                <w:szCs w:val="24"/>
              </w:rPr>
              <w:t>Dato que debe aclararse</w:t>
            </w:r>
          </w:p>
        </w:tc>
        <w:tc>
          <w:tcPr>
            <w:tcW w:w="3888" w:type="dxa"/>
          </w:tcPr>
          <w:p w14:paraId="55E0D7C7"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b/>
                <w:color w:val="000000" w:themeColor="text1"/>
                <w:sz w:val="24"/>
                <w:szCs w:val="24"/>
              </w:rPr>
              <w:t>Orientación inicial</w:t>
            </w:r>
          </w:p>
        </w:tc>
      </w:tr>
      <w:tr w:rsidR="00A31FB8" w:rsidRPr="00F74CBC" w14:paraId="78C9E1DA" w14:textId="77777777" w:rsidTr="00F74CBC">
        <w:tc>
          <w:tcPr>
            <w:tcW w:w="2232" w:type="dxa"/>
          </w:tcPr>
          <w:p w14:paraId="272CD4B2"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color w:val="000000" w:themeColor="text1"/>
                <w:sz w:val="24"/>
                <w:szCs w:val="24"/>
              </w:rPr>
              <w:t>Donación o cooperación</w:t>
            </w:r>
          </w:p>
        </w:tc>
        <w:tc>
          <w:tcPr>
            <w:tcW w:w="3672" w:type="dxa"/>
          </w:tcPr>
          <w:p w14:paraId="7DE8693B"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Voluntariedad, destino y ausencia de efectos en la evaluación</w:t>
            </w:r>
          </w:p>
        </w:tc>
        <w:tc>
          <w:tcPr>
            <w:tcW w:w="3888" w:type="dxa"/>
          </w:tcPr>
          <w:p w14:paraId="581A01F4"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Verificar reglas y autorización; no clasificar automáticamente como soborno</w:t>
            </w:r>
          </w:p>
        </w:tc>
      </w:tr>
      <w:tr w:rsidR="00A31FB8" w:rsidRPr="00F74CBC" w14:paraId="1AEA7CA8" w14:textId="77777777" w:rsidTr="00F74CBC">
        <w:tc>
          <w:tcPr>
            <w:tcW w:w="2232" w:type="dxa"/>
          </w:tcPr>
          <w:p w14:paraId="73EA5DD4" w14:textId="77777777" w:rsidR="00A31FB8" w:rsidRPr="00F74CBC" w:rsidRDefault="000C42FC">
            <w:pPr>
              <w:spacing w:after="0" w:line="252" w:lineRule="auto"/>
              <w:rPr>
                <w:rFonts w:ascii="Times New Roman" w:hAnsi="Times New Roman" w:cs="Times New Roman"/>
                <w:color w:val="000000" w:themeColor="text1"/>
                <w:sz w:val="24"/>
                <w:szCs w:val="24"/>
                <w:lang w:val="pt-BR"/>
              </w:rPr>
            </w:pPr>
            <w:proofErr w:type="spellStart"/>
            <w:r w:rsidRPr="00F74CBC">
              <w:rPr>
                <w:rFonts w:ascii="Times New Roman" w:hAnsi="Times New Roman" w:cs="Times New Roman"/>
                <w:color w:val="000000" w:themeColor="text1"/>
                <w:sz w:val="24"/>
                <w:szCs w:val="24"/>
                <w:lang w:val="pt-BR"/>
              </w:rPr>
              <w:t>Dinero</w:t>
            </w:r>
            <w:proofErr w:type="spellEnd"/>
            <w:r w:rsidRPr="00F74CBC">
              <w:rPr>
                <w:rFonts w:ascii="Times New Roman" w:hAnsi="Times New Roman" w:cs="Times New Roman"/>
                <w:color w:val="000000" w:themeColor="text1"/>
                <w:sz w:val="24"/>
                <w:szCs w:val="24"/>
                <w:lang w:val="pt-BR"/>
              </w:rPr>
              <w:t xml:space="preserve"> o regalo por acreditar</w:t>
            </w:r>
          </w:p>
        </w:tc>
        <w:tc>
          <w:tcPr>
            <w:tcW w:w="3672" w:type="dxa"/>
          </w:tcPr>
          <w:p w14:paraId="011E951E"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Nexo entre beneficio y decisión académica</w:t>
            </w:r>
          </w:p>
        </w:tc>
        <w:tc>
          <w:tcPr>
            <w:tcW w:w="3888" w:type="dxa"/>
          </w:tcPr>
          <w:p w14:paraId="0D4B4032"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Posible infracción universitaria y valoración jurídica</w:t>
            </w:r>
          </w:p>
        </w:tc>
      </w:tr>
      <w:tr w:rsidR="00A31FB8" w:rsidRPr="00F74CBC" w14:paraId="5C91D3FE" w14:textId="77777777" w:rsidTr="00F74CBC">
        <w:tc>
          <w:tcPr>
            <w:tcW w:w="2232" w:type="dxa"/>
          </w:tcPr>
          <w:p w14:paraId="30BD0ABE" w14:textId="77777777" w:rsidR="00A31FB8" w:rsidRPr="00F74CBC" w:rsidRDefault="000C42FC">
            <w:pPr>
              <w:spacing w:after="0" w:line="252" w:lineRule="auto"/>
              <w:rPr>
                <w:rFonts w:ascii="Times New Roman" w:hAnsi="Times New Roman" w:cs="Times New Roman"/>
                <w:color w:val="000000" w:themeColor="text1"/>
                <w:sz w:val="24"/>
                <w:szCs w:val="24"/>
              </w:rPr>
            </w:pPr>
            <w:proofErr w:type="spellStart"/>
            <w:r w:rsidRPr="00F74CBC">
              <w:rPr>
                <w:rFonts w:ascii="Times New Roman" w:hAnsi="Times New Roman" w:cs="Times New Roman"/>
                <w:color w:val="000000" w:themeColor="text1"/>
                <w:sz w:val="24"/>
                <w:szCs w:val="24"/>
              </w:rPr>
              <w:t>Ofrecimiento</w:t>
            </w:r>
            <w:proofErr w:type="spellEnd"/>
            <w:r w:rsidRPr="00F74CBC">
              <w:rPr>
                <w:rFonts w:ascii="Times New Roman" w:hAnsi="Times New Roman" w:cs="Times New Roman"/>
                <w:color w:val="000000" w:themeColor="text1"/>
                <w:sz w:val="24"/>
                <w:szCs w:val="24"/>
              </w:rPr>
              <w:t xml:space="preserve"> </w:t>
            </w:r>
            <w:proofErr w:type="spellStart"/>
            <w:r w:rsidRPr="00F74CBC">
              <w:rPr>
                <w:rFonts w:ascii="Times New Roman" w:hAnsi="Times New Roman" w:cs="Times New Roman"/>
                <w:color w:val="000000" w:themeColor="text1"/>
                <w:sz w:val="24"/>
                <w:szCs w:val="24"/>
              </w:rPr>
              <w:t>rechazado</w:t>
            </w:r>
            <w:proofErr w:type="spellEnd"/>
          </w:p>
        </w:tc>
        <w:tc>
          <w:tcPr>
            <w:tcW w:w="3672" w:type="dxa"/>
          </w:tcPr>
          <w:p w14:paraId="5F51E4B7"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Quién ofreció, para qué y cómo respondió la otra persona</w:t>
            </w:r>
          </w:p>
        </w:tc>
        <w:tc>
          <w:tcPr>
            <w:tcW w:w="3888" w:type="dxa"/>
          </w:tcPr>
          <w:p w14:paraId="63C01FD3"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Puede existir conducta </w:t>
            </w:r>
            <w:proofErr w:type="gramStart"/>
            <w:r w:rsidRPr="00F74CBC">
              <w:rPr>
                <w:rFonts w:ascii="Times New Roman" w:hAnsi="Times New Roman" w:cs="Times New Roman"/>
                <w:color w:val="000000" w:themeColor="text1"/>
                <w:sz w:val="24"/>
                <w:szCs w:val="24"/>
                <w:lang w:val="es-MX"/>
              </w:rPr>
              <w:t>relevante</w:t>
            </w:r>
            <w:proofErr w:type="gramEnd"/>
            <w:r w:rsidRPr="00F74CBC">
              <w:rPr>
                <w:rFonts w:ascii="Times New Roman" w:hAnsi="Times New Roman" w:cs="Times New Roman"/>
                <w:color w:val="000000" w:themeColor="text1"/>
                <w:sz w:val="24"/>
                <w:szCs w:val="24"/>
                <w:lang w:val="es-MX"/>
              </w:rPr>
              <w:t xml:space="preserve"> aunque no haya pago o aceptación</w:t>
            </w:r>
          </w:p>
        </w:tc>
      </w:tr>
      <w:tr w:rsidR="00A31FB8" w:rsidRPr="00F74CBC" w14:paraId="4BF12C3A" w14:textId="77777777" w:rsidTr="00F74CBC">
        <w:tc>
          <w:tcPr>
            <w:tcW w:w="2232" w:type="dxa"/>
          </w:tcPr>
          <w:p w14:paraId="617E9827" w14:textId="77777777" w:rsidR="00A31FB8" w:rsidRPr="00F74CBC" w:rsidRDefault="000C42FC">
            <w:pPr>
              <w:spacing w:after="0" w:line="252" w:lineRule="auto"/>
              <w:rPr>
                <w:rFonts w:ascii="Times New Roman" w:hAnsi="Times New Roman" w:cs="Times New Roman"/>
                <w:color w:val="000000" w:themeColor="text1"/>
                <w:sz w:val="24"/>
                <w:szCs w:val="24"/>
              </w:rPr>
            </w:pPr>
            <w:proofErr w:type="spellStart"/>
            <w:r w:rsidRPr="00F74CBC">
              <w:rPr>
                <w:rFonts w:ascii="Times New Roman" w:hAnsi="Times New Roman" w:cs="Times New Roman"/>
                <w:color w:val="000000" w:themeColor="text1"/>
                <w:sz w:val="24"/>
                <w:szCs w:val="24"/>
              </w:rPr>
              <w:t>Trato</w:t>
            </w:r>
            <w:proofErr w:type="spellEnd"/>
            <w:r w:rsidRPr="00F74CBC">
              <w:rPr>
                <w:rFonts w:ascii="Times New Roman" w:hAnsi="Times New Roman" w:cs="Times New Roman"/>
                <w:color w:val="000000" w:themeColor="text1"/>
                <w:sz w:val="24"/>
                <w:szCs w:val="24"/>
              </w:rPr>
              <w:t xml:space="preserve"> </w:t>
            </w:r>
            <w:proofErr w:type="spellStart"/>
            <w:r w:rsidRPr="00F74CBC">
              <w:rPr>
                <w:rFonts w:ascii="Times New Roman" w:hAnsi="Times New Roman" w:cs="Times New Roman"/>
                <w:color w:val="000000" w:themeColor="text1"/>
                <w:sz w:val="24"/>
                <w:szCs w:val="24"/>
              </w:rPr>
              <w:t>preferencial</w:t>
            </w:r>
            <w:proofErr w:type="spellEnd"/>
          </w:p>
        </w:tc>
        <w:tc>
          <w:tcPr>
            <w:tcW w:w="3672" w:type="dxa"/>
          </w:tcPr>
          <w:p w14:paraId="50A00B0D"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Criterios de evaluación y ventaja </w:t>
            </w:r>
            <w:r w:rsidRPr="00F74CBC">
              <w:rPr>
                <w:rFonts w:ascii="Times New Roman" w:hAnsi="Times New Roman" w:cs="Times New Roman"/>
                <w:color w:val="000000" w:themeColor="text1"/>
                <w:sz w:val="24"/>
                <w:szCs w:val="24"/>
                <w:lang w:val="es-MX"/>
              </w:rPr>
              <w:lastRenderedPageBreak/>
              <w:t>injustificada; existencia o no de contraprestación</w:t>
            </w:r>
          </w:p>
        </w:tc>
        <w:tc>
          <w:tcPr>
            <w:tcW w:w="3888" w:type="dxa"/>
          </w:tcPr>
          <w:p w14:paraId="26D4C75E"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lastRenderedPageBreak/>
              <w:t xml:space="preserve">Examinar imparcialidad y revisión </w:t>
            </w:r>
            <w:r w:rsidRPr="00F74CBC">
              <w:rPr>
                <w:rFonts w:ascii="Times New Roman" w:hAnsi="Times New Roman" w:cs="Times New Roman"/>
                <w:color w:val="000000" w:themeColor="text1"/>
                <w:sz w:val="24"/>
                <w:szCs w:val="24"/>
                <w:lang w:val="es-MX"/>
              </w:rPr>
              <w:lastRenderedPageBreak/>
              <w:t>académica; no inventar intercambio</w:t>
            </w:r>
          </w:p>
        </w:tc>
      </w:tr>
      <w:tr w:rsidR="00A31FB8" w:rsidRPr="00F74CBC" w14:paraId="2B5B868F" w14:textId="77777777" w:rsidTr="00F74CBC">
        <w:tc>
          <w:tcPr>
            <w:tcW w:w="2232" w:type="dxa"/>
          </w:tcPr>
          <w:p w14:paraId="7E3A870E"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color w:val="000000" w:themeColor="text1"/>
                <w:sz w:val="24"/>
                <w:szCs w:val="24"/>
              </w:rPr>
              <w:lastRenderedPageBreak/>
              <w:t xml:space="preserve">Error de </w:t>
            </w:r>
            <w:proofErr w:type="spellStart"/>
            <w:r w:rsidRPr="00F74CBC">
              <w:rPr>
                <w:rFonts w:ascii="Times New Roman" w:hAnsi="Times New Roman" w:cs="Times New Roman"/>
                <w:color w:val="000000" w:themeColor="text1"/>
                <w:sz w:val="24"/>
                <w:szCs w:val="24"/>
              </w:rPr>
              <w:t>calificación</w:t>
            </w:r>
            <w:proofErr w:type="spellEnd"/>
          </w:p>
        </w:tc>
        <w:tc>
          <w:tcPr>
            <w:tcW w:w="3672" w:type="dxa"/>
          </w:tcPr>
          <w:p w14:paraId="265C2A0F"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Evidencias de desempeño y criterio aplicado</w:t>
            </w:r>
          </w:p>
        </w:tc>
        <w:tc>
          <w:tcPr>
            <w:tcW w:w="3888" w:type="dxa"/>
          </w:tcPr>
          <w:p w14:paraId="38C65299"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Solicitar revisión de evaluación por la vía correspondiente</w:t>
            </w:r>
          </w:p>
        </w:tc>
      </w:tr>
      <w:tr w:rsidR="00A31FB8" w:rsidRPr="00F74CBC" w14:paraId="1FFE7F5E" w14:textId="77777777" w:rsidTr="00F74CBC">
        <w:tc>
          <w:tcPr>
            <w:tcW w:w="2232" w:type="dxa"/>
          </w:tcPr>
          <w:p w14:paraId="7145E0A8"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Amenaza vinculada a una exigencia</w:t>
            </w:r>
          </w:p>
        </w:tc>
        <w:tc>
          <w:tcPr>
            <w:tcW w:w="3672" w:type="dxa"/>
          </w:tcPr>
          <w:p w14:paraId="20C87C87"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Contenido, inmediatez, capacidad de causar daño y dependencia académica</w:t>
            </w:r>
          </w:p>
        </w:tc>
        <w:tc>
          <w:tcPr>
            <w:tcW w:w="3888" w:type="dxa"/>
          </w:tcPr>
          <w:p w14:paraId="465E054F"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Protección y valoración de posibles infracciones adicionales</w:t>
            </w:r>
          </w:p>
        </w:tc>
      </w:tr>
      <w:tr w:rsidR="00A31FB8" w:rsidRPr="00F74CBC" w14:paraId="4B423C2A" w14:textId="77777777" w:rsidTr="00F74CBC">
        <w:tc>
          <w:tcPr>
            <w:tcW w:w="2232" w:type="dxa"/>
          </w:tcPr>
          <w:p w14:paraId="0169008F" w14:textId="77777777" w:rsidR="00A31FB8" w:rsidRPr="00F74CBC" w:rsidRDefault="000C42FC">
            <w:pPr>
              <w:spacing w:after="0" w:line="252" w:lineRule="auto"/>
              <w:rPr>
                <w:rFonts w:ascii="Times New Roman" w:hAnsi="Times New Roman" w:cs="Times New Roman"/>
                <w:color w:val="000000" w:themeColor="text1"/>
                <w:sz w:val="24"/>
                <w:szCs w:val="24"/>
              </w:rPr>
            </w:pPr>
            <w:proofErr w:type="spellStart"/>
            <w:r w:rsidRPr="00F74CBC">
              <w:rPr>
                <w:rFonts w:ascii="Times New Roman" w:hAnsi="Times New Roman" w:cs="Times New Roman"/>
                <w:color w:val="000000" w:themeColor="text1"/>
                <w:sz w:val="24"/>
                <w:szCs w:val="24"/>
              </w:rPr>
              <w:t>Cobro</w:t>
            </w:r>
            <w:proofErr w:type="spellEnd"/>
            <w:r w:rsidRPr="00F74CBC">
              <w:rPr>
                <w:rFonts w:ascii="Times New Roman" w:hAnsi="Times New Roman" w:cs="Times New Roman"/>
                <w:color w:val="000000" w:themeColor="text1"/>
                <w:sz w:val="24"/>
                <w:szCs w:val="24"/>
              </w:rPr>
              <w:t xml:space="preserve"> de un </w:t>
            </w:r>
            <w:proofErr w:type="spellStart"/>
            <w:r w:rsidRPr="00F74CBC">
              <w:rPr>
                <w:rFonts w:ascii="Times New Roman" w:hAnsi="Times New Roman" w:cs="Times New Roman"/>
                <w:color w:val="000000" w:themeColor="text1"/>
                <w:sz w:val="24"/>
                <w:szCs w:val="24"/>
              </w:rPr>
              <w:t>intermediario</w:t>
            </w:r>
            <w:proofErr w:type="spellEnd"/>
          </w:p>
        </w:tc>
        <w:tc>
          <w:tcPr>
            <w:tcW w:w="3672" w:type="dxa"/>
          </w:tcPr>
          <w:p w14:paraId="34472566"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Facultad real para modificar un resultado y destino del pago</w:t>
            </w:r>
          </w:p>
        </w:tc>
        <w:tc>
          <w:tcPr>
            <w:tcW w:w="3888" w:type="dxa"/>
          </w:tcPr>
          <w:p w14:paraId="28727D6B"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Posible engaño u otra irregularidad; clasificación jurídica abierta</w:t>
            </w:r>
          </w:p>
        </w:tc>
      </w:tr>
    </w:tbl>
    <w:p w14:paraId="470AE1A0" w14:textId="77777777" w:rsidR="00A31FB8" w:rsidRPr="00F74CBC" w:rsidRDefault="00A31FB8">
      <w:pPr>
        <w:spacing w:after="40" w:line="240" w:lineRule="auto"/>
        <w:rPr>
          <w:rFonts w:ascii="Times New Roman" w:hAnsi="Times New Roman" w:cs="Times New Roman"/>
          <w:color w:val="000000" w:themeColor="text1"/>
          <w:sz w:val="24"/>
          <w:szCs w:val="24"/>
          <w:lang w:val="es-MX"/>
        </w:rPr>
      </w:pPr>
    </w:p>
    <w:p w14:paraId="077E8880"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La matriz es una propuesta de análisis. No sustituye los elementos legales ni determina culpabilidad. Una misma narración puede contener más de una conducta; por ejemplo, una exigencia de dinero, una amenaza y una modificación irregular de calificación.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 xml:space="preserve">; </w:t>
      </w:r>
      <w:hyperlink w:anchor="S12">
        <w:r w:rsidRPr="00F74CBC">
          <w:rPr>
            <w:rFonts w:ascii="Times New Roman" w:hAnsi="Times New Roman" w:cs="Times New Roman"/>
            <w:color w:val="000000" w:themeColor="text1"/>
            <w:sz w:val="24"/>
            <w:szCs w:val="24"/>
            <w:u w:val="single"/>
            <w:lang w:val="es-MX"/>
          </w:rPr>
          <w:t>S12</w:t>
        </w:r>
      </w:hyperlink>
      <w:r w:rsidRPr="00F74CBC">
        <w:rPr>
          <w:rFonts w:ascii="Times New Roman" w:hAnsi="Times New Roman" w:cs="Times New Roman"/>
          <w:color w:val="000000" w:themeColor="text1"/>
          <w:sz w:val="24"/>
          <w:szCs w:val="24"/>
          <w:lang w:val="es-MX"/>
        </w:rPr>
        <w:t>–</w:t>
      </w:r>
      <w:hyperlink w:anchor="S16">
        <w:r w:rsidRPr="00F74CBC">
          <w:rPr>
            <w:rFonts w:ascii="Times New Roman" w:hAnsi="Times New Roman" w:cs="Times New Roman"/>
            <w:color w:val="000000" w:themeColor="text1"/>
            <w:sz w:val="24"/>
            <w:szCs w:val="24"/>
            <w:u w:val="single"/>
            <w:lang w:val="es-MX"/>
          </w:rPr>
          <w:t>S16</w:t>
        </w:r>
      </w:hyperlink>
      <w:r w:rsidRPr="00F74CBC">
        <w:rPr>
          <w:rFonts w:ascii="Times New Roman" w:hAnsi="Times New Roman" w:cs="Times New Roman"/>
          <w:color w:val="000000" w:themeColor="text1"/>
          <w:sz w:val="24"/>
          <w:szCs w:val="24"/>
          <w:lang w:val="es-MX"/>
        </w:rPr>
        <w:t>]</w:t>
      </w:r>
    </w:p>
    <w:p w14:paraId="1C475405"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3.3 Consecuencias y bienes afectados</w:t>
      </w:r>
    </w:p>
    <w:p w14:paraId="776EFC29"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En el plano académico, una decisión condicionada por beneficios ajenos al aprendizaje compromete la igualdad de evaluación y la confianza en la acreditación. Puede afectar al estudiante al que se exige pagar y al resto del grupo, aun cuando el intercambio no llegue a consumarse. Una reparación académica debe tramitarse por la autoridad facultada; denunciar no implica obtener automáticamente una calificación de cien o la aprobación de una materia.</w:t>
      </w:r>
    </w:p>
    <w:p w14:paraId="77CCA182"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En el plano social pueden surgir presiones para participar, conflictos entre compañeros y desconfianza hacia la docencia. En el económico pueden aparecer gastos no previstos o pérdida de recursos. En el personal pueden presentarse preocupación, culpa o temor por la continuidad escolar. Estas son dimensiones posibles para la entrevista, no diagnósticos ni consecuencias comprobadas en cada caso. El apoyo psicológico debe responder al malestar expresado, sin condicionar su acceso a una resolución disciplinaria</w:t>
      </w:r>
      <w:r w:rsidRPr="00F74CBC">
        <w:rPr>
          <w:rFonts w:ascii="Times New Roman" w:hAnsi="Times New Roman" w:cs="Times New Roman"/>
          <w:color w:val="000000" w:themeColor="text1"/>
          <w:sz w:val="24"/>
          <w:szCs w:val="24"/>
          <w:lang w:val="es-MX"/>
        </w:rPr>
        <w:t>.</w:t>
      </w:r>
    </w:p>
    <w:p w14:paraId="005CF8BC"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En el plano institucional y legal pueden existir procedimientos disciplinarios, laborales, de responsabilidades administrativas o penales, según los hechos y la condición de las personas involucradas. Las consecuencias requieren prueba, competencia y debido proceso. El </w:t>
      </w:r>
      <w:proofErr w:type="spellStart"/>
      <w:r w:rsidRPr="00F74CBC">
        <w:rPr>
          <w:rFonts w:ascii="Times New Roman" w:hAnsi="Times New Roman" w:cs="Times New Roman"/>
          <w:color w:val="000000" w:themeColor="text1"/>
          <w:sz w:val="24"/>
          <w:szCs w:val="24"/>
          <w:lang w:val="es-MX"/>
        </w:rPr>
        <w:t>chatbot</w:t>
      </w:r>
      <w:proofErr w:type="spellEnd"/>
      <w:r w:rsidRPr="00F74CBC">
        <w:rPr>
          <w:rFonts w:ascii="Times New Roman" w:hAnsi="Times New Roman" w:cs="Times New Roman"/>
          <w:color w:val="000000" w:themeColor="text1"/>
          <w:sz w:val="24"/>
          <w:szCs w:val="24"/>
          <w:lang w:val="es-MX"/>
        </w:rPr>
        <w:t xml:space="preserve"> no debe anunciar destituciones, expulsiones, prisión ni impunidad como resultados seguros.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 xml:space="preserve">, arts. 23–24; </w:t>
      </w:r>
      <w:hyperlink w:anchor="S12">
        <w:r w:rsidRPr="00F74CBC">
          <w:rPr>
            <w:rFonts w:ascii="Times New Roman" w:hAnsi="Times New Roman" w:cs="Times New Roman"/>
            <w:color w:val="000000" w:themeColor="text1"/>
            <w:sz w:val="24"/>
            <w:szCs w:val="24"/>
            <w:u w:val="single"/>
            <w:lang w:val="es-MX"/>
          </w:rPr>
          <w:t>S12</w:t>
        </w:r>
      </w:hyperlink>
      <w:r w:rsidRPr="00F74CBC">
        <w:rPr>
          <w:rFonts w:ascii="Times New Roman" w:hAnsi="Times New Roman" w:cs="Times New Roman"/>
          <w:color w:val="000000" w:themeColor="text1"/>
          <w:sz w:val="24"/>
          <w:szCs w:val="24"/>
          <w:lang w:val="es-MX"/>
        </w:rPr>
        <w:t>–</w:t>
      </w:r>
      <w:hyperlink w:anchor="S16">
        <w:r w:rsidRPr="00F74CBC">
          <w:rPr>
            <w:rFonts w:ascii="Times New Roman" w:hAnsi="Times New Roman" w:cs="Times New Roman"/>
            <w:color w:val="000000" w:themeColor="text1"/>
            <w:sz w:val="24"/>
            <w:szCs w:val="24"/>
            <w:u w:val="single"/>
            <w:lang w:val="es-MX"/>
          </w:rPr>
          <w:t>S16</w:t>
        </w:r>
      </w:hyperlink>
      <w:r w:rsidRPr="00F74CBC">
        <w:rPr>
          <w:rFonts w:ascii="Times New Roman" w:hAnsi="Times New Roman" w:cs="Times New Roman"/>
          <w:color w:val="000000" w:themeColor="text1"/>
          <w:sz w:val="24"/>
          <w:szCs w:val="24"/>
          <w:lang w:val="es-MX"/>
        </w:rPr>
        <w:t>]</w:t>
      </w:r>
    </w:p>
    <w:p w14:paraId="09BEE532" w14:textId="77777777" w:rsidR="00A31FB8" w:rsidRPr="00F74CBC" w:rsidRDefault="000C42FC">
      <w:pPr>
        <w:pStyle w:val="Ttulo1"/>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4 </w:t>
      </w:r>
      <w:proofErr w:type="gramStart"/>
      <w:r w:rsidRPr="00F74CBC">
        <w:rPr>
          <w:rFonts w:ascii="Times New Roman" w:hAnsi="Times New Roman" w:cs="Times New Roman"/>
          <w:color w:val="000000" w:themeColor="text1"/>
          <w:sz w:val="24"/>
          <w:szCs w:val="24"/>
          <w:lang w:val="es-MX"/>
        </w:rPr>
        <w:t>Nivel</w:t>
      </w:r>
      <w:proofErr w:type="gramEnd"/>
      <w:r w:rsidRPr="00F74CBC">
        <w:rPr>
          <w:rFonts w:ascii="Times New Roman" w:hAnsi="Times New Roman" w:cs="Times New Roman"/>
          <w:color w:val="000000" w:themeColor="text1"/>
          <w:sz w:val="24"/>
          <w:szCs w:val="24"/>
          <w:lang w:val="es-MX"/>
        </w:rPr>
        <w:t xml:space="preserve"> personal</w:t>
      </w:r>
    </w:p>
    <w:p w14:paraId="7B6B58AC"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4.1 Primeras decisiones</w:t>
      </w:r>
    </w:p>
    <w:p w14:paraId="6035BED3"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La primera intervención debe aclarar si existe un riesgo inmediato, una fecha académica próxima o una necesidad de apoyo. Si hay peligro actual, la prioridad es alejarse de una situación insegura y acudir a los servicios de emergencia o seguridad disponibles. Si el problema es una calificación recién publicada, debe identificarse de inmediato su fecha: el tiempo para solicitar revisión puede transcurrir mientras se busca orientación sobre la denuncia. [</w:t>
      </w:r>
      <w:hyperlink w:anchor="S04">
        <w:r w:rsidRPr="00F74CBC">
          <w:rPr>
            <w:rFonts w:ascii="Times New Roman" w:hAnsi="Times New Roman" w:cs="Times New Roman"/>
            <w:color w:val="000000" w:themeColor="text1"/>
            <w:sz w:val="24"/>
            <w:szCs w:val="24"/>
            <w:u w:val="single"/>
            <w:lang w:val="es-MX"/>
          </w:rPr>
          <w:t>S04</w:t>
        </w:r>
      </w:hyperlink>
      <w:r w:rsidRPr="00F74CBC">
        <w:rPr>
          <w:rFonts w:ascii="Times New Roman" w:hAnsi="Times New Roman" w:cs="Times New Roman"/>
          <w:color w:val="000000" w:themeColor="text1"/>
          <w:sz w:val="24"/>
          <w:szCs w:val="24"/>
          <w:lang w:val="es-MX"/>
        </w:rPr>
        <w:t>, art. 49]</w:t>
      </w:r>
    </w:p>
    <w:p w14:paraId="08E69B6B"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Se propone que la persona describa qué ocurrió con sus propias palabras: quién pidió u ofreció qué, qué ventaja se mencionó, cuándo sucedió y si existen mensajes, testigos o documentos. Debe poder </w:t>
      </w:r>
      <w:r w:rsidRPr="00F74CBC">
        <w:rPr>
          <w:rFonts w:ascii="Times New Roman" w:hAnsi="Times New Roman" w:cs="Times New Roman"/>
          <w:color w:val="000000" w:themeColor="text1"/>
          <w:sz w:val="24"/>
          <w:szCs w:val="24"/>
          <w:lang w:val="es-MX"/>
        </w:rPr>
        <w:lastRenderedPageBreak/>
        <w:t>responder que no sabe o que sólo escuchó un comentario. La entrevista de orientación no es un interrogatorio para demostrar la falta ni debe presionar a la persona a adoptar una etiqueta penal.</w:t>
      </w:r>
    </w:p>
    <w:p w14:paraId="11E50787"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Como medidas prácticas, conviene evitar nuevos pagos o promesas para obtener pruebas, solicitar acompañamiento de alguien de confianza si se desea y conservar la información disponible. No se recomienda provocar una solicitud, organizar una entrega controlada por cuenta propia, acceder a cuentas ajenas o editar mensajes. Una investigación formal y las diligencias necesarias corresponden a las autoridades.</w:t>
      </w:r>
    </w:p>
    <w:p w14:paraId="1A5E8D9A"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4.2 Registro y conservación de información</w:t>
      </w:r>
    </w:p>
    <w:p w14:paraId="386B1254"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Una cronología útil separa hechos observados, palabras recordadas e interpretaciones. Puede incluir fecha aproximada, lugar o plataforma, materia y grupo, personas presentes, beneficio solicitado, condición académica y respuesta del estudiante. Si una fecha o expresión no se recuerda con exactitud, debe indicarse. La precisión consiste también en reconocer esos límites.</w:t>
      </w:r>
    </w:p>
    <w:p w14:paraId="7EAB01FE"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Las conversaciones deben conservarse completas cuando sea posible, con contexto, fecha y procedencia; las capturas aisladas pueden omitir partes relevantes. Conviene guardar originales de archivos, comprobantes ya existentes, instrucciones de evaluación y publicaciones de resultados, manteniendo copias privadas. No se debe alterar el material ni difundirlo en grupos abiertos. La autoridad valorará su autenticidad, pertinencia y forma de incorporación; el prototipo no puede certificarlo como prueba válida.</w:t>
      </w:r>
    </w:p>
    <w:p w14:paraId="0178798B"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No contar con una grabación no impide pedir orientación o relatar hechos. Tampoco significa que cualquier relato baste para sancionar. El escrito universitario solicita las pruebas de que se disponga y la investigación corresponde a la instancia competente. Si otra persona presenció hechos, su participación debe obtenerse sin presiones y diferenciando lo que conoce directamente de lo que le contaron.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 arts. 49–53]</w:t>
      </w:r>
    </w:p>
    <w:p w14:paraId="05DB7E2D"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4.3 Bienestar y continuidad escolar</w:t>
      </w:r>
    </w:p>
    <w:p w14:paraId="50842C0F"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La Unidad de Orientación Educativa de </w:t>
      </w:r>
      <w:proofErr w:type="spellStart"/>
      <w:r w:rsidRPr="00F74CBC">
        <w:rPr>
          <w:rFonts w:ascii="Times New Roman" w:hAnsi="Times New Roman" w:cs="Times New Roman"/>
          <w:color w:val="000000" w:themeColor="text1"/>
          <w:sz w:val="24"/>
          <w:szCs w:val="24"/>
          <w:lang w:val="es-MX"/>
        </w:rPr>
        <w:t>CUTonalá</w:t>
      </w:r>
      <w:proofErr w:type="spellEnd"/>
      <w:r w:rsidRPr="00F74CBC">
        <w:rPr>
          <w:rFonts w:ascii="Times New Roman" w:hAnsi="Times New Roman" w:cs="Times New Roman"/>
          <w:color w:val="000000" w:themeColor="text1"/>
          <w:sz w:val="24"/>
          <w:szCs w:val="24"/>
          <w:lang w:val="es-MX"/>
        </w:rPr>
        <w:t xml:space="preserve"> publica atención presencial y virtual, orientación psicológica e intervención en crisis. Su página indica iniciar la solicitud mediante un formulario, esperar confirmación y completar una entrevista en SIGA. Posteriormente se recibe contacto por correo institucional; la cita debe confirmarse dentro de las 24 horas señaladas por la página. Para apoyo presencial en crisis ubica el servicio en el segundo piso del CAE, subiendo las escaleras a la izquierda. [</w:t>
      </w:r>
      <w:hyperlink w:anchor="S10">
        <w:r w:rsidRPr="00F74CBC">
          <w:rPr>
            <w:rFonts w:ascii="Times New Roman" w:hAnsi="Times New Roman" w:cs="Times New Roman"/>
            <w:color w:val="000000" w:themeColor="text1"/>
            <w:sz w:val="24"/>
            <w:szCs w:val="24"/>
            <w:u w:val="single"/>
            <w:lang w:val="es-MX"/>
          </w:rPr>
          <w:t>S10</w:t>
        </w:r>
      </w:hyperlink>
      <w:r w:rsidRPr="00F74CBC">
        <w:rPr>
          <w:rFonts w:ascii="Times New Roman" w:hAnsi="Times New Roman" w:cs="Times New Roman"/>
          <w:color w:val="000000" w:themeColor="text1"/>
          <w:sz w:val="24"/>
          <w:szCs w:val="24"/>
          <w:lang w:val="es-MX"/>
        </w:rPr>
        <w:t>]</w:t>
      </w:r>
    </w:p>
    <w:p w14:paraId="799B2B1F"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Estos apoyos pueden acompañar una preocupación relacionada con un posible soborno, aunque su oferta sea general. No se verificaron disponibilidad de citas, costo aplicable ni tiempos efectivos de respuesta. El estudiante puede solicitar información sobre alcance, confidencialidad y derivación a otros servicios. La coordinación de carrera puede ayudar a revisar las necesidades académicas, sin sustituir al servicio psicológico ni a la autoridad investigadora.</w:t>
      </w:r>
    </w:p>
    <w:p w14:paraId="50D245E3"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Si el estudiante ya entregó dinero o un bien, se propone conservar información y solicitar asesoría jurídica sobre su participación, las posibles presiones y sus derechos. No debe prometerse que denunciar elimina toda posible responsabilidad ni concluir que la persona es culpable por el solo relato. Las circunstancias de coacción, conocimiento e intención requieren evaluación individual.</w:t>
      </w:r>
    </w:p>
    <w:p w14:paraId="2DCFF899" w14:textId="77777777" w:rsidR="00A31FB8" w:rsidRPr="00F74CBC" w:rsidRDefault="000C42FC">
      <w:pPr>
        <w:pStyle w:val="Ttulo1"/>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lastRenderedPageBreak/>
        <w:t xml:space="preserve">5 </w:t>
      </w:r>
      <w:proofErr w:type="gramStart"/>
      <w:r w:rsidRPr="00F74CBC">
        <w:rPr>
          <w:rFonts w:ascii="Times New Roman" w:hAnsi="Times New Roman" w:cs="Times New Roman"/>
          <w:color w:val="000000" w:themeColor="text1"/>
          <w:sz w:val="24"/>
          <w:szCs w:val="24"/>
          <w:lang w:val="es-MX"/>
        </w:rPr>
        <w:t>Nivel</w:t>
      </w:r>
      <w:proofErr w:type="gramEnd"/>
      <w:r w:rsidRPr="00F74CBC">
        <w:rPr>
          <w:rFonts w:ascii="Times New Roman" w:hAnsi="Times New Roman" w:cs="Times New Roman"/>
          <w:color w:val="000000" w:themeColor="text1"/>
          <w:sz w:val="24"/>
          <w:szCs w:val="24"/>
          <w:lang w:val="es-MX"/>
        </w:rPr>
        <w:t xml:space="preserve"> universitario</w:t>
      </w:r>
    </w:p>
    <w:p w14:paraId="1E80C4F9"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5.1 Fundamento y distribución de funciones</w:t>
      </w:r>
    </w:p>
    <w:p w14:paraId="4D11518F"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El artículo 21.1, fracciones X y XI, del Reglamento de Responsabilidades Vinculadas con Faltas a la Normatividad Universitaria contempla tanto la exigencia o recepción de dinero o bienes para conceder ventajas académicas como el ofrecimiento, promesa o entrega de beneficios indebidos para obtenerlas. Esta base permite analizar el problema dentro de la disciplina universitaria, aun cuando no se describa violencia de género.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w:t>
      </w:r>
    </w:p>
    <w:p w14:paraId="2C72B145"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Debe distinguirse entre quien orienta, quien recibe, quien investiga y quien resuelve. La coordinación de carrera ayuda en asuntos académicos. Primer Contacto ofrece acompañamiento principalmente en situaciones de violencia. Las instancias investigadoras y comisiones competentes intervienen en el procedimiento de responsabilidades conforme al reglamento. La Defensoría atiende posibles afectaciones a derechos universitarios mediante sus propias atribuciones. Ninguna orientación inicial equivale por sí misma </w:t>
      </w:r>
      <w:r w:rsidRPr="00F74CBC">
        <w:rPr>
          <w:rFonts w:ascii="Times New Roman" w:hAnsi="Times New Roman" w:cs="Times New Roman"/>
          <w:color w:val="000000" w:themeColor="text1"/>
          <w:sz w:val="24"/>
          <w:szCs w:val="24"/>
          <w:lang w:val="es-MX"/>
        </w:rPr>
        <w:t>a una sanción.</w:t>
      </w:r>
    </w:p>
    <w:p w14:paraId="47076122"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El artículo 37 distribuye competencias entre instancias divisionales, del centro y del Consejo General Universitario según el supuesto. Por tanto, no es correcto dirigir todos los asuntos a una única comisión ni exigir que todo estudiante recorra previamente una cadena de oficinas. Los contactos del capítulo siguiente facilitan localizar a la instancia, pero la competencia debe confirmarse con la recepción formal.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 arts. 36–37 y 49–51]</w:t>
      </w:r>
    </w:p>
    <w:p w14:paraId="0126309E"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5.2 Alcance de Primer Contacto</w:t>
      </w:r>
    </w:p>
    <w:p w14:paraId="3123DA04"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La página de Primer Contacto de </w:t>
      </w:r>
      <w:proofErr w:type="spellStart"/>
      <w:r w:rsidRPr="00F74CBC">
        <w:rPr>
          <w:rFonts w:ascii="Times New Roman" w:hAnsi="Times New Roman" w:cs="Times New Roman"/>
          <w:color w:val="000000" w:themeColor="text1"/>
          <w:sz w:val="24"/>
          <w:szCs w:val="24"/>
          <w:lang w:val="es-MX"/>
        </w:rPr>
        <w:t>CUTonalá</w:t>
      </w:r>
      <w:proofErr w:type="spellEnd"/>
      <w:r w:rsidRPr="00F74CBC">
        <w:rPr>
          <w:rFonts w:ascii="Times New Roman" w:hAnsi="Times New Roman" w:cs="Times New Roman"/>
          <w:color w:val="000000" w:themeColor="text1"/>
          <w:sz w:val="24"/>
          <w:szCs w:val="24"/>
          <w:lang w:val="es-MX"/>
        </w:rPr>
        <w:t xml:space="preserve"> presenta sus funciones dentro de la prevención y atención de violencia. Describe acompañamiento, valoración de riesgo, apoyo emocional, recepción y canalización. El reglamento también regula esta figura en ese contexto y le atribuye solicitar medidas de protección a la autoridad facultada. Primer Contacto no es el órgano que dicta una sentencia penal ni garantiza una sanción universitaria.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 xml:space="preserve">, arts. 30–34; </w:t>
      </w:r>
      <w:hyperlink w:anchor="S05">
        <w:r w:rsidRPr="00F74CBC">
          <w:rPr>
            <w:rFonts w:ascii="Times New Roman" w:hAnsi="Times New Roman" w:cs="Times New Roman"/>
            <w:color w:val="000000" w:themeColor="text1"/>
            <w:sz w:val="24"/>
            <w:szCs w:val="24"/>
            <w:u w:val="single"/>
            <w:lang w:val="es-MX"/>
          </w:rPr>
          <w:t>S05</w:t>
        </w:r>
      </w:hyperlink>
      <w:r w:rsidRPr="00F74CBC">
        <w:rPr>
          <w:rFonts w:ascii="Times New Roman" w:hAnsi="Times New Roman" w:cs="Times New Roman"/>
          <w:color w:val="000000" w:themeColor="text1"/>
          <w:sz w:val="24"/>
          <w:szCs w:val="24"/>
          <w:lang w:val="es-MX"/>
        </w:rPr>
        <w:t>]</w:t>
      </w:r>
    </w:p>
    <w:p w14:paraId="476FA345"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La página de denuncias de la Contraloría remite las faltas a la normatividad universitaria a Primer Contacto. La lectura conjunta produce una dificultad práctica para quien busca específicamente soborno sin violencia: una página remite de forma amplia y la otra explica su servicio principalmente en términos de violencia. En ese caso resulta razonable pedir orientación y confirmación del canal de recepción; también existe la presentación ante las autoridades previstas en el artículo 51. No se concluye que Pr</w:t>
      </w:r>
      <w:r w:rsidRPr="00F74CBC">
        <w:rPr>
          <w:rFonts w:ascii="Times New Roman" w:hAnsi="Times New Roman" w:cs="Times New Roman"/>
          <w:color w:val="000000" w:themeColor="text1"/>
          <w:sz w:val="24"/>
          <w:szCs w:val="24"/>
          <w:lang w:val="es-MX"/>
        </w:rPr>
        <w:t>imer Contacto necesariamente rechace esos asuntos. [</w:t>
      </w:r>
      <w:hyperlink w:anchor="S03">
        <w:r w:rsidRPr="00F74CBC">
          <w:rPr>
            <w:rFonts w:ascii="Times New Roman" w:hAnsi="Times New Roman" w:cs="Times New Roman"/>
            <w:color w:val="000000" w:themeColor="text1"/>
            <w:sz w:val="24"/>
            <w:szCs w:val="24"/>
            <w:u w:val="single"/>
            <w:lang w:val="es-MX"/>
          </w:rPr>
          <w:t>S03</w:t>
        </w:r>
      </w:hyperlink>
      <w:r w:rsidRPr="00F74CBC">
        <w:rPr>
          <w:rFonts w:ascii="Times New Roman" w:hAnsi="Times New Roman" w:cs="Times New Roman"/>
          <w:color w:val="000000" w:themeColor="text1"/>
          <w:sz w:val="24"/>
          <w:szCs w:val="24"/>
          <w:lang w:val="es-MX"/>
        </w:rPr>
        <w:t xml:space="preserve">, </w:t>
      </w:r>
      <w:hyperlink w:anchor="S05">
        <w:r w:rsidRPr="00F74CBC">
          <w:rPr>
            <w:rFonts w:ascii="Times New Roman" w:hAnsi="Times New Roman" w:cs="Times New Roman"/>
            <w:color w:val="000000" w:themeColor="text1"/>
            <w:sz w:val="24"/>
            <w:szCs w:val="24"/>
            <w:u w:val="single"/>
            <w:lang w:val="es-MX"/>
          </w:rPr>
          <w:t>S05</w:t>
        </w:r>
      </w:hyperlink>
      <w:r w:rsidRPr="00F74CBC">
        <w:rPr>
          <w:rFonts w:ascii="Times New Roman" w:hAnsi="Times New Roman" w:cs="Times New Roman"/>
          <w:color w:val="000000" w:themeColor="text1"/>
          <w:sz w:val="24"/>
          <w:szCs w:val="24"/>
          <w:lang w:val="es-MX"/>
        </w:rPr>
        <w:t>]</w:t>
      </w:r>
    </w:p>
    <w:p w14:paraId="20D76EEA"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Cuando el posible soborno se acompaña de amenazas, intimidación o afectaciones al bienestar, la relación con Primer Contacto es más directa. En una respuesta del prototipo debe explicarse esa relación concreta, en vez de afirmar que todos los casos tienen la misma naturaleza. La ubicación de dos servicios en una oficina compartida tampoco significa que sus competencias sean idénticas.</w:t>
      </w:r>
    </w:p>
    <w:p w14:paraId="03C6C4E7"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5.3 Presentación y recepción</w:t>
      </w:r>
    </w:p>
    <w:p w14:paraId="7B7C86BD"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Los artículos 50–53 permiten iniciar la investigación de oficio o por denuncia y prevén presentación física o electrónica a través de mecanismos habilitados. Entre las autoridades receptoras se encuentran las secretarías de división y la Secretaría Académica del centro, conforme a su </w:t>
      </w:r>
      <w:r w:rsidRPr="00F74CBC">
        <w:rPr>
          <w:rFonts w:ascii="Times New Roman" w:hAnsi="Times New Roman" w:cs="Times New Roman"/>
          <w:color w:val="000000" w:themeColor="text1"/>
          <w:sz w:val="24"/>
          <w:szCs w:val="24"/>
          <w:lang w:val="es-MX"/>
        </w:rPr>
        <w:lastRenderedPageBreak/>
        <w:t>competencia. Es necesario verificar el mecanismo electrónico autorizado: que un correo aparezca en el directorio no prueba por sí solo que enviarle anexos perfeccione una denuncia formal.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w:t>
      </w:r>
    </w:p>
    <w:p w14:paraId="734A0308"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Para una persona adulta, el escrito debe identificar al denunciante y un medio de notificación, narrar los hechos con tiempo, modo y lugar, identificar a la persona señalada o aportar información útil, incorporar las pruebas disponibles y atender los requisitos de firma aplicables. En su caso se incluyen datos de la víctima y solicitud de medidas cautelares. El artículo 53 permite solicitar confidencialidad de la identidad y exige constancia de recepción con lugar, fecha y hora. Los supuestos particulares, </w:t>
      </w:r>
      <w:r w:rsidRPr="00F74CBC">
        <w:rPr>
          <w:rFonts w:ascii="Times New Roman" w:hAnsi="Times New Roman" w:cs="Times New Roman"/>
          <w:color w:val="000000" w:themeColor="text1"/>
          <w:sz w:val="24"/>
          <w:szCs w:val="24"/>
          <w:lang w:val="es-MX"/>
        </w:rPr>
        <w:t>como participación de menores, deben revisarse directamente en la norma.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 art. 53]</w:t>
      </w:r>
    </w:p>
    <w:p w14:paraId="79634C34"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Al presentar conviene solicitar acuse, autoridad que dará seguimiento, medio de notificación y referencia del asunto. La carpeta privada puede conservar escrito, anexos, acuse y comunicaciones. Un registro generado por el </w:t>
      </w:r>
      <w:proofErr w:type="spellStart"/>
      <w:r w:rsidRPr="00F74CBC">
        <w:rPr>
          <w:rFonts w:ascii="Times New Roman" w:hAnsi="Times New Roman" w:cs="Times New Roman"/>
          <w:color w:val="000000" w:themeColor="text1"/>
          <w:sz w:val="24"/>
          <w:szCs w:val="24"/>
          <w:lang w:val="es-MX"/>
        </w:rPr>
        <w:t>chatbot</w:t>
      </w:r>
      <w:proofErr w:type="spellEnd"/>
      <w:r w:rsidRPr="00F74CBC">
        <w:rPr>
          <w:rFonts w:ascii="Times New Roman" w:hAnsi="Times New Roman" w:cs="Times New Roman"/>
          <w:color w:val="000000" w:themeColor="text1"/>
          <w:sz w:val="24"/>
          <w:szCs w:val="24"/>
          <w:lang w:val="es-MX"/>
        </w:rPr>
        <w:t xml:space="preserve"> es sólo un registro de orientación: no acredita que la universidad haya recibido una denuncia ni constituye un folio oficial.</w:t>
      </w:r>
    </w:p>
    <w:p w14:paraId="716F624B"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Cuando la denuncia involucra a determinadas autoridades receptoras o titulares, el artículo 54 contempla recepción por otro integrante de la comisión competente, convocatoria a sesión dentro de 48 horas y reglas de excusa o recusación. Esto debe analizarse según el cargo involucrado; no obliga a entregar el escrito directamente a la persona señalada.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w:t>
      </w:r>
    </w:p>
    <w:p w14:paraId="591ADDBE"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5.4 Aclaración, investigación y seguimiento</w:t>
      </w:r>
    </w:p>
    <w:p w14:paraId="76B99DA8"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Si se requiere aclarar una denuncia, el artículo 55 establece cinco días hábiles contados desde el día siguiente a la notificación. El incumplimiento puede ocasionar que se tenga por no presentada cuando no existan elementos suficientes para proceder de oficio. La ratificación es una actuación distinta, prevista, entre otros supuestos, para presentaciones electrónicas o sin firma y para ciertos casos de denuncia por terceros o anónima cuando sea posible notificar. El artículo 56 contiene su propia regla de </w:t>
      </w:r>
      <w:r w:rsidRPr="00F74CBC">
        <w:rPr>
          <w:rFonts w:ascii="Times New Roman" w:hAnsi="Times New Roman" w:cs="Times New Roman"/>
          <w:color w:val="000000" w:themeColor="text1"/>
          <w:sz w:val="24"/>
          <w:szCs w:val="24"/>
          <w:lang w:val="es-MX"/>
        </w:rPr>
        <w:t>notificación; debe atenderse la indicación concreta de la autoridad sin confundirla con el plazo de aclaración.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w:t>
      </w:r>
    </w:p>
    <w:p w14:paraId="49E23BDA"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El procedimiento distingue investigación, sustanciación y resolución. Una admisión no prueba responsabilidad; una medida cautelar no constituye sanción anticipada; y la falta de resolución inmediata no demuestra archivo. Conviene registrar cada actuación y pedir información sobre la etapa del asunto. La remisión por competencia regulada en el artículo 59 tiene un contexto procedimental específico y no debe presentarse como una promesa de traslado inmediato de cualquier consulta.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 arts. 36 y 59]</w:t>
      </w:r>
    </w:p>
    <w:p w14:paraId="071F03EC"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La normativa contempla archivo por insuficiencia de elementos y posibilidad de reabrir con nuevos indicios antes de la prescripción. Si se recibe una determinación, conviene pedir copia y asesoría sobre los medios de defensa y plazos aplicables. Esta investigación no establece un tiempo único para resolver todos los expedientes.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 arts. 64–66]</w:t>
      </w:r>
    </w:p>
    <w:p w14:paraId="4BE63386"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5.5 Medidas de protección y represalias</w:t>
      </w:r>
    </w:p>
    <w:p w14:paraId="59537DC2"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Los artículos 39–46 regulan medidas cautelares. Entre las posibilidades se incluyen evitar contacto, prevenir intimidaciones o acciones adversas, proteger información, conservar elementos y establecer ajustes de grupo u horario. El cambio de grupo u horario de la víctima previsto en el artículo 40 </w:t>
      </w:r>
      <w:r w:rsidRPr="00F74CBC">
        <w:rPr>
          <w:rFonts w:ascii="Times New Roman" w:hAnsi="Times New Roman" w:cs="Times New Roman"/>
          <w:color w:val="000000" w:themeColor="text1"/>
          <w:sz w:val="24"/>
          <w:szCs w:val="24"/>
          <w:lang w:val="es-MX"/>
        </w:rPr>
        <w:lastRenderedPageBreak/>
        <w:t xml:space="preserve">requiere su solicitud. La elección de una medida debe responder a un riesgo y estar motivada; no corresponde al </w:t>
      </w:r>
      <w:proofErr w:type="spellStart"/>
      <w:r w:rsidRPr="00F74CBC">
        <w:rPr>
          <w:rFonts w:ascii="Times New Roman" w:hAnsi="Times New Roman" w:cs="Times New Roman"/>
          <w:color w:val="000000" w:themeColor="text1"/>
          <w:sz w:val="24"/>
          <w:szCs w:val="24"/>
          <w:lang w:val="es-MX"/>
        </w:rPr>
        <w:t>chatbot</w:t>
      </w:r>
      <w:proofErr w:type="spellEnd"/>
      <w:r w:rsidRPr="00F74CBC">
        <w:rPr>
          <w:rFonts w:ascii="Times New Roman" w:hAnsi="Times New Roman" w:cs="Times New Roman"/>
          <w:color w:val="000000" w:themeColor="text1"/>
          <w:sz w:val="24"/>
          <w:szCs w:val="24"/>
          <w:lang w:val="es-MX"/>
        </w:rPr>
        <w:t xml:space="preserve"> imponerla.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w:t>
      </w:r>
    </w:p>
    <w:p w14:paraId="730C72C2"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Las autoridades titulares pueden adoptar medidas provisionales bajo las condiciones del reglamento y deben informar a la instancia competente. La provisionalidad de hasta cinco días naturales del artículo 39 no es un plazo general de protección para toda víctima. Las reglas de decisión y notificación tienen cómputos distintos. El estudiante debe pedir que se precise quién ejecutará la medida, su alcance, vigencia y forma de reportar incumplimiento.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 arts. 39 y 43–46]</w:t>
      </w:r>
    </w:p>
    <w:p w14:paraId="3F9B8346"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Solicitar confidencialidad no equivale a anonimato absoluto. El expediente puede requerir participación de autoridades y el contexto puede permitir que alguien deduzca quién reportó. La orientación debe explicar esos límites sin desalentar la solicitud de protección. Si después de presentar aparecen amenazas o una alteración académica, deben documentarse como hechos nuevos y comunicarse a la instancia que conoce el asunto; si hay riesgo o posible delito, procede además valoración externa.</w:t>
      </w:r>
    </w:p>
    <w:p w14:paraId="4C07E594"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5.6 Revisión de la propia evaluación</w:t>
      </w:r>
    </w:p>
    <w:p w14:paraId="65FF2DBD"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El Reglamento General de Evaluación y Promoción de Alumnos permite solicitar por escrito y con justificación la revisión de una evaluación ante la jefatura del departamento responsable de la materia, dentro de los tres días hábiles siguientes a la publicación o notificación. Es importante conservar la evidencia de cuándo se conoció el resultado y confirmar el cómputo con la autoridad. [</w:t>
      </w:r>
      <w:hyperlink w:anchor="S04">
        <w:r w:rsidRPr="00F74CBC">
          <w:rPr>
            <w:rFonts w:ascii="Times New Roman" w:hAnsi="Times New Roman" w:cs="Times New Roman"/>
            <w:color w:val="000000" w:themeColor="text1"/>
            <w:sz w:val="24"/>
            <w:szCs w:val="24"/>
            <w:u w:val="single"/>
            <w:lang w:val="es-MX"/>
          </w:rPr>
          <w:t>S04</w:t>
        </w:r>
      </w:hyperlink>
      <w:r w:rsidRPr="00F74CBC">
        <w:rPr>
          <w:rFonts w:ascii="Times New Roman" w:hAnsi="Times New Roman" w:cs="Times New Roman"/>
          <w:color w:val="000000" w:themeColor="text1"/>
          <w:sz w:val="24"/>
          <w:szCs w:val="24"/>
          <w:lang w:val="es-MX"/>
        </w:rPr>
        <w:t>, art. 49]</w:t>
      </w:r>
    </w:p>
    <w:p w14:paraId="098A96BD"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Los artículos 50–52 regulan la obtención de documentación del profesor, la revisión por una comisión de tres profesores y la notificación del resultado, con plazos específicos de dos días hábiles para las actuaciones allí señaladas. No deben sumarse mecánicamente como una duración garantizada, pues importa el momento en que se inicia cada actuación. Presentar una denuncia por soborno no sustituye esta revisión ni debe asumirse que suspende sus plazos. [</w:t>
      </w:r>
      <w:hyperlink w:anchor="S04">
        <w:r w:rsidRPr="00F74CBC">
          <w:rPr>
            <w:rFonts w:ascii="Times New Roman" w:hAnsi="Times New Roman" w:cs="Times New Roman"/>
            <w:color w:val="000000" w:themeColor="text1"/>
            <w:sz w:val="24"/>
            <w:szCs w:val="24"/>
            <w:u w:val="single"/>
            <w:lang w:val="es-MX"/>
          </w:rPr>
          <w:t>S04</w:t>
        </w:r>
      </w:hyperlink>
      <w:r w:rsidRPr="00F74CBC">
        <w:rPr>
          <w:rFonts w:ascii="Times New Roman" w:hAnsi="Times New Roman" w:cs="Times New Roman"/>
          <w:color w:val="000000" w:themeColor="text1"/>
          <w:sz w:val="24"/>
          <w:szCs w:val="24"/>
          <w:lang w:val="es-MX"/>
        </w:rPr>
        <w:t>]</w:t>
      </w:r>
    </w:p>
    <w:p w14:paraId="24C5736E"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En Ingeniería en Ciencias Computacionales, la coordinación puede ayudar a identificar el departamento que administra la asignatura. No todas las materias tienen necesariamente la misma adscripción. La revisión se dirige al departamento competente y examina la evaluación; no permite al estudiante obtener información privada sobre las notas de todo el grupo ni sustituye una investigación de ventajas indebidas otorgadas a otras personas.</w:t>
      </w:r>
    </w:p>
    <w:p w14:paraId="45EA013A"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5.7 Defensoría y recursos universitarios</w:t>
      </w:r>
    </w:p>
    <w:p w14:paraId="3D3DE5BD"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La Defensoría de los Derechos Universitarios recibe quejas sobre afectaciones a derechos cometidas por autoridades universitarias o en los supuestos que describe su servicio. Su intervención puede ser pertinente frente a obstáculos, trato inadecuado o posibles omisiones. Sus recomendaciones no son sanciones vinculantes ni equivalen a una sentencia. Es una vía distinta que puede complementar la solicitud de orientación y protección. [</w:t>
      </w:r>
      <w:hyperlink w:anchor="S09">
        <w:r w:rsidRPr="00F74CBC">
          <w:rPr>
            <w:rFonts w:ascii="Times New Roman" w:hAnsi="Times New Roman" w:cs="Times New Roman"/>
            <w:color w:val="000000" w:themeColor="text1"/>
            <w:sz w:val="24"/>
            <w:szCs w:val="24"/>
            <w:u w:val="single"/>
            <w:lang w:val="es-MX"/>
          </w:rPr>
          <w:t>S09</w:t>
        </w:r>
      </w:hyperlink>
      <w:r w:rsidRPr="00F74CBC">
        <w:rPr>
          <w:rFonts w:ascii="Times New Roman" w:hAnsi="Times New Roman" w:cs="Times New Roman"/>
          <w:color w:val="000000" w:themeColor="text1"/>
          <w:sz w:val="24"/>
          <w:szCs w:val="24"/>
          <w:lang w:val="es-MX"/>
        </w:rPr>
        <w:t>]</w:t>
      </w:r>
    </w:p>
    <w:p w14:paraId="0AA34B12"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El Reglamento de Responsabilidades Vinculadas con el Ejercicio de los Recursos de la Universidad tiene un objeto diferente: se refiere a quienes administran, disponen, ejercen o son responsables de recursos universitarios. La Contraloría publica un canal específico para ese ámbito. Un pago privado para modificar una nota no debe clasificarse automáticamente como desvío de recursos de la UDG </w:t>
      </w:r>
      <w:r w:rsidRPr="00F74CBC">
        <w:rPr>
          <w:rFonts w:ascii="Times New Roman" w:hAnsi="Times New Roman" w:cs="Times New Roman"/>
          <w:color w:val="000000" w:themeColor="text1"/>
          <w:sz w:val="24"/>
          <w:szCs w:val="24"/>
          <w:lang w:val="es-MX"/>
        </w:rPr>
        <w:lastRenderedPageBreak/>
        <w:t>sólo porque intervenga dinero. Si existen cobros institucionales, manejo de fondos o uso de recursos, debe solicitarse valoración de ese régimen además de las demás vías que correspondan. [</w:t>
      </w:r>
      <w:hyperlink w:anchor="S02">
        <w:r w:rsidRPr="00F74CBC">
          <w:rPr>
            <w:rFonts w:ascii="Times New Roman" w:hAnsi="Times New Roman" w:cs="Times New Roman"/>
            <w:color w:val="000000" w:themeColor="text1"/>
            <w:sz w:val="24"/>
            <w:szCs w:val="24"/>
            <w:u w:val="single"/>
            <w:lang w:val="es-MX"/>
          </w:rPr>
          <w:t>S02</w:t>
        </w:r>
      </w:hyperlink>
      <w:r w:rsidRPr="00F74CBC">
        <w:rPr>
          <w:rFonts w:ascii="Times New Roman" w:hAnsi="Times New Roman" w:cs="Times New Roman"/>
          <w:color w:val="000000" w:themeColor="text1"/>
          <w:sz w:val="24"/>
          <w:szCs w:val="24"/>
          <w:lang w:val="es-MX"/>
        </w:rPr>
        <w:t xml:space="preserve">, arts. 1–3; </w:t>
      </w:r>
      <w:hyperlink w:anchor="S03">
        <w:r w:rsidRPr="00F74CBC">
          <w:rPr>
            <w:rFonts w:ascii="Times New Roman" w:hAnsi="Times New Roman" w:cs="Times New Roman"/>
            <w:color w:val="000000" w:themeColor="text1"/>
            <w:sz w:val="24"/>
            <w:szCs w:val="24"/>
            <w:u w:val="single"/>
            <w:lang w:val="es-MX"/>
          </w:rPr>
          <w:t>S03</w:t>
        </w:r>
      </w:hyperlink>
      <w:r w:rsidRPr="00F74CBC">
        <w:rPr>
          <w:rFonts w:ascii="Times New Roman" w:hAnsi="Times New Roman" w:cs="Times New Roman"/>
          <w:color w:val="000000" w:themeColor="text1"/>
          <w:sz w:val="24"/>
          <w:szCs w:val="24"/>
          <w:lang w:val="es-MX"/>
        </w:rPr>
        <w:t>]</w:t>
      </w:r>
    </w:p>
    <w:p w14:paraId="3583A8FD" w14:textId="77777777" w:rsidR="00A31FB8" w:rsidRPr="00F74CBC" w:rsidRDefault="000C42FC">
      <w:pPr>
        <w:pStyle w:val="Ttulo1"/>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6 </w:t>
      </w:r>
      <w:proofErr w:type="gramStart"/>
      <w:r w:rsidRPr="00F74CBC">
        <w:rPr>
          <w:rFonts w:ascii="Times New Roman" w:hAnsi="Times New Roman" w:cs="Times New Roman"/>
          <w:color w:val="000000" w:themeColor="text1"/>
          <w:sz w:val="24"/>
          <w:szCs w:val="24"/>
          <w:lang w:val="es-MX"/>
        </w:rPr>
        <w:t>Directorio</w:t>
      </w:r>
      <w:proofErr w:type="gramEnd"/>
      <w:r w:rsidRPr="00F74CBC">
        <w:rPr>
          <w:rFonts w:ascii="Times New Roman" w:hAnsi="Times New Roman" w:cs="Times New Roman"/>
          <w:color w:val="000000" w:themeColor="text1"/>
          <w:sz w:val="24"/>
          <w:szCs w:val="24"/>
          <w:lang w:val="es-MX"/>
        </w:rPr>
        <w:t xml:space="preserve"> de responsables y recursos</w:t>
      </w:r>
    </w:p>
    <w:p w14:paraId="16F6B546"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6.1 Cómo utilizar el directorio</w:t>
      </w:r>
    </w:p>
    <w:p w14:paraId="1194FD39"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Los siguientes son datos publicados, consultados el 8 de octubre de 2026. No se probaron llamadas ni disponibilidad presencial. El domicilio del campus es Av. Nuevo Periférico 555, Ejido San José Tateposco, C. P. 45425, Tonalá, Jalisco. CAE significa Centro de Atención a Estudiantes y CRT corresponde al edificio identificado con esa sigla en los directorios del centro. Antes de entregar información sensible conviene confirmar oficina, función y canal habilitado.</w:t>
      </w:r>
    </w:p>
    <w:p w14:paraId="1BC32F6D"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6.2 Atención en </w:t>
      </w:r>
      <w:proofErr w:type="spellStart"/>
      <w:r w:rsidRPr="00F74CBC">
        <w:rPr>
          <w:rFonts w:ascii="Times New Roman" w:hAnsi="Times New Roman" w:cs="Times New Roman"/>
          <w:color w:val="000000" w:themeColor="text1"/>
          <w:sz w:val="24"/>
          <w:szCs w:val="24"/>
          <w:lang w:val="es-MX"/>
        </w:rPr>
        <w:t>CUTonalá</w:t>
      </w:r>
      <w:proofErr w:type="spellEnd"/>
    </w:p>
    <w:p w14:paraId="29FF3986"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b/>
          <w:color w:val="000000" w:themeColor="text1"/>
          <w:sz w:val="24"/>
          <w:szCs w:val="24"/>
          <w:lang w:val="es-MX"/>
        </w:rPr>
        <w:t>Primer Contacto.</w:t>
      </w:r>
      <w:r w:rsidRPr="00F74CBC">
        <w:rPr>
          <w:rFonts w:ascii="Times New Roman" w:hAnsi="Times New Roman" w:cs="Times New Roman"/>
          <w:color w:val="000000" w:themeColor="text1"/>
          <w:sz w:val="24"/>
          <w:szCs w:val="24"/>
          <w:lang w:val="es-MX"/>
        </w:rPr>
        <w:t xml:space="preserve"> El directorio de Secretaría Académica identifica a Blanca Elizabeth González Jauregui como encargada del despacho. Publica primercontacto@cutonala.udg.mx y ubicación en CAE. El directorio central de la Unidad para la Igualdad también incluye a Valeria Rubí González Orizaba. Señala atención de lunes a viernes, 9:00–15:00 para Blanca y 12:00–19:00 para Valeria, y ubica la oficina al entrar al CAE, primera puerta a la izquierda, compartida con la Defensoría. La página local anuncia atención 9:00–19:00. [</w:t>
      </w:r>
      <w:hyperlink w:anchor="S05">
        <w:r w:rsidRPr="00F74CBC">
          <w:rPr>
            <w:rFonts w:ascii="Times New Roman" w:hAnsi="Times New Roman" w:cs="Times New Roman"/>
            <w:color w:val="000000" w:themeColor="text1"/>
            <w:sz w:val="24"/>
            <w:szCs w:val="24"/>
            <w:u w:val="single"/>
            <w:lang w:val="es-MX"/>
          </w:rPr>
          <w:t>S05</w:t>
        </w:r>
      </w:hyperlink>
      <w:r w:rsidRPr="00F74CBC">
        <w:rPr>
          <w:rFonts w:ascii="Times New Roman" w:hAnsi="Times New Roman" w:cs="Times New Roman"/>
          <w:color w:val="000000" w:themeColor="text1"/>
          <w:sz w:val="24"/>
          <w:szCs w:val="24"/>
          <w:lang w:val="es-MX"/>
        </w:rPr>
        <w:t xml:space="preserve">, </w:t>
      </w:r>
      <w:hyperlink w:anchor="S06">
        <w:r w:rsidRPr="00F74CBC">
          <w:rPr>
            <w:rFonts w:ascii="Times New Roman" w:hAnsi="Times New Roman" w:cs="Times New Roman"/>
            <w:color w:val="000000" w:themeColor="text1"/>
            <w:sz w:val="24"/>
            <w:szCs w:val="24"/>
            <w:u w:val="single"/>
            <w:lang w:val="es-MX"/>
          </w:rPr>
          <w:t>S06</w:t>
        </w:r>
      </w:hyperlink>
      <w:r w:rsidRPr="00F74CBC">
        <w:rPr>
          <w:rFonts w:ascii="Times New Roman" w:hAnsi="Times New Roman" w:cs="Times New Roman"/>
          <w:color w:val="000000" w:themeColor="text1"/>
          <w:sz w:val="24"/>
          <w:szCs w:val="24"/>
          <w:lang w:val="es-MX"/>
        </w:rPr>
        <w:t xml:space="preserve">, </w:t>
      </w:r>
      <w:hyperlink w:anchor="S08">
        <w:r w:rsidRPr="00F74CBC">
          <w:rPr>
            <w:rFonts w:ascii="Times New Roman" w:hAnsi="Times New Roman" w:cs="Times New Roman"/>
            <w:color w:val="000000" w:themeColor="text1"/>
            <w:sz w:val="24"/>
            <w:szCs w:val="24"/>
            <w:u w:val="single"/>
            <w:lang w:val="es-MX"/>
          </w:rPr>
          <w:t>S08</w:t>
        </w:r>
      </w:hyperlink>
      <w:r w:rsidRPr="00F74CBC">
        <w:rPr>
          <w:rFonts w:ascii="Times New Roman" w:hAnsi="Times New Roman" w:cs="Times New Roman"/>
          <w:color w:val="000000" w:themeColor="text1"/>
          <w:sz w:val="24"/>
          <w:szCs w:val="24"/>
          <w:lang w:val="es-MX"/>
        </w:rPr>
        <w:t>]</w:t>
      </w:r>
    </w:p>
    <w:p w14:paraId="3F4E83C0"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Para llamar existe una discrepancia: el directorio de CUT publica 33 2000 2300, mientras el central de Primer Contacto muestra 33 2300 2000, extensión 64117; otras páginas conservan 33 3134 2222. No se selecciona uno como único número confirmado. El correo institucional y la ubicación publicada proporcionan alternativas mientras se verifica el teléfono. Esta diferencia debe conservarse como advertencia de actualización, no corregirse silenciosamente. [</w:t>
      </w:r>
      <w:hyperlink w:anchor="S06">
        <w:r w:rsidRPr="00F74CBC">
          <w:rPr>
            <w:rFonts w:ascii="Times New Roman" w:hAnsi="Times New Roman" w:cs="Times New Roman"/>
            <w:color w:val="000000" w:themeColor="text1"/>
            <w:sz w:val="24"/>
            <w:szCs w:val="24"/>
            <w:u w:val="single"/>
            <w:lang w:val="es-MX"/>
          </w:rPr>
          <w:t>S06</w:t>
        </w:r>
      </w:hyperlink>
      <w:r w:rsidRPr="00F74CBC">
        <w:rPr>
          <w:rFonts w:ascii="Times New Roman" w:hAnsi="Times New Roman" w:cs="Times New Roman"/>
          <w:color w:val="000000" w:themeColor="text1"/>
          <w:sz w:val="24"/>
          <w:szCs w:val="24"/>
          <w:lang w:val="es-MX"/>
        </w:rPr>
        <w:t>–</w:t>
      </w:r>
      <w:hyperlink w:anchor="S08">
        <w:r w:rsidRPr="00F74CBC">
          <w:rPr>
            <w:rFonts w:ascii="Times New Roman" w:hAnsi="Times New Roman" w:cs="Times New Roman"/>
            <w:color w:val="000000" w:themeColor="text1"/>
            <w:sz w:val="24"/>
            <w:szCs w:val="24"/>
            <w:u w:val="single"/>
            <w:lang w:val="es-MX"/>
          </w:rPr>
          <w:t>S08</w:t>
        </w:r>
      </w:hyperlink>
      <w:r w:rsidRPr="00F74CBC">
        <w:rPr>
          <w:rFonts w:ascii="Times New Roman" w:hAnsi="Times New Roman" w:cs="Times New Roman"/>
          <w:color w:val="000000" w:themeColor="text1"/>
          <w:sz w:val="24"/>
          <w:szCs w:val="24"/>
          <w:lang w:val="es-MX"/>
        </w:rPr>
        <w:t>]</w:t>
      </w:r>
    </w:p>
    <w:p w14:paraId="42212DD3"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b/>
          <w:color w:val="000000" w:themeColor="text1"/>
          <w:sz w:val="24"/>
          <w:szCs w:val="24"/>
          <w:lang w:val="es-MX"/>
        </w:rPr>
        <w:t>Coordinación de Ingeniería en Ciencias Computacionales.</w:t>
      </w:r>
      <w:r w:rsidRPr="00F74CBC">
        <w:rPr>
          <w:rFonts w:ascii="Times New Roman" w:hAnsi="Times New Roman" w:cs="Times New Roman"/>
          <w:color w:val="000000" w:themeColor="text1"/>
          <w:sz w:val="24"/>
          <w:szCs w:val="24"/>
          <w:lang w:val="es-MX"/>
        </w:rPr>
        <w:t xml:space="preserve"> Dulce María Vargas Mora; correo cd.computacion@cutonala.udg.mx; CAE, tercer piso. Es un contacto para orientación académica y localización del departamento de la materia. No se presenta como autoridad que por sí sola investiga o sanciona el soborno. [</w:t>
      </w:r>
      <w:hyperlink w:anchor="S11">
        <w:r w:rsidRPr="00F74CBC">
          <w:rPr>
            <w:rFonts w:ascii="Times New Roman" w:hAnsi="Times New Roman" w:cs="Times New Roman"/>
            <w:color w:val="000000" w:themeColor="text1"/>
            <w:sz w:val="24"/>
            <w:szCs w:val="24"/>
            <w:u w:val="single"/>
            <w:lang w:val="es-MX"/>
          </w:rPr>
          <w:t>S11</w:t>
        </w:r>
      </w:hyperlink>
      <w:r w:rsidRPr="00F74CBC">
        <w:rPr>
          <w:rFonts w:ascii="Times New Roman" w:hAnsi="Times New Roman" w:cs="Times New Roman"/>
          <w:color w:val="000000" w:themeColor="text1"/>
          <w:sz w:val="24"/>
          <w:szCs w:val="24"/>
          <w:lang w:val="es-MX"/>
        </w:rPr>
        <w:t>]</w:t>
      </w:r>
    </w:p>
    <w:p w14:paraId="0DE7BFA9"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b/>
          <w:color w:val="000000" w:themeColor="text1"/>
          <w:sz w:val="24"/>
          <w:szCs w:val="24"/>
          <w:lang w:val="es-MX"/>
        </w:rPr>
        <w:t>Secretaría Académica.</w:t>
      </w:r>
      <w:r w:rsidRPr="00F74CBC">
        <w:rPr>
          <w:rFonts w:ascii="Times New Roman" w:hAnsi="Times New Roman" w:cs="Times New Roman"/>
          <w:color w:val="000000" w:themeColor="text1"/>
          <w:sz w:val="24"/>
          <w:szCs w:val="24"/>
          <w:lang w:val="es-MX"/>
        </w:rPr>
        <w:t xml:space="preserve"> César E. González Coronado; correo cesar.gonzalez@cutonala.udg.mx; edificio de Biblioteca, segundo piso; 33 2000 2300, extensión 64012 en su directorio. La recepción de asuntos debe seguir la competencia y formalidades del reglamento; puede solicitarse identificación de la comisión correspondiente. [</w:t>
      </w:r>
      <w:hyperlink w:anchor="S06">
        <w:r w:rsidRPr="00F74CBC">
          <w:rPr>
            <w:rFonts w:ascii="Times New Roman" w:hAnsi="Times New Roman" w:cs="Times New Roman"/>
            <w:color w:val="000000" w:themeColor="text1"/>
            <w:sz w:val="24"/>
            <w:szCs w:val="24"/>
            <w:u w:val="single"/>
            <w:lang w:val="es-MX"/>
          </w:rPr>
          <w:t>S06</w:t>
        </w:r>
      </w:hyperlink>
      <w:r w:rsidRPr="00F74CBC">
        <w:rPr>
          <w:rFonts w:ascii="Times New Roman" w:hAnsi="Times New Roman" w:cs="Times New Roman"/>
          <w:color w:val="000000" w:themeColor="text1"/>
          <w:sz w:val="24"/>
          <w:szCs w:val="24"/>
          <w:lang w:val="es-MX"/>
        </w:rPr>
        <w:t xml:space="preserve">;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 art. 51]</w:t>
      </w:r>
    </w:p>
    <w:p w14:paraId="0EB07F3A"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b/>
          <w:color w:val="000000" w:themeColor="text1"/>
          <w:sz w:val="24"/>
          <w:szCs w:val="24"/>
          <w:lang w:val="es-MX"/>
        </w:rPr>
        <w:t>División de Ingenierías e Innovación Tecnológica.</w:t>
      </w:r>
      <w:r w:rsidRPr="00F74CBC">
        <w:rPr>
          <w:rFonts w:ascii="Times New Roman" w:hAnsi="Times New Roman" w:cs="Times New Roman"/>
          <w:color w:val="000000" w:themeColor="text1"/>
          <w:sz w:val="24"/>
          <w:szCs w:val="24"/>
          <w:lang w:val="es-MX"/>
        </w:rPr>
        <w:t xml:space="preserve"> El directorio identifica a Irene Gómez Jiménez como directora, diit@cutonala.udg.mx, y a Daniela Ortíz </w:t>
      </w:r>
      <w:proofErr w:type="spellStart"/>
      <w:r w:rsidRPr="00F74CBC">
        <w:rPr>
          <w:rFonts w:ascii="Times New Roman" w:hAnsi="Times New Roman" w:cs="Times New Roman"/>
          <w:color w:val="000000" w:themeColor="text1"/>
          <w:sz w:val="24"/>
          <w:szCs w:val="24"/>
          <w:lang w:val="es-MX"/>
        </w:rPr>
        <w:t>Rios</w:t>
      </w:r>
      <w:proofErr w:type="spellEnd"/>
      <w:r w:rsidRPr="00F74CBC">
        <w:rPr>
          <w:rFonts w:ascii="Times New Roman" w:hAnsi="Times New Roman" w:cs="Times New Roman"/>
          <w:color w:val="000000" w:themeColor="text1"/>
          <w:sz w:val="24"/>
          <w:szCs w:val="24"/>
          <w:lang w:val="es-MX"/>
        </w:rPr>
        <w:t xml:space="preserve"> como secretaria, sdiit@cutonala.udg.mx; ambas oficinas en CRT, tercer piso. La secretaría divisional es un punto relevante para confirmar recepción y competencia en responsabilidades. [</w:t>
      </w:r>
      <w:hyperlink w:anchor="S11">
        <w:r w:rsidRPr="00F74CBC">
          <w:rPr>
            <w:rFonts w:ascii="Times New Roman" w:hAnsi="Times New Roman" w:cs="Times New Roman"/>
            <w:color w:val="000000" w:themeColor="text1"/>
            <w:sz w:val="24"/>
            <w:szCs w:val="24"/>
            <w:u w:val="single"/>
            <w:lang w:val="es-MX"/>
          </w:rPr>
          <w:t>S11</w:t>
        </w:r>
      </w:hyperlink>
      <w:r w:rsidRPr="00F74CBC">
        <w:rPr>
          <w:rFonts w:ascii="Times New Roman" w:hAnsi="Times New Roman" w:cs="Times New Roman"/>
          <w:color w:val="000000" w:themeColor="text1"/>
          <w:sz w:val="24"/>
          <w:szCs w:val="24"/>
          <w:lang w:val="es-MX"/>
        </w:rPr>
        <w:t xml:space="preserve">;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w:t>
      </w:r>
    </w:p>
    <w:p w14:paraId="240D9CD4"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b/>
          <w:color w:val="000000" w:themeColor="text1"/>
          <w:sz w:val="24"/>
          <w:szCs w:val="24"/>
          <w:lang w:val="es-MX"/>
        </w:rPr>
        <w:t>Departamento de Ciencias de la Información y Desarrollo Tecnológico.</w:t>
      </w:r>
      <w:r w:rsidRPr="00F74CBC">
        <w:rPr>
          <w:rFonts w:ascii="Times New Roman" w:hAnsi="Times New Roman" w:cs="Times New Roman"/>
          <w:color w:val="000000" w:themeColor="text1"/>
          <w:sz w:val="24"/>
          <w:szCs w:val="24"/>
          <w:lang w:val="es-MX"/>
        </w:rPr>
        <w:t xml:space="preserve"> </w:t>
      </w:r>
      <w:r w:rsidRPr="00F74CBC">
        <w:rPr>
          <w:rFonts w:ascii="Times New Roman" w:hAnsi="Times New Roman" w:cs="Times New Roman"/>
          <w:color w:val="000000" w:themeColor="text1"/>
          <w:sz w:val="24"/>
          <w:szCs w:val="24"/>
          <w:lang w:val="pt-BR"/>
        </w:rPr>
        <w:t xml:space="preserve">José Guadalupe Morales </w:t>
      </w:r>
      <w:proofErr w:type="spellStart"/>
      <w:r w:rsidRPr="00F74CBC">
        <w:rPr>
          <w:rFonts w:ascii="Times New Roman" w:hAnsi="Times New Roman" w:cs="Times New Roman"/>
          <w:color w:val="000000" w:themeColor="text1"/>
          <w:sz w:val="24"/>
          <w:szCs w:val="24"/>
          <w:lang w:val="pt-BR"/>
        </w:rPr>
        <w:t>Montelongo</w:t>
      </w:r>
      <w:proofErr w:type="spellEnd"/>
      <w:r w:rsidRPr="00F74CBC">
        <w:rPr>
          <w:rFonts w:ascii="Times New Roman" w:hAnsi="Times New Roman" w:cs="Times New Roman"/>
          <w:color w:val="000000" w:themeColor="text1"/>
          <w:sz w:val="24"/>
          <w:szCs w:val="24"/>
          <w:lang w:val="pt-BR"/>
        </w:rPr>
        <w:t xml:space="preserve">; dcidt@cutonala.udg.mx; CRT, </w:t>
      </w:r>
      <w:proofErr w:type="spellStart"/>
      <w:r w:rsidRPr="00F74CBC">
        <w:rPr>
          <w:rFonts w:ascii="Times New Roman" w:hAnsi="Times New Roman" w:cs="Times New Roman"/>
          <w:color w:val="000000" w:themeColor="text1"/>
          <w:sz w:val="24"/>
          <w:szCs w:val="24"/>
          <w:lang w:val="pt-BR"/>
        </w:rPr>
        <w:t>tercer</w:t>
      </w:r>
      <w:proofErr w:type="spellEnd"/>
      <w:r w:rsidRPr="00F74CBC">
        <w:rPr>
          <w:rFonts w:ascii="Times New Roman" w:hAnsi="Times New Roman" w:cs="Times New Roman"/>
          <w:color w:val="000000" w:themeColor="text1"/>
          <w:sz w:val="24"/>
          <w:szCs w:val="24"/>
          <w:lang w:val="pt-BR"/>
        </w:rPr>
        <w:t xml:space="preserve"> piso. </w:t>
      </w:r>
      <w:r w:rsidRPr="00F74CBC">
        <w:rPr>
          <w:rFonts w:ascii="Times New Roman" w:hAnsi="Times New Roman" w:cs="Times New Roman"/>
          <w:color w:val="000000" w:themeColor="text1"/>
          <w:sz w:val="24"/>
          <w:szCs w:val="24"/>
          <w:lang w:val="es-MX"/>
        </w:rPr>
        <w:t>Su pertinencia para revisar una calificación depende de que la asignatura esté adscrita a ese departamento. Debe verificarse antes de dirigir el escrito. [</w:t>
      </w:r>
      <w:hyperlink w:anchor="S11">
        <w:r w:rsidRPr="00F74CBC">
          <w:rPr>
            <w:rFonts w:ascii="Times New Roman" w:hAnsi="Times New Roman" w:cs="Times New Roman"/>
            <w:color w:val="000000" w:themeColor="text1"/>
            <w:sz w:val="24"/>
            <w:szCs w:val="24"/>
            <w:u w:val="single"/>
            <w:lang w:val="es-MX"/>
          </w:rPr>
          <w:t>S11</w:t>
        </w:r>
      </w:hyperlink>
      <w:r w:rsidRPr="00F74CBC">
        <w:rPr>
          <w:rFonts w:ascii="Times New Roman" w:hAnsi="Times New Roman" w:cs="Times New Roman"/>
          <w:color w:val="000000" w:themeColor="text1"/>
          <w:sz w:val="24"/>
          <w:szCs w:val="24"/>
          <w:lang w:val="es-MX"/>
        </w:rPr>
        <w:t xml:space="preserve">; </w:t>
      </w:r>
      <w:hyperlink w:anchor="S04">
        <w:r w:rsidRPr="00F74CBC">
          <w:rPr>
            <w:rFonts w:ascii="Times New Roman" w:hAnsi="Times New Roman" w:cs="Times New Roman"/>
            <w:color w:val="000000" w:themeColor="text1"/>
            <w:sz w:val="24"/>
            <w:szCs w:val="24"/>
            <w:u w:val="single"/>
            <w:lang w:val="es-MX"/>
          </w:rPr>
          <w:t>S04</w:t>
        </w:r>
      </w:hyperlink>
      <w:r w:rsidRPr="00F74CBC">
        <w:rPr>
          <w:rFonts w:ascii="Times New Roman" w:hAnsi="Times New Roman" w:cs="Times New Roman"/>
          <w:color w:val="000000" w:themeColor="text1"/>
          <w:sz w:val="24"/>
          <w:szCs w:val="24"/>
          <w:lang w:val="es-MX"/>
        </w:rPr>
        <w:t>]</w:t>
      </w:r>
    </w:p>
    <w:p w14:paraId="394632CE"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b/>
          <w:color w:val="000000" w:themeColor="text1"/>
          <w:sz w:val="24"/>
          <w:szCs w:val="24"/>
          <w:lang w:val="es-MX"/>
        </w:rPr>
        <w:lastRenderedPageBreak/>
        <w:t>Enlace de la Defensoría.</w:t>
      </w:r>
      <w:r w:rsidRPr="00F74CBC">
        <w:rPr>
          <w:rFonts w:ascii="Times New Roman" w:hAnsi="Times New Roman" w:cs="Times New Roman"/>
          <w:color w:val="000000" w:themeColor="text1"/>
          <w:sz w:val="24"/>
          <w:szCs w:val="24"/>
          <w:lang w:val="es-MX"/>
        </w:rPr>
        <w:t xml:space="preserve"> Correo ddu.cutonala@redudg.udg.mx; CAE. Un directorio local identifica a Rubén Ortega Lozano y otro mantiene el nombre como pendiente. Por esa diferencia, este informe utiliza el cargo y el correo como referencia, sin asegurar quién ocupa actualmente el enlace. La DDU central constituye una alternativa de consulta. [</w:t>
      </w:r>
      <w:hyperlink w:anchor="S07">
        <w:r w:rsidRPr="00F74CBC">
          <w:rPr>
            <w:rFonts w:ascii="Times New Roman" w:hAnsi="Times New Roman" w:cs="Times New Roman"/>
            <w:color w:val="000000" w:themeColor="text1"/>
            <w:sz w:val="24"/>
            <w:szCs w:val="24"/>
            <w:u w:val="single"/>
            <w:lang w:val="es-MX"/>
          </w:rPr>
          <w:t>S07</w:t>
        </w:r>
      </w:hyperlink>
      <w:r w:rsidRPr="00F74CBC">
        <w:rPr>
          <w:rFonts w:ascii="Times New Roman" w:hAnsi="Times New Roman" w:cs="Times New Roman"/>
          <w:color w:val="000000" w:themeColor="text1"/>
          <w:sz w:val="24"/>
          <w:szCs w:val="24"/>
          <w:lang w:val="es-MX"/>
        </w:rPr>
        <w:t xml:space="preserve">, </w:t>
      </w:r>
      <w:hyperlink w:anchor="S09">
        <w:r w:rsidRPr="00F74CBC">
          <w:rPr>
            <w:rFonts w:ascii="Times New Roman" w:hAnsi="Times New Roman" w:cs="Times New Roman"/>
            <w:color w:val="000000" w:themeColor="text1"/>
            <w:sz w:val="24"/>
            <w:szCs w:val="24"/>
            <w:u w:val="single"/>
            <w:lang w:val="es-MX"/>
          </w:rPr>
          <w:t>S09</w:t>
        </w:r>
      </w:hyperlink>
      <w:r w:rsidRPr="00F74CBC">
        <w:rPr>
          <w:rFonts w:ascii="Times New Roman" w:hAnsi="Times New Roman" w:cs="Times New Roman"/>
          <w:color w:val="000000" w:themeColor="text1"/>
          <w:sz w:val="24"/>
          <w:szCs w:val="24"/>
          <w:lang w:val="es-MX"/>
        </w:rPr>
        <w:t>]</w:t>
      </w:r>
    </w:p>
    <w:p w14:paraId="5517CEBE" w14:textId="77777777" w:rsidR="00A31FB8" w:rsidRPr="00F74CBC" w:rsidRDefault="000C42FC">
      <w:pPr>
        <w:jc w:val="both"/>
        <w:rPr>
          <w:rFonts w:ascii="Times New Roman" w:hAnsi="Times New Roman" w:cs="Times New Roman"/>
          <w:color w:val="000000" w:themeColor="text1"/>
          <w:sz w:val="24"/>
          <w:szCs w:val="24"/>
        </w:rPr>
      </w:pPr>
      <w:r w:rsidRPr="00F74CBC">
        <w:rPr>
          <w:rFonts w:ascii="Times New Roman" w:hAnsi="Times New Roman" w:cs="Times New Roman"/>
          <w:b/>
          <w:color w:val="000000" w:themeColor="text1"/>
          <w:sz w:val="24"/>
          <w:szCs w:val="24"/>
          <w:lang w:val="es-MX"/>
        </w:rPr>
        <w:t>Unidad de Orientación Educativa.</w:t>
      </w:r>
      <w:r w:rsidRPr="00F74CBC">
        <w:rPr>
          <w:rFonts w:ascii="Times New Roman" w:hAnsi="Times New Roman" w:cs="Times New Roman"/>
          <w:color w:val="000000" w:themeColor="text1"/>
          <w:sz w:val="24"/>
          <w:szCs w:val="24"/>
          <w:lang w:val="es-MX"/>
        </w:rPr>
        <w:t xml:space="preserve"> La página de servicios permite iniciar solicitud de orientación psicológica y ubica la intervención en crisis en CAE, segundo piso. Para ingresar al procedimiento se recomienda partir del enlace oficial de la unidad y seguir las instrucciones vigentes; las credenciales escolares se usan únicamente en el sistema institucional, nunca se entregan al </w:t>
      </w:r>
      <w:proofErr w:type="spellStart"/>
      <w:r w:rsidRPr="00F74CBC">
        <w:rPr>
          <w:rFonts w:ascii="Times New Roman" w:hAnsi="Times New Roman" w:cs="Times New Roman"/>
          <w:color w:val="000000" w:themeColor="text1"/>
          <w:sz w:val="24"/>
          <w:szCs w:val="24"/>
          <w:lang w:val="es-MX"/>
        </w:rPr>
        <w:t>chatbot</w:t>
      </w:r>
      <w:proofErr w:type="spellEnd"/>
      <w:r w:rsidRPr="00F74CBC">
        <w:rPr>
          <w:rFonts w:ascii="Times New Roman" w:hAnsi="Times New Roman" w:cs="Times New Roman"/>
          <w:color w:val="000000" w:themeColor="text1"/>
          <w:sz w:val="24"/>
          <w:szCs w:val="24"/>
          <w:lang w:val="es-MX"/>
        </w:rPr>
        <w:t xml:space="preserve">. No se verificó un programa exclusivo de atención psicológica por soborno. </w:t>
      </w:r>
      <w:r w:rsidRPr="00F74CBC">
        <w:rPr>
          <w:rFonts w:ascii="Times New Roman" w:hAnsi="Times New Roman" w:cs="Times New Roman"/>
          <w:color w:val="000000" w:themeColor="text1"/>
          <w:sz w:val="24"/>
          <w:szCs w:val="24"/>
        </w:rPr>
        <w:t>[</w:t>
      </w:r>
      <w:hyperlink w:anchor="S10">
        <w:r w:rsidRPr="00F74CBC">
          <w:rPr>
            <w:rFonts w:ascii="Times New Roman" w:hAnsi="Times New Roman" w:cs="Times New Roman"/>
            <w:color w:val="000000" w:themeColor="text1"/>
            <w:sz w:val="24"/>
            <w:szCs w:val="24"/>
            <w:u w:val="single"/>
          </w:rPr>
          <w:t>S10</w:t>
        </w:r>
      </w:hyperlink>
      <w:r w:rsidRPr="00F74CBC">
        <w:rPr>
          <w:rFonts w:ascii="Times New Roman" w:hAnsi="Times New Roman" w:cs="Times New Roman"/>
          <w:color w:val="000000" w:themeColor="text1"/>
          <w:sz w:val="24"/>
          <w:szCs w:val="24"/>
        </w:rPr>
        <w:t>]</w:t>
      </w:r>
    </w:p>
    <w:p w14:paraId="0D633AEC" w14:textId="77777777" w:rsidR="00A31FB8" w:rsidRPr="00F74CBC" w:rsidRDefault="000C42FC">
      <w:pPr>
        <w:pStyle w:val="Ttulo2"/>
        <w:rPr>
          <w:rFonts w:ascii="Times New Roman" w:hAnsi="Times New Roman" w:cs="Times New Roman"/>
          <w:color w:val="000000" w:themeColor="text1"/>
          <w:sz w:val="24"/>
          <w:szCs w:val="24"/>
        </w:rPr>
      </w:pPr>
      <w:r w:rsidRPr="00F74CBC">
        <w:rPr>
          <w:rFonts w:ascii="Times New Roman" w:hAnsi="Times New Roman" w:cs="Times New Roman"/>
          <w:color w:val="000000" w:themeColor="text1"/>
          <w:sz w:val="24"/>
          <w:szCs w:val="24"/>
        </w:rPr>
        <w:t>6.3 Instancias centrales y externas</w:t>
      </w:r>
    </w:p>
    <w:tbl>
      <w:tblPr>
        <w:tblStyle w:val="Tablaconcuadrcula"/>
        <w:tblW w:w="0" w:type="auto"/>
        <w:tblLook w:val="04A0" w:firstRow="1" w:lastRow="0" w:firstColumn="1" w:lastColumn="0" w:noHBand="0" w:noVBand="1"/>
      </w:tblPr>
      <w:tblGrid>
        <w:gridCol w:w="2155"/>
        <w:gridCol w:w="4510"/>
        <w:gridCol w:w="3343"/>
      </w:tblGrid>
      <w:tr w:rsidR="00A31FB8" w:rsidRPr="00F74CBC" w14:paraId="7344560C" w14:textId="77777777" w:rsidTr="00F74CBC">
        <w:tc>
          <w:tcPr>
            <w:tcW w:w="0" w:type="auto"/>
          </w:tcPr>
          <w:p w14:paraId="32D838CA"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b/>
                <w:color w:val="000000" w:themeColor="text1"/>
                <w:sz w:val="24"/>
                <w:szCs w:val="24"/>
              </w:rPr>
              <w:t>Instancia</w:t>
            </w:r>
          </w:p>
        </w:tc>
        <w:tc>
          <w:tcPr>
            <w:tcW w:w="0" w:type="auto"/>
          </w:tcPr>
          <w:p w14:paraId="2C077B0B"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b/>
                <w:color w:val="000000" w:themeColor="text1"/>
                <w:sz w:val="24"/>
                <w:szCs w:val="24"/>
              </w:rPr>
              <w:t>Contacto público</w:t>
            </w:r>
          </w:p>
        </w:tc>
        <w:tc>
          <w:tcPr>
            <w:tcW w:w="0" w:type="auto"/>
          </w:tcPr>
          <w:p w14:paraId="360830C9"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b/>
                <w:color w:val="000000" w:themeColor="text1"/>
                <w:sz w:val="24"/>
                <w:szCs w:val="24"/>
              </w:rPr>
              <w:t>Función y límite</w:t>
            </w:r>
          </w:p>
        </w:tc>
      </w:tr>
      <w:tr w:rsidR="00A31FB8" w:rsidRPr="00F74CBC" w14:paraId="5971AE94" w14:textId="77777777" w:rsidTr="00F74CBC">
        <w:tc>
          <w:tcPr>
            <w:tcW w:w="0" w:type="auto"/>
          </w:tcPr>
          <w:p w14:paraId="1FA6120F"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Defensoría de los Derechos Universitarios</w:t>
            </w:r>
          </w:p>
        </w:tc>
        <w:tc>
          <w:tcPr>
            <w:tcW w:w="0" w:type="auto"/>
          </w:tcPr>
          <w:p w14:paraId="410F7B20"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color w:val="000000" w:themeColor="text1"/>
                <w:sz w:val="24"/>
                <w:szCs w:val="24"/>
              </w:rPr>
              <w:t xml:space="preserve">Lerdo de Tejada 2640, Arcos Vallarta, Guadalajara, C. P. 44130. 33 3540 3028; 33 3134 2222, ext. 19600 y 19607. Sitio </w:t>
            </w:r>
            <w:hyperlink w:anchor="S09">
              <w:r w:rsidRPr="00F74CBC">
                <w:rPr>
                  <w:rFonts w:ascii="Times New Roman" w:hAnsi="Times New Roman" w:cs="Times New Roman"/>
                  <w:color w:val="000000" w:themeColor="text1"/>
                  <w:sz w:val="24"/>
                  <w:szCs w:val="24"/>
                  <w:u w:val="single"/>
                </w:rPr>
                <w:t>S09</w:t>
              </w:r>
            </w:hyperlink>
          </w:p>
        </w:tc>
        <w:tc>
          <w:tcPr>
            <w:tcW w:w="0" w:type="auto"/>
          </w:tcPr>
          <w:p w14:paraId="09F364E0"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Orientación y queja por derechos universitarios; no impone sanciones penales</w:t>
            </w:r>
          </w:p>
        </w:tc>
      </w:tr>
      <w:tr w:rsidR="00A31FB8" w:rsidRPr="00F74CBC" w14:paraId="5508A78E" w14:textId="77777777" w:rsidTr="00F74CBC">
        <w:tc>
          <w:tcPr>
            <w:tcW w:w="0" w:type="auto"/>
          </w:tcPr>
          <w:p w14:paraId="79434F5C" w14:textId="77777777" w:rsidR="00A31FB8" w:rsidRPr="00F74CBC" w:rsidRDefault="000C42FC">
            <w:pPr>
              <w:spacing w:after="0" w:line="252" w:lineRule="auto"/>
              <w:rPr>
                <w:rFonts w:ascii="Times New Roman" w:hAnsi="Times New Roman" w:cs="Times New Roman"/>
                <w:color w:val="000000" w:themeColor="text1"/>
                <w:sz w:val="24"/>
                <w:szCs w:val="24"/>
              </w:rPr>
            </w:pPr>
            <w:proofErr w:type="spellStart"/>
            <w:r w:rsidRPr="00F74CBC">
              <w:rPr>
                <w:rFonts w:ascii="Times New Roman" w:hAnsi="Times New Roman" w:cs="Times New Roman"/>
                <w:color w:val="000000" w:themeColor="text1"/>
                <w:sz w:val="24"/>
                <w:szCs w:val="24"/>
              </w:rPr>
              <w:t>Contraloría</w:t>
            </w:r>
            <w:proofErr w:type="spellEnd"/>
            <w:r w:rsidRPr="00F74CBC">
              <w:rPr>
                <w:rFonts w:ascii="Times New Roman" w:hAnsi="Times New Roman" w:cs="Times New Roman"/>
                <w:color w:val="000000" w:themeColor="text1"/>
                <w:sz w:val="24"/>
                <w:szCs w:val="24"/>
              </w:rPr>
              <w:t xml:space="preserve"> General UDG</w:t>
            </w:r>
          </w:p>
        </w:tc>
        <w:tc>
          <w:tcPr>
            <w:tcW w:w="0" w:type="auto"/>
          </w:tcPr>
          <w:p w14:paraId="26487655" w14:textId="77777777" w:rsidR="00A31FB8" w:rsidRPr="00F74CBC" w:rsidRDefault="000C42FC">
            <w:pPr>
              <w:spacing w:after="0" w:line="252" w:lineRule="auto"/>
              <w:rPr>
                <w:rFonts w:ascii="Times New Roman" w:hAnsi="Times New Roman" w:cs="Times New Roman"/>
                <w:color w:val="000000" w:themeColor="text1"/>
                <w:sz w:val="24"/>
                <w:szCs w:val="24"/>
                <w:lang w:val="pt-BR"/>
              </w:rPr>
            </w:pPr>
            <w:r w:rsidRPr="00F74CBC">
              <w:rPr>
                <w:rFonts w:ascii="Times New Roman" w:hAnsi="Times New Roman" w:cs="Times New Roman"/>
                <w:color w:val="000000" w:themeColor="text1"/>
                <w:sz w:val="24"/>
                <w:szCs w:val="24"/>
                <w:lang w:val="pt-BR"/>
              </w:rPr>
              <w:t xml:space="preserve">cg.investigacion@udg.mx. Av. Juárez 976, piso 9, Guadalajara. Página de </w:t>
            </w:r>
            <w:proofErr w:type="spellStart"/>
            <w:r w:rsidRPr="00F74CBC">
              <w:rPr>
                <w:rFonts w:ascii="Times New Roman" w:hAnsi="Times New Roman" w:cs="Times New Roman"/>
                <w:color w:val="000000" w:themeColor="text1"/>
                <w:sz w:val="24"/>
                <w:szCs w:val="24"/>
                <w:lang w:val="pt-BR"/>
              </w:rPr>
              <w:t>denuncias</w:t>
            </w:r>
            <w:proofErr w:type="spellEnd"/>
            <w:r w:rsidRPr="00F74CBC">
              <w:rPr>
                <w:rFonts w:ascii="Times New Roman" w:hAnsi="Times New Roman" w:cs="Times New Roman"/>
                <w:color w:val="000000" w:themeColor="text1"/>
                <w:sz w:val="24"/>
                <w:szCs w:val="24"/>
                <w:lang w:val="pt-BR"/>
              </w:rPr>
              <w:t xml:space="preserve"> </w:t>
            </w:r>
            <w:hyperlink w:anchor="S03">
              <w:r w:rsidRPr="00F74CBC">
                <w:rPr>
                  <w:rFonts w:ascii="Times New Roman" w:hAnsi="Times New Roman" w:cs="Times New Roman"/>
                  <w:color w:val="000000" w:themeColor="text1"/>
                  <w:sz w:val="24"/>
                  <w:szCs w:val="24"/>
                  <w:u w:val="single"/>
                  <w:lang w:val="pt-BR"/>
                </w:rPr>
                <w:t>S03</w:t>
              </w:r>
            </w:hyperlink>
          </w:p>
        </w:tc>
        <w:tc>
          <w:tcPr>
            <w:tcW w:w="0" w:type="auto"/>
          </w:tcPr>
          <w:p w14:paraId="44F062BC"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color w:val="000000" w:themeColor="text1"/>
                <w:sz w:val="24"/>
                <w:szCs w:val="24"/>
              </w:rPr>
              <w:t>Canal publicado para responsabilidades sobre recursos universitarios; confirmar competencia</w:t>
            </w:r>
          </w:p>
        </w:tc>
      </w:tr>
      <w:tr w:rsidR="00A31FB8" w:rsidRPr="00F74CBC" w14:paraId="72E069CD" w14:textId="77777777" w:rsidTr="00F74CBC">
        <w:tc>
          <w:tcPr>
            <w:tcW w:w="0" w:type="auto"/>
          </w:tcPr>
          <w:p w14:paraId="4810C395"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color w:val="000000" w:themeColor="text1"/>
                <w:sz w:val="24"/>
                <w:szCs w:val="24"/>
              </w:rPr>
              <w:t>Fiscalía Anticorrupción de Jalisco</w:t>
            </w:r>
          </w:p>
        </w:tc>
        <w:tc>
          <w:tcPr>
            <w:tcW w:w="0" w:type="auto"/>
          </w:tcPr>
          <w:p w14:paraId="462C1288"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color w:val="000000" w:themeColor="text1"/>
                <w:sz w:val="24"/>
                <w:szCs w:val="24"/>
                <w:lang w:val="es-MX"/>
              </w:rPr>
              <w:t xml:space="preserve">Amado Aguirre 857, Jardines </w:t>
            </w:r>
            <w:proofErr w:type="gramStart"/>
            <w:r w:rsidRPr="00F74CBC">
              <w:rPr>
                <w:rFonts w:ascii="Times New Roman" w:hAnsi="Times New Roman" w:cs="Times New Roman"/>
                <w:color w:val="000000" w:themeColor="text1"/>
                <w:sz w:val="24"/>
                <w:szCs w:val="24"/>
                <w:lang w:val="es-MX"/>
              </w:rPr>
              <w:t>Alcalde</w:t>
            </w:r>
            <w:proofErr w:type="gramEnd"/>
            <w:r w:rsidRPr="00F74CBC">
              <w:rPr>
                <w:rFonts w:ascii="Times New Roman" w:hAnsi="Times New Roman" w:cs="Times New Roman"/>
                <w:color w:val="000000" w:themeColor="text1"/>
                <w:sz w:val="24"/>
                <w:szCs w:val="24"/>
                <w:lang w:val="es-MX"/>
              </w:rPr>
              <w:t xml:space="preserve">, C. P. 44298, Guadalajara. 33 1653 7783 y 33 1653 7784. </w:t>
            </w:r>
            <w:proofErr w:type="spellStart"/>
            <w:r w:rsidRPr="00F74CBC">
              <w:rPr>
                <w:rFonts w:ascii="Times New Roman" w:hAnsi="Times New Roman" w:cs="Times New Roman"/>
                <w:color w:val="000000" w:themeColor="text1"/>
                <w:sz w:val="24"/>
                <w:szCs w:val="24"/>
              </w:rPr>
              <w:t>Formulario</w:t>
            </w:r>
            <w:proofErr w:type="spellEnd"/>
            <w:r w:rsidRPr="00F74CBC">
              <w:rPr>
                <w:rFonts w:ascii="Times New Roman" w:hAnsi="Times New Roman" w:cs="Times New Roman"/>
                <w:color w:val="000000" w:themeColor="text1"/>
                <w:sz w:val="24"/>
                <w:szCs w:val="24"/>
              </w:rPr>
              <w:t xml:space="preserve"> </w:t>
            </w:r>
            <w:hyperlink w:anchor="S17">
              <w:r w:rsidRPr="00F74CBC">
                <w:rPr>
                  <w:rFonts w:ascii="Times New Roman" w:hAnsi="Times New Roman" w:cs="Times New Roman"/>
                  <w:color w:val="000000" w:themeColor="text1"/>
                  <w:sz w:val="24"/>
                  <w:szCs w:val="24"/>
                  <w:u w:val="single"/>
                </w:rPr>
                <w:t>S17</w:t>
              </w:r>
            </w:hyperlink>
          </w:p>
        </w:tc>
        <w:tc>
          <w:tcPr>
            <w:tcW w:w="0" w:type="auto"/>
          </w:tcPr>
          <w:p w14:paraId="23CFB85C"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Recibe información e investiga posibles delitos de corrupción; una denuncia no equivale a condena</w:t>
            </w:r>
          </w:p>
        </w:tc>
      </w:tr>
      <w:tr w:rsidR="00A31FB8" w:rsidRPr="00F74CBC" w14:paraId="72F34A4F" w14:textId="77777777" w:rsidTr="00F74CBC">
        <w:tc>
          <w:tcPr>
            <w:tcW w:w="0" w:type="auto"/>
          </w:tcPr>
          <w:p w14:paraId="2647C926" w14:textId="77777777" w:rsidR="00A31FB8" w:rsidRPr="00F74CBC" w:rsidRDefault="000C42FC">
            <w:pPr>
              <w:spacing w:after="0" w:line="252" w:lineRule="auto"/>
              <w:rPr>
                <w:rFonts w:ascii="Times New Roman" w:hAnsi="Times New Roman" w:cs="Times New Roman"/>
                <w:color w:val="000000" w:themeColor="text1"/>
                <w:sz w:val="24"/>
                <w:szCs w:val="24"/>
              </w:rPr>
            </w:pPr>
            <w:proofErr w:type="spellStart"/>
            <w:r w:rsidRPr="00F74CBC">
              <w:rPr>
                <w:rFonts w:ascii="Times New Roman" w:hAnsi="Times New Roman" w:cs="Times New Roman"/>
                <w:color w:val="000000" w:themeColor="text1"/>
                <w:sz w:val="24"/>
                <w:szCs w:val="24"/>
              </w:rPr>
              <w:t>Procuraduría</w:t>
            </w:r>
            <w:proofErr w:type="spellEnd"/>
            <w:r w:rsidRPr="00F74CBC">
              <w:rPr>
                <w:rFonts w:ascii="Times New Roman" w:hAnsi="Times New Roman" w:cs="Times New Roman"/>
                <w:color w:val="000000" w:themeColor="text1"/>
                <w:sz w:val="24"/>
                <w:szCs w:val="24"/>
              </w:rPr>
              <w:t xml:space="preserve"> Social de Jalisco</w:t>
            </w:r>
          </w:p>
        </w:tc>
        <w:tc>
          <w:tcPr>
            <w:tcW w:w="0" w:type="auto"/>
          </w:tcPr>
          <w:p w14:paraId="2AFC6B08"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color w:val="000000" w:themeColor="text1"/>
                <w:sz w:val="24"/>
                <w:szCs w:val="24"/>
                <w:lang w:val="es-MX"/>
              </w:rPr>
              <w:t xml:space="preserve">33 3030 2900; ficha de servicios jurídicos asistenciales, ext. 23410. </w:t>
            </w:r>
            <w:r w:rsidRPr="00F74CBC">
              <w:rPr>
                <w:rFonts w:ascii="Times New Roman" w:hAnsi="Times New Roman" w:cs="Times New Roman"/>
                <w:color w:val="000000" w:themeColor="text1"/>
                <w:sz w:val="24"/>
                <w:szCs w:val="24"/>
              </w:rPr>
              <w:t xml:space="preserve">Portal </w:t>
            </w:r>
            <w:hyperlink w:anchor="S18">
              <w:r w:rsidRPr="00F74CBC">
                <w:rPr>
                  <w:rFonts w:ascii="Times New Roman" w:hAnsi="Times New Roman" w:cs="Times New Roman"/>
                  <w:color w:val="000000" w:themeColor="text1"/>
                  <w:sz w:val="24"/>
                  <w:szCs w:val="24"/>
                  <w:u w:val="single"/>
                </w:rPr>
                <w:t>S18</w:t>
              </w:r>
            </w:hyperlink>
          </w:p>
        </w:tc>
        <w:tc>
          <w:tcPr>
            <w:tcW w:w="0" w:type="auto"/>
          </w:tcPr>
          <w:p w14:paraId="30A2DC89"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Orientación jurídica gratuita publicada; patrocinio sujeto a materia y condiciones del servicio</w:t>
            </w:r>
          </w:p>
        </w:tc>
      </w:tr>
    </w:tbl>
    <w:p w14:paraId="7A76B108" w14:textId="77777777" w:rsidR="00A31FB8" w:rsidRPr="00F74CBC" w:rsidRDefault="00A31FB8">
      <w:pPr>
        <w:spacing w:after="40" w:line="240" w:lineRule="auto"/>
        <w:rPr>
          <w:rFonts w:ascii="Times New Roman" w:hAnsi="Times New Roman" w:cs="Times New Roman"/>
          <w:color w:val="000000" w:themeColor="text1"/>
          <w:sz w:val="24"/>
          <w:szCs w:val="24"/>
          <w:lang w:val="es-MX"/>
        </w:rPr>
      </w:pPr>
    </w:p>
    <w:p w14:paraId="36727552"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Para Fiscalía, la página de denuncia advierte que por seguridad no proporciona información de asuntos por teléfono y ofrece correo para obtener número de seguimiento. Los teléfonos se incluyen para contacto institucional general, sin prometer consulta telefónica de una carpeta. Para Procuraduría Social, los registros de programas y nombres tienen distintas fechas; se prioriza la dependencia y el teléfono, y debe confirmarse el servicio concreto. [</w:t>
      </w:r>
      <w:hyperlink w:anchor="S17">
        <w:r w:rsidRPr="00F74CBC">
          <w:rPr>
            <w:rFonts w:ascii="Times New Roman" w:hAnsi="Times New Roman" w:cs="Times New Roman"/>
            <w:color w:val="000000" w:themeColor="text1"/>
            <w:sz w:val="24"/>
            <w:szCs w:val="24"/>
            <w:u w:val="single"/>
            <w:lang w:val="es-MX"/>
          </w:rPr>
          <w:t>S17</w:t>
        </w:r>
      </w:hyperlink>
      <w:r w:rsidRPr="00F74CBC">
        <w:rPr>
          <w:rFonts w:ascii="Times New Roman" w:hAnsi="Times New Roman" w:cs="Times New Roman"/>
          <w:color w:val="000000" w:themeColor="text1"/>
          <w:sz w:val="24"/>
          <w:szCs w:val="24"/>
          <w:lang w:val="es-MX"/>
        </w:rPr>
        <w:t xml:space="preserve">, </w:t>
      </w:r>
      <w:hyperlink w:anchor="S18">
        <w:r w:rsidRPr="00F74CBC">
          <w:rPr>
            <w:rFonts w:ascii="Times New Roman" w:hAnsi="Times New Roman" w:cs="Times New Roman"/>
            <w:color w:val="000000" w:themeColor="text1"/>
            <w:sz w:val="24"/>
            <w:szCs w:val="24"/>
            <w:u w:val="single"/>
            <w:lang w:val="es-MX"/>
          </w:rPr>
          <w:t>S18</w:t>
        </w:r>
      </w:hyperlink>
      <w:r w:rsidRPr="00F74CBC">
        <w:rPr>
          <w:rFonts w:ascii="Times New Roman" w:hAnsi="Times New Roman" w:cs="Times New Roman"/>
          <w:color w:val="000000" w:themeColor="text1"/>
          <w:sz w:val="24"/>
          <w:szCs w:val="24"/>
          <w:lang w:val="es-MX"/>
        </w:rPr>
        <w:t>]</w:t>
      </w:r>
    </w:p>
    <w:p w14:paraId="600B968A"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La revisión no confirmó un consultorio jurídico de </w:t>
      </w:r>
      <w:proofErr w:type="spellStart"/>
      <w:r w:rsidRPr="00F74CBC">
        <w:rPr>
          <w:rFonts w:ascii="Times New Roman" w:hAnsi="Times New Roman" w:cs="Times New Roman"/>
          <w:color w:val="000000" w:themeColor="text1"/>
          <w:sz w:val="24"/>
          <w:szCs w:val="24"/>
          <w:lang w:val="es-MX"/>
        </w:rPr>
        <w:t>CUTonalá</w:t>
      </w:r>
      <w:proofErr w:type="spellEnd"/>
      <w:r w:rsidRPr="00F74CBC">
        <w:rPr>
          <w:rFonts w:ascii="Times New Roman" w:hAnsi="Times New Roman" w:cs="Times New Roman"/>
          <w:color w:val="000000" w:themeColor="text1"/>
          <w:sz w:val="24"/>
          <w:szCs w:val="24"/>
          <w:lang w:val="es-MX"/>
        </w:rPr>
        <w:t xml:space="preserve"> con una oferta pública específica, vigente y suficiente de representación en denuncias por soborno. La existencia de la carrera de Abogado no permite afirmar por sí sola que exista ese servicio. La orientación jurídica externa y la identificación de asesoría especializada deben solicitarse expresamente.</w:t>
      </w:r>
    </w:p>
    <w:p w14:paraId="379B1E79" w14:textId="77777777" w:rsidR="00A31FB8" w:rsidRPr="00F74CBC" w:rsidRDefault="000C42FC">
      <w:pPr>
        <w:pStyle w:val="Ttulo1"/>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7 </w:t>
      </w:r>
      <w:proofErr w:type="gramStart"/>
      <w:r w:rsidRPr="00F74CBC">
        <w:rPr>
          <w:rFonts w:ascii="Times New Roman" w:hAnsi="Times New Roman" w:cs="Times New Roman"/>
          <w:color w:val="000000" w:themeColor="text1"/>
          <w:sz w:val="24"/>
          <w:szCs w:val="24"/>
          <w:lang w:val="es-MX"/>
        </w:rPr>
        <w:t>Nivel</w:t>
      </w:r>
      <w:proofErr w:type="gramEnd"/>
      <w:r w:rsidRPr="00F74CBC">
        <w:rPr>
          <w:rFonts w:ascii="Times New Roman" w:hAnsi="Times New Roman" w:cs="Times New Roman"/>
          <w:color w:val="000000" w:themeColor="text1"/>
          <w:sz w:val="24"/>
          <w:szCs w:val="24"/>
          <w:lang w:val="es-MX"/>
        </w:rPr>
        <w:t xml:space="preserve"> legal</w:t>
      </w:r>
    </w:p>
    <w:p w14:paraId="54ECE8D7"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7.1 Por qué puede intervenir una autoridad externa</w:t>
      </w:r>
    </w:p>
    <w:p w14:paraId="1FAD54A0"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La Ley Orgánica describe a la UDG como organismo público descentralizado del Gobierno del Estado con autonomía. La Constitución de Jalisco incluye, para el régimen de responsabilidades, a </w:t>
      </w:r>
      <w:r w:rsidRPr="00F74CBC">
        <w:rPr>
          <w:rFonts w:ascii="Times New Roman" w:hAnsi="Times New Roman" w:cs="Times New Roman"/>
          <w:color w:val="000000" w:themeColor="text1"/>
          <w:sz w:val="24"/>
          <w:szCs w:val="24"/>
          <w:lang w:val="es-MX"/>
        </w:rPr>
        <w:lastRenderedPageBreak/>
        <w:t>quienes prestan servicios en organismos descentralizados. El artículo 2 de la ley estatal de responsabilidades remite a esa definición, y el artículo 144 del Código Penal la enlaza con los delitos por hechos de corrupción. Esta cadena normativa permite fundamentar el análisis de una posible conducta de un servidor público universitario. La autonomía no implica exclusión automática de la legislación estatal. [</w:t>
      </w:r>
      <w:hyperlink w:anchor="S13">
        <w:r w:rsidRPr="00F74CBC">
          <w:rPr>
            <w:rFonts w:ascii="Times New Roman" w:hAnsi="Times New Roman" w:cs="Times New Roman"/>
            <w:color w:val="000000" w:themeColor="text1"/>
            <w:sz w:val="24"/>
            <w:szCs w:val="24"/>
            <w:u w:val="single"/>
            <w:lang w:val="es-MX"/>
          </w:rPr>
          <w:t>S13</w:t>
        </w:r>
      </w:hyperlink>
      <w:r w:rsidRPr="00F74CBC">
        <w:rPr>
          <w:rFonts w:ascii="Times New Roman" w:hAnsi="Times New Roman" w:cs="Times New Roman"/>
          <w:color w:val="000000" w:themeColor="text1"/>
          <w:sz w:val="24"/>
          <w:szCs w:val="24"/>
          <w:lang w:val="es-MX"/>
        </w:rPr>
        <w:t>–</w:t>
      </w:r>
      <w:hyperlink w:anchor="S15">
        <w:r w:rsidRPr="00F74CBC">
          <w:rPr>
            <w:rFonts w:ascii="Times New Roman" w:hAnsi="Times New Roman" w:cs="Times New Roman"/>
            <w:color w:val="000000" w:themeColor="text1"/>
            <w:sz w:val="24"/>
            <w:szCs w:val="24"/>
            <w:u w:val="single"/>
            <w:lang w:val="es-MX"/>
          </w:rPr>
          <w:t>S15</w:t>
        </w:r>
      </w:hyperlink>
      <w:r w:rsidRPr="00F74CBC">
        <w:rPr>
          <w:rFonts w:ascii="Times New Roman" w:hAnsi="Times New Roman" w:cs="Times New Roman"/>
          <w:color w:val="000000" w:themeColor="text1"/>
          <w:sz w:val="24"/>
          <w:szCs w:val="24"/>
          <w:lang w:val="es-MX"/>
        </w:rPr>
        <w:t xml:space="preserve">, </w:t>
      </w:r>
      <w:hyperlink w:anchor="S19">
        <w:r w:rsidRPr="00F74CBC">
          <w:rPr>
            <w:rFonts w:ascii="Times New Roman" w:hAnsi="Times New Roman" w:cs="Times New Roman"/>
            <w:color w:val="000000" w:themeColor="text1"/>
            <w:sz w:val="24"/>
            <w:szCs w:val="24"/>
            <w:u w:val="single"/>
            <w:lang w:val="es-MX"/>
          </w:rPr>
          <w:t>S19</w:t>
        </w:r>
      </w:hyperlink>
      <w:r w:rsidRPr="00F74CBC">
        <w:rPr>
          <w:rFonts w:ascii="Times New Roman" w:hAnsi="Times New Roman" w:cs="Times New Roman"/>
          <w:color w:val="000000" w:themeColor="text1"/>
          <w:sz w:val="24"/>
          <w:szCs w:val="24"/>
          <w:lang w:val="es-MX"/>
        </w:rPr>
        <w:t>]</w:t>
      </w:r>
    </w:p>
    <w:p w14:paraId="579453C4"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En el caso concreto deben verificarse nombramiento, funciones, participación, beneficio y relación con el ejercicio del cargo. Ser estudiante, compañero o intermediario no convierte automáticamente a una persona en servidor público; tampoco excluye que determinadas conductas de particulares tengan consecuencias. La autoridad investigadora establece la adecuación de los hechos a la norma y el juez resuelve dentro de sus atribuciones.</w:t>
      </w:r>
    </w:p>
    <w:p w14:paraId="705E77A4"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7.2 Cohecho penal y soborno administrativo</w:t>
      </w:r>
    </w:p>
    <w:p w14:paraId="7320CEED"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El artículo 147 del Código Penal de Jalisco contempla, por una parte, a la persona servidora pública que solicita o recibe indebidamente dinero, dádivas o servicios, o acepta una promesa, para realizar u omitir un acto relacionado con sus funciones. Por otra, contempla a quien da, promete o entrega beneficios al servidor público para una actuación u omisión relacionada con ellas. Esto obliga a analizar solicitudes y promesas, además de los intercambios consumados. [</w:t>
      </w:r>
      <w:hyperlink w:anchor="S13">
        <w:r w:rsidRPr="00F74CBC">
          <w:rPr>
            <w:rFonts w:ascii="Times New Roman" w:hAnsi="Times New Roman" w:cs="Times New Roman"/>
            <w:color w:val="000000" w:themeColor="text1"/>
            <w:sz w:val="24"/>
            <w:szCs w:val="24"/>
            <w:u w:val="single"/>
            <w:lang w:val="es-MX"/>
          </w:rPr>
          <w:t>S13</w:t>
        </w:r>
      </w:hyperlink>
      <w:r w:rsidRPr="00F74CBC">
        <w:rPr>
          <w:rFonts w:ascii="Times New Roman" w:hAnsi="Times New Roman" w:cs="Times New Roman"/>
          <w:color w:val="000000" w:themeColor="text1"/>
          <w:sz w:val="24"/>
          <w:szCs w:val="24"/>
          <w:lang w:val="es-MX"/>
        </w:rPr>
        <w:t>, art. 147]</w:t>
      </w:r>
    </w:p>
    <w:p w14:paraId="4CAF6025"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El artículo distingue consecuencias conforme al valor del beneficio y remite también a reglas de inhabilitación. Esa graduación no significa que un regalo barato sea lícito o que deba permanecer exclusivamente en la universidad. El documento no calcula una sanción para los relatos, porque no existen hechos acreditados ni evaluación de todas las circunstancias. La norma vigente consultada contiene supuestos aun para montos reducidos. [</w:t>
      </w:r>
      <w:hyperlink w:anchor="S13">
        <w:r w:rsidRPr="00F74CBC">
          <w:rPr>
            <w:rFonts w:ascii="Times New Roman" w:hAnsi="Times New Roman" w:cs="Times New Roman"/>
            <w:color w:val="000000" w:themeColor="text1"/>
            <w:sz w:val="24"/>
            <w:szCs w:val="24"/>
            <w:u w:val="single"/>
            <w:lang w:val="es-MX"/>
          </w:rPr>
          <w:t>S13</w:t>
        </w:r>
      </w:hyperlink>
      <w:r w:rsidRPr="00F74CBC">
        <w:rPr>
          <w:rFonts w:ascii="Times New Roman" w:hAnsi="Times New Roman" w:cs="Times New Roman"/>
          <w:color w:val="000000" w:themeColor="text1"/>
          <w:sz w:val="24"/>
          <w:szCs w:val="24"/>
          <w:lang w:val="es-MX"/>
        </w:rPr>
        <w:t>, arts. 144 y 147]</w:t>
      </w:r>
    </w:p>
    <w:p w14:paraId="7F0843A1"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En el régimen administrativo, el artículo 52 de la Ley General de Responsabilidades Administrativas regula el cohecho de personas servidoras públicas; el artículo 66 regula el soborno realizado por particulares. Este último incluye prometer, ofrecer o entregar beneficios para obtener una actuación, omisión o influencia vinculada con funciones públicas, independientemente de la aceptación del beneficio o del resultado obtenido. Deben comprobarse todos los elementos del supuesto y la competencia aplicable. [</w:t>
      </w:r>
      <w:hyperlink w:anchor="S12">
        <w:r w:rsidRPr="00F74CBC">
          <w:rPr>
            <w:rFonts w:ascii="Times New Roman" w:hAnsi="Times New Roman" w:cs="Times New Roman"/>
            <w:color w:val="000000" w:themeColor="text1"/>
            <w:sz w:val="24"/>
            <w:szCs w:val="24"/>
            <w:u w:val="single"/>
            <w:lang w:val="es-MX"/>
          </w:rPr>
          <w:t>S12</w:t>
        </w:r>
      </w:hyperlink>
      <w:r w:rsidRPr="00F74CBC">
        <w:rPr>
          <w:rFonts w:ascii="Times New Roman" w:hAnsi="Times New Roman" w:cs="Times New Roman"/>
          <w:color w:val="000000" w:themeColor="text1"/>
          <w:sz w:val="24"/>
          <w:szCs w:val="24"/>
          <w:lang w:val="es-MX"/>
        </w:rPr>
        <w:t>]</w:t>
      </w:r>
    </w:p>
    <w:p w14:paraId="7B176FAC"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Los procedimientos administrativos y penales tienen finalidades, autoridades y garantías propias. La investigación penal corresponde al Ministerio Público; la sanción penal corresponde al órgano jurisdiccional. En responsabilidades administrativas, la determinación de competencia depende de la ley, el órgano de control y la gravedad legal de la falta. La coordinación académica y el </w:t>
      </w:r>
      <w:proofErr w:type="spellStart"/>
      <w:r w:rsidRPr="00F74CBC">
        <w:rPr>
          <w:rFonts w:ascii="Times New Roman" w:hAnsi="Times New Roman" w:cs="Times New Roman"/>
          <w:color w:val="000000" w:themeColor="text1"/>
          <w:sz w:val="24"/>
          <w:szCs w:val="24"/>
          <w:lang w:val="es-MX"/>
        </w:rPr>
        <w:t>chatbot</w:t>
      </w:r>
      <w:proofErr w:type="spellEnd"/>
      <w:r w:rsidRPr="00F74CBC">
        <w:rPr>
          <w:rFonts w:ascii="Times New Roman" w:hAnsi="Times New Roman" w:cs="Times New Roman"/>
          <w:color w:val="000000" w:themeColor="text1"/>
          <w:sz w:val="24"/>
          <w:szCs w:val="24"/>
          <w:lang w:val="es-MX"/>
        </w:rPr>
        <w:t xml:space="preserve"> no sustituyen a estas autoridades. [</w:t>
      </w:r>
      <w:hyperlink w:anchor="S12">
        <w:r w:rsidRPr="00F74CBC">
          <w:rPr>
            <w:rFonts w:ascii="Times New Roman" w:hAnsi="Times New Roman" w:cs="Times New Roman"/>
            <w:color w:val="000000" w:themeColor="text1"/>
            <w:sz w:val="24"/>
            <w:szCs w:val="24"/>
            <w:u w:val="single"/>
            <w:lang w:val="es-MX"/>
          </w:rPr>
          <w:t>S12</w:t>
        </w:r>
      </w:hyperlink>
      <w:r w:rsidRPr="00F74CBC">
        <w:rPr>
          <w:rFonts w:ascii="Times New Roman" w:hAnsi="Times New Roman" w:cs="Times New Roman"/>
          <w:color w:val="000000" w:themeColor="text1"/>
          <w:sz w:val="24"/>
          <w:szCs w:val="24"/>
          <w:lang w:val="es-MX"/>
        </w:rPr>
        <w:t xml:space="preserve">, arts. 9–12; </w:t>
      </w:r>
      <w:hyperlink w:anchor="S16">
        <w:r w:rsidRPr="00F74CBC">
          <w:rPr>
            <w:rFonts w:ascii="Times New Roman" w:hAnsi="Times New Roman" w:cs="Times New Roman"/>
            <w:color w:val="000000" w:themeColor="text1"/>
            <w:sz w:val="24"/>
            <w:szCs w:val="24"/>
            <w:u w:val="single"/>
            <w:lang w:val="es-MX"/>
          </w:rPr>
          <w:t>S16</w:t>
        </w:r>
      </w:hyperlink>
      <w:r w:rsidRPr="00F74CBC">
        <w:rPr>
          <w:rFonts w:ascii="Times New Roman" w:hAnsi="Times New Roman" w:cs="Times New Roman"/>
          <w:color w:val="000000" w:themeColor="text1"/>
          <w:sz w:val="24"/>
          <w:szCs w:val="24"/>
          <w:lang w:val="es-MX"/>
        </w:rPr>
        <w:t>]</w:t>
      </w:r>
    </w:p>
    <w:p w14:paraId="4D2400CF"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7.3 Cuándo es insuficiente limitarse a la universidad</w:t>
      </w:r>
    </w:p>
    <w:p w14:paraId="793FF19E"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Se recomienda valoración legal temprana cuando se describe una solicitud, promesa o entrega de beneficio ligada a una función pública; cuando aparecen amenazas o coacción; cuando existen represalias relevantes; o cuando la persona necesita conocer las consecuencias de su propia participación. No es necesario fijar una cantidad mínima, esperar reiteración ni exigir que primero termine un expediente universitario. Esta es una recomendación de orientación fundada en la </w:t>
      </w:r>
      <w:r w:rsidRPr="00F74CBC">
        <w:rPr>
          <w:rFonts w:ascii="Times New Roman" w:hAnsi="Times New Roman" w:cs="Times New Roman"/>
          <w:color w:val="000000" w:themeColor="text1"/>
          <w:sz w:val="24"/>
          <w:szCs w:val="24"/>
          <w:lang w:val="es-MX"/>
        </w:rPr>
        <w:lastRenderedPageBreak/>
        <w:t>coexistencia de responsabilidades, no una declaración de que todos los relatos constituyan delito.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 xml:space="preserve">, arts. 23 y 60; </w:t>
      </w:r>
      <w:hyperlink w:anchor="S12">
        <w:r w:rsidRPr="00F74CBC">
          <w:rPr>
            <w:rFonts w:ascii="Times New Roman" w:hAnsi="Times New Roman" w:cs="Times New Roman"/>
            <w:color w:val="000000" w:themeColor="text1"/>
            <w:sz w:val="24"/>
            <w:szCs w:val="24"/>
            <w:u w:val="single"/>
            <w:lang w:val="es-MX"/>
          </w:rPr>
          <w:t>S12</w:t>
        </w:r>
      </w:hyperlink>
      <w:r w:rsidRPr="00F74CBC">
        <w:rPr>
          <w:rFonts w:ascii="Times New Roman" w:hAnsi="Times New Roman" w:cs="Times New Roman"/>
          <w:color w:val="000000" w:themeColor="text1"/>
          <w:sz w:val="24"/>
          <w:szCs w:val="24"/>
          <w:lang w:val="es-MX"/>
        </w:rPr>
        <w:t>–</w:t>
      </w:r>
      <w:hyperlink w:anchor="S16">
        <w:r w:rsidRPr="00F74CBC">
          <w:rPr>
            <w:rFonts w:ascii="Times New Roman" w:hAnsi="Times New Roman" w:cs="Times New Roman"/>
            <w:color w:val="000000" w:themeColor="text1"/>
            <w:sz w:val="24"/>
            <w:szCs w:val="24"/>
            <w:u w:val="single"/>
            <w:lang w:val="es-MX"/>
          </w:rPr>
          <w:t>S16</w:t>
        </w:r>
      </w:hyperlink>
      <w:r w:rsidRPr="00F74CBC">
        <w:rPr>
          <w:rFonts w:ascii="Times New Roman" w:hAnsi="Times New Roman" w:cs="Times New Roman"/>
          <w:color w:val="000000" w:themeColor="text1"/>
          <w:sz w:val="24"/>
          <w:szCs w:val="24"/>
          <w:lang w:val="es-MX"/>
        </w:rPr>
        <w:t>]</w:t>
      </w:r>
    </w:p>
    <w:p w14:paraId="2525343C"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El artículo 60 del reglamento universitario dispone informar a la Abogacía General cuando la instancia investigadora advierta hechos que pudieran constituir delito y remitir copia en el plazo allí previsto de cinco días hábiles desde su conocimiento. Se trata de una obligación interna; no atribuye a la universidad un monopolio de la denuncia penal ni exige al estudiante obtener su autorización para acudir al Ministerio Público.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 xml:space="preserve">; </w:t>
      </w:r>
      <w:hyperlink w:anchor="S16">
        <w:r w:rsidRPr="00F74CBC">
          <w:rPr>
            <w:rFonts w:ascii="Times New Roman" w:hAnsi="Times New Roman" w:cs="Times New Roman"/>
            <w:color w:val="000000" w:themeColor="text1"/>
            <w:sz w:val="24"/>
            <w:szCs w:val="24"/>
            <w:u w:val="single"/>
            <w:lang w:val="es-MX"/>
          </w:rPr>
          <w:t>S16</w:t>
        </w:r>
      </w:hyperlink>
      <w:r w:rsidRPr="00F74CBC">
        <w:rPr>
          <w:rFonts w:ascii="Times New Roman" w:hAnsi="Times New Roman" w:cs="Times New Roman"/>
          <w:color w:val="000000" w:themeColor="text1"/>
          <w:sz w:val="24"/>
          <w:szCs w:val="24"/>
          <w:lang w:val="es-MX"/>
        </w:rPr>
        <w:t>, arts. 222–224]</w:t>
      </w:r>
    </w:p>
    <w:p w14:paraId="1F51A2C3"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Si hay conflicto de interés o falta de respuesta universitaria, resulta pertinente solicitar asesoría sobre vías adicionales y medios de defensa. Sin embargo, acudir a Fiscalía no reemplaza automáticamente la revisión de la evaluación, las medidas académicas o el acompañamiento personal. Cada vía conserva su objeto. Una posible afectación de derechos por actuación institucional puede ameritar asesoría específica sobre mecanismos de derechos humanos, sin prometer competencia o reparación automática.</w:t>
      </w:r>
    </w:p>
    <w:p w14:paraId="19DDD8D3"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7.4 Presentación de información ante Fiscalía</w:t>
      </w:r>
    </w:p>
    <w:p w14:paraId="6ED3E327"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La Fiscalía Especializada en Combate a la Corrupción de Jalisco publica una página de denuncia con narración de hechos, adjuntos y datos opcionales. Ofrece formatos para denuncia anónima y con datos personales. Solicita describir lo ocurrido, tiempo, institución y datos de identificación del servidor público; cuando se desconoce el nombre, pueden aportarse elementos para identificarlo. Su formulario permite indicar un correo para recibir número de seguimiento. [</w:t>
      </w:r>
      <w:hyperlink w:anchor="S17">
        <w:r w:rsidRPr="00F74CBC">
          <w:rPr>
            <w:rFonts w:ascii="Times New Roman" w:hAnsi="Times New Roman" w:cs="Times New Roman"/>
            <w:color w:val="000000" w:themeColor="text1"/>
            <w:sz w:val="24"/>
            <w:szCs w:val="24"/>
            <w:u w:val="single"/>
            <w:lang w:val="es-MX"/>
          </w:rPr>
          <w:t>S17</w:t>
        </w:r>
      </w:hyperlink>
      <w:r w:rsidRPr="00F74CBC">
        <w:rPr>
          <w:rFonts w:ascii="Times New Roman" w:hAnsi="Times New Roman" w:cs="Times New Roman"/>
          <w:color w:val="000000" w:themeColor="text1"/>
          <w:sz w:val="24"/>
          <w:szCs w:val="24"/>
          <w:lang w:val="es-MX"/>
        </w:rPr>
        <w:t>]</w:t>
      </w:r>
    </w:p>
    <w:p w14:paraId="51BE3A77"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El formulario establece un límite de archivos menor a 250 MB. Se verificó su existencia y campos visibles, pero no se enviaron datos ni se comprobó la emisión de un número de seguimiento. La opción anónima publicada no permite garantizar que un relato carezca de elementos identificables ni que produzca las mismas posibilidades de comunicación posterior que una presentación con datos. Es necesario leer el aviso de privacidad y conservar cualquier constancia efectivamente recibida. [</w:t>
      </w:r>
      <w:hyperlink w:anchor="S17">
        <w:r w:rsidRPr="00F74CBC">
          <w:rPr>
            <w:rFonts w:ascii="Times New Roman" w:hAnsi="Times New Roman" w:cs="Times New Roman"/>
            <w:color w:val="000000" w:themeColor="text1"/>
            <w:sz w:val="24"/>
            <w:szCs w:val="24"/>
            <w:u w:val="single"/>
            <w:lang w:val="es-MX"/>
          </w:rPr>
          <w:t>S17</w:t>
        </w:r>
      </w:hyperlink>
      <w:r w:rsidRPr="00F74CBC">
        <w:rPr>
          <w:rFonts w:ascii="Times New Roman" w:hAnsi="Times New Roman" w:cs="Times New Roman"/>
          <w:color w:val="000000" w:themeColor="text1"/>
          <w:sz w:val="24"/>
          <w:szCs w:val="24"/>
          <w:lang w:val="es-MX"/>
        </w:rPr>
        <w:t>]</w:t>
      </w:r>
    </w:p>
    <w:p w14:paraId="09D5C545"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El Código Nacional de Procedimientos Penales regula la denuncia oral, escrita o por otros medios y la recepción por el Ministerio Público o la policía, con los requisitos y excepciones correspondientes. Es útil llevar una narración cronológica y los documentos disponibles; corresponde a la autoridad determinar diligencias, competencia y posibles delitos. El estudiante no tiene que transformar su experiencia en una acusación técnica perfecta para pedir orientación. [</w:t>
      </w:r>
      <w:hyperlink w:anchor="S16">
        <w:r w:rsidRPr="00F74CBC">
          <w:rPr>
            <w:rFonts w:ascii="Times New Roman" w:hAnsi="Times New Roman" w:cs="Times New Roman"/>
            <w:color w:val="000000" w:themeColor="text1"/>
            <w:sz w:val="24"/>
            <w:szCs w:val="24"/>
            <w:u w:val="single"/>
            <w:lang w:val="es-MX"/>
          </w:rPr>
          <w:t>S16</w:t>
        </w:r>
      </w:hyperlink>
      <w:r w:rsidRPr="00F74CBC">
        <w:rPr>
          <w:rFonts w:ascii="Times New Roman" w:hAnsi="Times New Roman" w:cs="Times New Roman"/>
          <w:color w:val="000000" w:themeColor="text1"/>
          <w:sz w:val="24"/>
          <w:szCs w:val="24"/>
          <w:lang w:val="es-MX"/>
        </w:rPr>
        <w:t>, arts. 221–224]</w:t>
      </w:r>
    </w:p>
    <w:p w14:paraId="68FD99F7"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7.5 Protección, participación y seguimiento</w:t>
      </w:r>
    </w:p>
    <w:p w14:paraId="640897E2"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Los artículos 109 y 110 del Código Nacional reconocen derechos de la víctima u ofendido y la asistencia de asesor jurídico. El artículo 137 prevé medidas de protección ante riesgo inminente, bajo valoración del Ministerio Público y controles aplicables. Entre ellas existen restricciones de acercamiento o comunicación y medidas frente a intimidaciones. Su otorgamiento depende del caso; no se obtiene automáticamente por llenar un formulario. [</w:t>
      </w:r>
      <w:hyperlink w:anchor="S16">
        <w:r w:rsidRPr="00F74CBC">
          <w:rPr>
            <w:rFonts w:ascii="Times New Roman" w:hAnsi="Times New Roman" w:cs="Times New Roman"/>
            <w:color w:val="000000" w:themeColor="text1"/>
            <w:sz w:val="24"/>
            <w:szCs w:val="24"/>
            <w:u w:val="single"/>
            <w:lang w:val="es-MX"/>
          </w:rPr>
          <w:t>S16</w:t>
        </w:r>
      </w:hyperlink>
      <w:r w:rsidRPr="00F74CBC">
        <w:rPr>
          <w:rFonts w:ascii="Times New Roman" w:hAnsi="Times New Roman" w:cs="Times New Roman"/>
          <w:color w:val="000000" w:themeColor="text1"/>
          <w:sz w:val="24"/>
          <w:szCs w:val="24"/>
          <w:lang w:val="es-MX"/>
        </w:rPr>
        <w:t>]</w:t>
      </w:r>
    </w:p>
    <w:p w14:paraId="38B79C4F"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Para seguimiento se recomienda conservar número de carpeta o referencia, oficina, fechas de comparecencia, asesoría recibida y copias de determinaciones accesibles. Una llamada, una orientación y una denuncia formal son actuaciones diferentes. Si existe una decisión de archivo, </w:t>
      </w:r>
      <w:r w:rsidRPr="00F74CBC">
        <w:rPr>
          <w:rFonts w:ascii="Times New Roman" w:hAnsi="Times New Roman" w:cs="Times New Roman"/>
          <w:color w:val="000000" w:themeColor="text1"/>
          <w:sz w:val="24"/>
          <w:szCs w:val="24"/>
          <w:lang w:val="es-MX"/>
        </w:rPr>
        <w:lastRenderedPageBreak/>
        <w:t>abstención de investigar u otra determinación, conviene solicitar asesoría sobre el medio de impugnación y su plazo concreto; no debe suponerse que una inconformidad informal lo sustituye.</w:t>
      </w:r>
    </w:p>
    <w:p w14:paraId="76F4490E"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Si una persona teme responsabilidad por haber ofrecido o entregado el beneficio, necesita asesoría independiente sobre sus derechos y obligaciones antes de una declaración formal. La ausencia de garantía de inmunidad no justifica ocultar, destruir o fabricar información. Tampoco autoriza al prototipo a asignarle de antemano el carácter de responsable. La investigación debe examinar los hechos, incluida cualquier presión denunciada.</w:t>
      </w:r>
    </w:p>
    <w:p w14:paraId="14A38D6F"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7.6 Conciliación y acuerdos</w:t>
      </w:r>
    </w:p>
    <w:p w14:paraId="61758BCD"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La existencia de mecanismos universitarios de solución alterna no significa que cualquier intercambio indebido deba resolverse con una disculpa, un pago o un acuerdo privado. La pertinencia de un mecanismo alternativo depende de la materia, los requisitos normativos, la voluntariedad y los riesgos del caso. Debe evitarse sugerir que retirar una denuncia a cambio de aprobar una materia constituye una solución adecuada.</w:t>
      </w:r>
    </w:p>
    <w:p w14:paraId="75812551"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Las salidas alternas penales también requieren condiciones legales y control de la autoridad; el </w:t>
      </w:r>
      <w:proofErr w:type="spellStart"/>
      <w:r w:rsidRPr="00F74CBC">
        <w:rPr>
          <w:rFonts w:ascii="Times New Roman" w:hAnsi="Times New Roman" w:cs="Times New Roman"/>
          <w:color w:val="000000" w:themeColor="text1"/>
          <w:sz w:val="24"/>
          <w:szCs w:val="24"/>
          <w:lang w:val="es-MX"/>
        </w:rPr>
        <w:t>chatbot</w:t>
      </w:r>
      <w:proofErr w:type="spellEnd"/>
      <w:r w:rsidRPr="00F74CBC">
        <w:rPr>
          <w:rFonts w:ascii="Times New Roman" w:hAnsi="Times New Roman" w:cs="Times New Roman"/>
          <w:color w:val="000000" w:themeColor="text1"/>
          <w:sz w:val="24"/>
          <w:szCs w:val="24"/>
          <w:lang w:val="es-MX"/>
        </w:rPr>
        <w:t xml:space="preserve"> no puede negociarlas. Un acuerdo académico o una restitución no extinguen automáticamente otras responsabilidades. El objetivo de la orientación es explicar opciones competentes y proteger la continuidad de derechos, sin sustituir la determinación institucional o judicial.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 xml:space="preserve">, art. 23; </w:t>
      </w:r>
      <w:hyperlink w:anchor="S14">
        <w:r w:rsidRPr="00F74CBC">
          <w:rPr>
            <w:rFonts w:ascii="Times New Roman" w:hAnsi="Times New Roman" w:cs="Times New Roman"/>
            <w:color w:val="000000" w:themeColor="text1"/>
            <w:sz w:val="24"/>
            <w:szCs w:val="24"/>
            <w:u w:val="single"/>
            <w:lang w:val="es-MX"/>
          </w:rPr>
          <w:t>S14</w:t>
        </w:r>
      </w:hyperlink>
      <w:r w:rsidRPr="00F74CBC">
        <w:rPr>
          <w:rFonts w:ascii="Times New Roman" w:hAnsi="Times New Roman" w:cs="Times New Roman"/>
          <w:color w:val="000000" w:themeColor="text1"/>
          <w:sz w:val="24"/>
          <w:szCs w:val="24"/>
          <w:lang w:val="es-MX"/>
        </w:rPr>
        <w:t xml:space="preserve">, art. 4; </w:t>
      </w:r>
      <w:hyperlink w:anchor="S16">
        <w:r w:rsidRPr="00F74CBC">
          <w:rPr>
            <w:rFonts w:ascii="Times New Roman" w:hAnsi="Times New Roman" w:cs="Times New Roman"/>
            <w:color w:val="000000" w:themeColor="text1"/>
            <w:sz w:val="24"/>
            <w:szCs w:val="24"/>
            <w:u w:val="single"/>
            <w:lang w:val="es-MX"/>
          </w:rPr>
          <w:t>S16</w:t>
        </w:r>
      </w:hyperlink>
      <w:r w:rsidRPr="00F74CBC">
        <w:rPr>
          <w:rFonts w:ascii="Times New Roman" w:hAnsi="Times New Roman" w:cs="Times New Roman"/>
          <w:color w:val="000000" w:themeColor="text1"/>
          <w:sz w:val="24"/>
          <w:szCs w:val="24"/>
          <w:lang w:val="es-MX"/>
        </w:rPr>
        <w:t>]</w:t>
      </w:r>
    </w:p>
    <w:p w14:paraId="76817934" w14:textId="77777777" w:rsidR="00A31FB8" w:rsidRPr="00F74CBC" w:rsidRDefault="000C42FC">
      <w:pPr>
        <w:pStyle w:val="Ttulo1"/>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8 </w:t>
      </w:r>
      <w:proofErr w:type="gramStart"/>
      <w:r w:rsidRPr="00F74CBC">
        <w:rPr>
          <w:rFonts w:ascii="Times New Roman" w:hAnsi="Times New Roman" w:cs="Times New Roman"/>
          <w:color w:val="000000" w:themeColor="text1"/>
          <w:sz w:val="24"/>
          <w:szCs w:val="24"/>
          <w:lang w:val="es-MX"/>
        </w:rPr>
        <w:t>Importancia</w:t>
      </w:r>
      <w:proofErr w:type="gramEnd"/>
      <w:r w:rsidRPr="00F74CBC">
        <w:rPr>
          <w:rFonts w:ascii="Times New Roman" w:hAnsi="Times New Roman" w:cs="Times New Roman"/>
          <w:color w:val="000000" w:themeColor="text1"/>
          <w:sz w:val="24"/>
          <w:szCs w:val="24"/>
          <w:lang w:val="es-MX"/>
        </w:rPr>
        <w:t xml:space="preserve"> y decisión de canalización</w:t>
      </w:r>
    </w:p>
    <w:p w14:paraId="6013A591"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8.1 Tres dimensiones separadas</w:t>
      </w:r>
    </w:p>
    <w:p w14:paraId="6CC3983F"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Se propone valorar por separado la urgencia, la relevancia de la conducta y el respaldo del relato. La urgencia identifica riesgos actuales o plazos próximos. La relevancia considera el posible intercambio, el uso de una posición de poder, el daño y las presiones. El respaldo describe qué información se conoce y cuál falta. Ninguna de estas variables equivale a culpabilidad.</w:t>
      </w:r>
    </w:p>
    <w:p w14:paraId="26B48A4C"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Una denuncia poco documentada puede describir un riesgo urgente; un relato detallado puede referirse a hechos antiguos sin peligro actual. Por ello, una puntuación única que combine monto, repetición y cantidad de capturas puede conducir a decisiones equivocadas. El número de mensajes o generaciones que repiten una historia no demuestra reiteración de hechos independientes.</w:t>
      </w:r>
    </w:p>
    <w:p w14:paraId="772A3E2D" w14:textId="77777777" w:rsidR="00A31FB8" w:rsidRPr="00F74CBC" w:rsidRDefault="000C42FC">
      <w:pPr>
        <w:jc w:val="both"/>
        <w:rPr>
          <w:rFonts w:ascii="Times New Roman" w:hAnsi="Times New Roman" w:cs="Times New Roman"/>
          <w:color w:val="000000" w:themeColor="text1"/>
          <w:sz w:val="24"/>
          <w:szCs w:val="24"/>
        </w:rPr>
      </w:pPr>
      <w:r w:rsidRPr="00F74CBC">
        <w:rPr>
          <w:rFonts w:ascii="Times New Roman" w:hAnsi="Times New Roman" w:cs="Times New Roman"/>
          <w:color w:val="000000" w:themeColor="text1"/>
          <w:sz w:val="24"/>
          <w:szCs w:val="24"/>
          <w:lang w:val="es-MX"/>
        </w:rPr>
        <w:t xml:space="preserve">La gravedad jurídica no la fija este proyecto. El artículo 24 del reglamento universitario contempla factores de individualización y supuestos de gravedad, entre ellos dolo, reincidencia y otras condiciones. La reincidencia tiene requisitos normativos relacionados con una sanción previa; no debe confundirse con que se mencione a una persona varias veces. La clasificación administrativa de faltas graves tampoco es una escala emocional de uno a cinco. </w:t>
      </w:r>
      <w:r w:rsidRPr="00F74CBC">
        <w:rPr>
          <w:rFonts w:ascii="Times New Roman" w:hAnsi="Times New Roman" w:cs="Times New Roman"/>
          <w:color w:val="000000" w:themeColor="text1"/>
          <w:sz w:val="24"/>
          <w:szCs w:val="24"/>
        </w:rPr>
        <w:t>[</w:t>
      </w:r>
      <w:hyperlink w:anchor="S01">
        <w:r w:rsidRPr="00F74CBC">
          <w:rPr>
            <w:rFonts w:ascii="Times New Roman" w:hAnsi="Times New Roman" w:cs="Times New Roman"/>
            <w:color w:val="000000" w:themeColor="text1"/>
            <w:sz w:val="24"/>
            <w:szCs w:val="24"/>
            <w:u w:val="single"/>
          </w:rPr>
          <w:t>S01</w:t>
        </w:r>
      </w:hyperlink>
      <w:r w:rsidRPr="00F74CBC">
        <w:rPr>
          <w:rFonts w:ascii="Times New Roman" w:hAnsi="Times New Roman" w:cs="Times New Roman"/>
          <w:color w:val="000000" w:themeColor="text1"/>
          <w:sz w:val="24"/>
          <w:szCs w:val="24"/>
        </w:rPr>
        <w:t xml:space="preserve">, art. 24; </w:t>
      </w:r>
      <w:hyperlink w:anchor="S12">
        <w:r w:rsidRPr="00F74CBC">
          <w:rPr>
            <w:rFonts w:ascii="Times New Roman" w:hAnsi="Times New Roman" w:cs="Times New Roman"/>
            <w:color w:val="000000" w:themeColor="text1"/>
            <w:sz w:val="24"/>
            <w:szCs w:val="24"/>
            <w:u w:val="single"/>
          </w:rPr>
          <w:t>S12</w:t>
        </w:r>
      </w:hyperlink>
      <w:r w:rsidRPr="00F74CBC">
        <w:rPr>
          <w:rFonts w:ascii="Times New Roman" w:hAnsi="Times New Roman" w:cs="Times New Roman"/>
          <w:color w:val="000000" w:themeColor="text1"/>
          <w:sz w:val="24"/>
          <w:szCs w:val="24"/>
        </w:rPr>
        <w:t>]</w:t>
      </w:r>
    </w:p>
    <w:p w14:paraId="2AA049DF" w14:textId="77777777" w:rsidR="00A31FB8" w:rsidRPr="00F74CBC" w:rsidRDefault="000C42FC">
      <w:pPr>
        <w:pStyle w:val="Ttulo2"/>
        <w:rPr>
          <w:rFonts w:ascii="Times New Roman" w:hAnsi="Times New Roman" w:cs="Times New Roman"/>
          <w:color w:val="000000" w:themeColor="text1"/>
          <w:sz w:val="24"/>
          <w:szCs w:val="24"/>
        </w:rPr>
      </w:pPr>
      <w:r w:rsidRPr="00F74CBC">
        <w:rPr>
          <w:rFonts w:ascii="Times New Roman" w:hAnsi="Times New Roman" w:cs="Times New Roman"/>
          <w:color w:val="000000" w:themeColor="text1"/>
          <w:sz w:val="24"/>
          <w:szCs w:val="24"/>
        </w:rPr>
        <w:t>8.2 Matriz propuesta de prioridad</w:t>
      </w:r>
    </w:p>
    <w:tbl>
      <w:tblPr>
        <w:tblStyle w:val="Tablaconcuadrcula"/>
        <w:tblW w:w="0" w:type="auto"/>
        <w:tblLook w:val="04A0" w:firstRow="1" w:lastRow="0" w:firstColumn="1" w:lastColumn="0" w:noHBand="0" w:noVBand="1"/>
      </w:tblPr>
      <w:tblGrid>
        <w:gridCol w:w="3551"/>
        <w:gridCol w:w="2107"/>
        <w:gridCol w:w="4350"/>
      </w:tblGrid>
      <w:tr w:rsidR="00A31FB8" w:rsidRPr="00F74CBC" w14:paraId="56155C6A" w14:textId="77777777" w:rsidTr="00F74CBC">
        <w:tc>
          <w:tcPr>
            <w:tcW w:w="0" w:type="auto"/>
          </w:tcPr>
          <w:p w14:paraId="623EBDDC"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b/>
                <w:color w:val="000000" w:themeColor="text1"/>
                <w:sz w:val="24"/>
                <w:szCs w:val="24"/>
              </w:rPr>
              <w:t>Situación descrita</w:t>
            </w:r>
          </w:p>
        </w:tc>
        <w:tc>
          <w:tcPr>
            <w:tcW w:w="0" w:type="auto"/>
          </w:tcPr>
          <w:p w14:paraId="1C069690"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b/>
                <w:color w:val="000000" w:themeColor="text1"/>
                <w:sz w:val="24"/>
                <w:szCs w:val="24"/>
              </w:rPr>
              <w:t>Prioridad de orientación</w:t>
            </w:r>
          </w:p>
        </w:tc>
        <w:tc>
          <w:tcPr>
            <w:tcW w:w="0" w:type="auto"/>
          </w:tcPr>
          <w:p w14:paraId="43CACC88"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b/>
                <w:color w:val="000000" w:themeColor="text1"/>
                <w:sz w:val="24"/>
                <w:szCs w:val="24"/>
              </w:rPr>
              <w:t>Acciones compatibles</w:t>
            </w:r>
          </w:p>
        </w:tc>
      </w:tr>
      <w:tr w:rsidR="00A31FB8" w:rsidRPr="00F74CBC" w14:paraId="3694EE98" w14:textId="77777777" w:rsidTr="00F74CBC">
        <w:tc>
          <w:tcPr>
            <w:tcW w:w="0" w:type="auto"/>
          </w:tcPr>
          <w:p w14:paraId="0C8734A3"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Comentario indirecto sin episodio </w:t>
            </w:r>
            <w:r w:rsidRPr="00F74CBC">
              <w:rPr>
                <w:rFonts w:ascii="Times New Roman" w:hAnsi="Times New Roman" w:cs="Times New Roman"/>
                <w:color w:val="000000" w:themeColor="text1"/>
                <w:sz w:val="24"/>
                <w:szCs w:val="24"/>
                <w:lang w:val="es-MX"/>
              </w:rPr>
              <w:lastRenderedPageBreak/>
              <w:t>identificable</w:t>
            </w:r>
          </w:p>
        </w:tc>
        <w:tc>
          <w:tcPr>
            <w:tcW w:w="0" w:type="auto"/>
          </w:tcPr>
          <w:p w14:paraId="39FB1ACC" w14:textId="77777777" w:rsidR="00A31FB8" w:rsidRPr="00F74CBC" w:rsidRDefault="000C42FC">
            <w:pPr>
              <w:spacing w:after="0" w:line="252" w:lineRule="auto"/>
              <w:rPr>
                <w:rFonts w:ascii="Times New Roman" w:hAnsi="Times New Roman" w:cs="Times New Roman"/>
                <w:color w:val="000000" w:themeColor="text1"/>
                <w:sz w:val="24"/>
                <w:szCs w:val="24"/>
              </w:rPr>
            </w:pPr>
            <w:proofErr w:type="spellStart"/>
            <w:r w:rsidRPr="00F74CBC">
              <w:rPr>
                <w:rFonts w:ascii="Times New Roman" w:hAnsi="Times New Roman" w:cs="Times New Roman"/>
                <w:color w:val="000000" w:themeColor="text1"/>
                <w:sz w:val="24"/>
                <w:szCs w:val="24"/>
              </w:rPr>
              <w:lastRenderedPageBreak/>
              <w:t>Aclaración</w:t>
            </w:r>
            <w:proofErr w:type="spellEnd"/>
            <w:r w:rsidRPr="00F74CBC">
              <w:rPr>
                <w:rFonts w:ascii="Times New Roman" w:hAnsi="Times New Roman" w:cs="Times New Roman"/>
                <w:color w:val="000000" w:themeColor="text1"/>
                <w:sz w:val="24"/>
                <w:szCs w:val="24"/>
              </w:rPr>
              <w:t xml:space="preserve"> y </w:t>
            </w:r>
            <w:proofErr w:type="spellStart"/>
            <w:r w:rsidRPr="00F74CBC">
              <w:rPr>
                <w:rFonts w:ascii="Times New Roman" w:hAnsi="Times New Roman" w:cs="Times New Roman"/>
                <w:color w:val="000000" w:themeColor="text1"/>
                <w:sz w:val="24"/>
                <w:szCs w:val="24"/>
              </w:rPr>
              <w:lastRenderedPageBreak/>
              <w:t>prevención</w:t>
            </w:r>
            <w:proofErr w:type="spellEnd"/>
          </w:p>
        </w:tc>
        <w:tc>
          <w:tcPr>
            <w:tcW w:w="0" w:type="auto"/>
          </w:tcPr>
          <w:p w14:paraId="713FC5D2"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color w:val="000000" w:themeColor="text1"/>
                <w:sz w:val="24"/>
                <w:szCs w:val="24"/>
              </w:rPr>
              <w:lastRenderedPageBreak/>
              <w:t xml:space="preserve">Explicar criterios; registrar procedencia; </w:t>
            </w:r>
            <w:r w:rsidRPr="00F74CBC">
              <w:rPr>
                <w:rFonts w:ascii="Times New Roman" w:hAnsi="Times New Roman" w:cs="Times New Roman"/>
                <w:color w:val="000000" w:themeColor="text1"/>
                <w:sz w:val="24"/>
                <w:szCs w:val="24"/>
              </w:rPr>
              <w:lastRenderedPageBreak/>
              <w:t>no atribuir responsabilidad</w:t>
            </w:r>
          </w:p>
        </w:tc>
      </w:tr>
      <w:tr w:rsidR="00A31FB8" w:rsidRPr="00F74CBC" w14:paraId="1A04BB19" w14:textId="77777777" w:rsidTr="00F74CBC">
        <w:tc>
          <w:tcPr>
            <w:tcW w:w="0" w:type="auto"/>
          </w:tcPr>
          <w:p w14:paraId="0A9206E0"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lastRenderedPageBreak/>
              <w:t>Duda sobre cobro o aportación sin ventaja académica identificada</w:t>
            </w:r>
          </w:p>
        </w:tc>
        <w:tc>
          <w:tcPr>
            <w:tcW w:w="0" w:type="auto"/>
          </w:tcPr>
          <w:p w14:paraId="1F1E880F" w14:textId="77777777" w:rsidR="00A31FB8" w:rsidRPr="00F74CBC" w:rsidRDefault="000C42FC">
            <w:pPr>
              <w:spacing w:after="0" w:line="252" w:lineRule="auto"/>
              <w:rPr>
                <w:rFonts w:ascii="Times New Roman" w:hAnsi="Times New Roman" w:cs="Times New Roman"/>
                <w:color w:val="000000" w:themeColor="text1"/>
                <w:sz w:val="24"/>
                <w:szCs w:val="24"/>
              </w:rPr>
            </w:pPr>
            <w:proofErr w:type="spellStart"/>
            <w:r w:rsidRPr="00F74CBC">
              <w:rPr>
                <w:rFonts w:ascii="Times New Roman" w:hAnsi="Times New Roman" w:cs="Times New Roman"/>
                <w:color w:val="000000" w:themeColor="text1"/>
                <w:sz w:val="24"/>
                <w:szCs w:val="24"/>
              </w:rPr>
              <w:t>Aclaración</w:t>
            </w:r>
            <w:proofErr w:type="spellEnd"/>
            <w:r w:rsidRPr="00F74CBC">
              <w:rPr>
                <w:rFonts w:ascii="Times New Roman" w:hAnsi="Times New Roman" w:cs="Times New Roman"/>
                <w:color w:val="000000" w:themeColor="text1"/>
                <w:sz w:val="24"/>
                <w:szCs w:val="24"/>
              </w:rPr>
              <w:t xml:space="preserve"> </w:t>
            </w:r>
            <w:proofErr w:type="spellStart"/>
            <w:r w:rsidRPr="00F74CBC">
              <w:rPr>
                <w:rFonts w:ascii="Times New Roman" w:hAnsi="Times New Roman" w:cs="Times New Roman"/>
                <w:color w:val="000000" w:themeColor="text1"/>
                <w:sz w:val="24"/>
                <w:szCs w:val="24"/>
              </w:rPr>
              <w:t>pronta</w:t>
            </w:r>
            <w:proofErr w:type="spellEnd"/>
          </w:p>
        </w:tc>
        <w:tc>
          <w:tcPr>
            <w:tcW w:w="0" w:type="auto"/>
          </w:tcPr>
          <w:p w14:paraId="71566244"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Pedir información de reglas y destino por canales seguros; consultar coordinación</w:t>
            </w:r>
          </w:p>
        </w:tc>
      </w:tr>
      <w:tr w:rsidR="00A31FB8" w:rsidRPr="00F74CBC" w14:paraId="664FCB3E" w14:textId="77777777" w:rsidTr="00F74CBC">
        <w:tc>
          <w:tcPr>
            <w:tcW w:w="0" w:type="auto"/>
          </w:tcPr>
          <w:p w14:paraId="428A733E"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Solicitud u ofrecimiento de beneficio por una ventaja académica</w:t>
            </w:r>
          </w:p>
        </w:tc>
        <w:tc>
          <w:tcPr>
            <w:tcW w:w="0" w:type="auto"/>
          </w:tcPr>
          <w:p w14:paraId="5473DE19" w14:textId="77777777" w:rsidR="00A31FB8" w:rsidRPr="00F74CBC" w:rsidRDefault="000C42FC">
            <w:pPr>
              <w:spacing w:after="0" w:line="252" w:lineRule="auto"/>
              <w:rPr>
                <w:rFonts w:ascii="Times New Roman" w:hAnsi="Times New Roman" w:cs="Times New Roman"/>
                <w:color w:val="000000" w:themeColor="text1"/>
                <w:sz w:val="24"/>
                <w:szCs w:val="24"/>
              </w:rPr>
            </w:pPr>
            <w:proofErr w:type="spellStart"/>
            <w:r w:rsidRPr="00F74CBC">
              <w:rPr>
                <w:rFonts w:ascii="Times New Roman" w:hAnsi="Times New Roman" w:cs="Times New Roman"/>
                <w:color w:val="000000" w:themeColor="text1"/>
                <w:sz w:val="24"/>
                <w:szCs w:val="24"/>
              </w:rPr>
              <w:t>Atención</w:t>
            </w:r>
            <w:proofErr w:type="spellEnd"/>
            <w:r w:rsidRPr="00F74CBC">
              <w:rPr>
                <w:rFonts w:ascii="Times New Roman" w:hAnsi="Times New Roman" w:cs="Times New Roman"/>
                <w:color w:val="000000" w:themeColor="text1"/>
                <w:sz w:val="24"/>
                <w:szCs w:val="24"/>
              </w:rPr>
              <w:t xml:space="preserve"> </w:t>
            </w:r>
            <w:proofErr w:type="spellStart"/>
            <w:r w:rsidRPr="00F74CBC">
              <w:rPr>
                <w:rFonts w:ascii="Times New Roman" w:hAnsi="Times New Roman" w:cs="Times New Roman"/>
                <w:color w:val="000000" w:themeColor="text1"/>
                <w:sz w:val="24"/>
                <w:szCs w:val="24"/>
              </w:rPr>
              <w:t>prioritaria</w:t>
            </w:r>
            <w:proofErr w:type="spellEnd"/>
          </w:p>
        </w:tc>
        <w:tc>
          <w:tcPr>
            <w:tcW w:w="0" w:type="auto"/>
          </w:tcPr>
          <w:p w14:paraId="7C1C5758"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Información universitaria y valoración legal, incluso sin entrega</w:t>
            </w:r>
          </w:p>
        </w:tc>
      </w:tr>
      <w:tr w:rsidR="00A31FB8" w:rsidRPr="00F74CBC" w14:paraId="6458B910" w14:textId="77777777" w:rsidTr="00F74CBC">
        <w:tc>
          <w:tcPr>
            <w:tcW w:w="0" w:type="auto"/>
          </w:tcPr>
          <w:p w14:paraId="1E350887"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Riesgo para evaluación o trámite con fecha próxima</w:t>
            </w:r>
          </w:p>
        </w:tc>
        <w:tc>
          <w:tcPr>
            <w:tcW w:w="0" w:type="auto"/>
          </w:tcPr>
          <w:p w14:paraId="7394F84F" w14:textId="77777777" w:rsidR="00A31FB8" w:rsidRPr="00F74CBC" w:rsidRDefault="000C42FC">
            <w:pPr>
              <w:spacing w:after="0" w:line="252" w:lineRule="auto"/>
              <w:rPr>
                <w:rFonts w:ascii="Times New Roman" w:hAnsi="Times New Roman" w:cs="Times New Roman"/>
                <w:color w:val="000000" w:themeColor="text1"/>
                <w:sz w:val="24"/>
                <w:szCs w:val="24"/>
              </w:rPr>
            </w:pPr>
            <w:proofErr w:type="spellStart"/>
            <w:r w:rsidRPr="00F74CBC">
              <w:rPr>
                <w:rFonts w:ascii="Times New Roman" w:hAnsi="Times New Roman" w:cs="Times New Roman"/>
                <w:color w:val="000000" w:themeColor="text1"/>
                <w:sz w:val="24"/>
                <w:szCs w:val="24"/>
              </w:rPr>
              <w:t>Prioridad</w:t>
            </w:r>
            <w:proofErr w:type="spellEnd"/>
            <w:r w:rsidRPr="00F74CBC">
              <w:rPr>
                <w:rFonts w:ascii="Times New Roman" w:hAnsi="Times New Roman" w:cs="Times New Roman"/>
                <w:color w:val="000000" w:themeColor="text1"/>
                <w:sz w:val="24"/>
                <w:szCs w:val="24"/>
              </w:rPr>
              <w:t xml:space="preserve"> </w:t>
            </w:r>
            <w:proofErr w:type="spellStart"/>
            <w:r w:rsidRPr="00F74CBC">
              <w:rPr>
                <w:rFonts w:ascii="Times New Roman" w:hAnsi="Times New Roman" w:cs="Times New Roman"/>
                <w:color w:val="000000" w:themeColor="text1"/>
                <w:sz w:val="24"/>
                <w:szCs w:val="24"/>
              </w:rPr>
              <w:t>académica</w:t>
            </w:r>
            <w:proofErr w:type="spellEnd"/>
            <w:r w:rsidRPr="00F74CBC">
              <w:rPr>
                <w:rFonts w:ascii="Times New Roman" w:hAnsi="Times New Roman" w:cs="Times New Roman"/>
                <w:color w:val="000000" w:themeColor="text1"/>
                <w:sz w:val="24"/>
                <w:szCs w:val="24"/>
              </w:rPr>
              <w:t xml:space="preserve"> </w:t>
            </w:r>
            <w:proofErr w:type="spellStart"/>
            <w:r w:rsidRPr="00F74CBC">
              <w:rPr>
                <w:rFonts w:ascii="Times New Roman" w:hAnsi="Times New Roman" w:cs="Times New Roman"/>
                <w:color w:val="000000" w:themeColor="text1"/>
                <w:sz w:val="24"/>
                <w:szCs w:val="24"/>
              </w:rPr>
              <w:t>por</w:t>
            </w:r>
            <w:proofErr w:type="spellEnd"/>
            <w:r w:rsidRPr="00F74CBC">
              <w:rPr>
                <w:rFonts w:ascii="Times New Roman" w:hAnsi="Times New Roman" w:cs="Times New Roman"/>
                <w:color w:val="000000" w:themeColor="text1"/>
                <w:sz w:val="24"/>
                <w:szCs w:val="24"/>
              </w:rPr>
              <w:t xml:space="preserve"> </w:t>
            </w:r>
            <w:proofErr w:type="spellStart"/>
            <w:r w:rsidRPr="00F74CBC">
              <w:rPr>
                <w:rFonts w:ascii="Times New Roman" w:hAnsi="Times New Roman" w:cs="Times New Roman"/>
                <w:color w:val="000000" w:themeColor="text1"/>
                <w:sz w:val="24"/>
                <w:szCs w:val="24"/>
              </w:rPr>
              <w:t>plazo</w:t>
            </w:r>
            <w:proofErr w:type="spellEnd"/>
          </w:p>
        </w:tc>
        <w:tc>
          <w:tcPr>
            <w:tcW w:w="0" w:type="auto"/>
          </w:tcPr>
          <w:p w14:paraId="3506E3AA"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color w:val="000000" w:themeColor="text1"/>
                <w:sz w:val="24"/>
                <w:szCs w:val="24"/>
              </w:rPr>
              <w:t>Revisar fecha; escrito al departamento competente; denuncia separada si procede</w:t>
            </w:r>
          </w:p>
        </w:tc>
      </w:tr>
      <w:tr w:rsidR="00A31FB8" w:rsidRPr="00F74CBC" w14:paraId="2EF06844" w14:textId="77777777" w:rsidTr="00F74CBC">
        <w:tc>
          <w:tcPr>
            <w:tcW w:w="0" w:type="auto"/>
          </w:tcPr>
          <w:p w14:paraId="3AC07F84"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Amenaza, intimidación o represalia concreta</w:t>
            </w:r>
          </w:p>
        </w:tc>
        <w:tc>
          <w:tcPr>
            <w:tcW w:w="0" w:type="auto"/>
          </w:tcPr>
          <w:p w14:paraId="05E8C997" w14:textId="77777777" w:rsidR="00A31FB8" w:rsidRPr="00F74CBC" w:rsidRDefault="000C42FC">
            <w:pPr>
              <w:spacing w:after="0" w:line="252" w:lineRule="auto"/>
              <w:rPr>
                <w:rFonts w:ascii="Times New Roman" w:hAnsi="Times New Roman" w:cs="Times New Roman"/>
                <w:color w:val="000000" w:themeColor="text1"/>
                <w:sz w:val="24"/>
                <w:szCs w:val="24"/>
              </w:rPr>
            </w:pPr>
            <w:proofErr w:type="spellStart"/>
            <w:r w:rsidRPr="00F74CBC">
              <w:rPr>
                <w:rFonts w:ascii="Times New Roman" w:hAnsi="Times New Roman" w:cs="Times New Roman"/>
                <w:color w:val="000000" w:themeColor="text1"/>
                <w:sz w:val="24"/>
                <w:szCs w:val="24"/>
              </w:rPr>
              <w:t>Protección</w:t>
            </w:r>
            <w:proofErr w:type="spellEnd"/>
            <w:r w:rsidRPr="00F74CBC">
              <w:rPr>
                <w:rFonts w:ascii="Times New Roman" w:hAnsi="Times New Roman" w:cs="Times New Roman"/>
                <w:color w:val="000000" w:themeColor="text1"/>
                <w:sz w:val="24"/>
                <w:szCs w:val="24"/>
              </w:rPr>
              <w:t xml:space="preserve"> </w:t>
            </w:r>
            <w:proofErr w:type="spellStart"/>
            <w:r w:rsidRPr="00F74CBC">
              <w:rPr>
                <w:rFonts w:ascii="Times New Roman" w:hAnsi="Times New Roman" w:cs="Times New Roman"/>
                <w:color w:val="000000" w:themeColor="text1"/>
                <w:sz w:val="24"/>
                <w:szCs w:val="24"/>
              </w:rPr>
              <w:t>prioritaria</w:t>
            </w:r>
            <w:proofErr w:type="spellEnd"/>
          </w:p>
        </w:tc>
        <w:tc>
          <w:tcPr>
            <w:tcW w:w="0" w:type="auto"/>
          </w:tcPr>
          <w:p w14:paraId="4E8A6924"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Primer Contacto o autoridad competente, documentación y valoración externa</w:t>
            </w:r>
          </w:p>
        </w:tc>
      </w:tr>
      <w:tr w:rsidR="00A31FB8" w:rsidRPr="00F74CBC" w14:paraId="261A39F5" w14:textId="77777777" w:rsidTr="00F74CBC">
        <w:tc>
          <w:tcPr>
            <w:tcW w:w="0" w:type="auto"/>
          </w:tcPr>
          <w:p w14:paraId="57DCB88A"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Peligro actual para la integridad</w:t>
            </w:r>
          </w:p>
        </w:tc>
        <w:tc>
          <w:tcPr>
            <w:tcW w:w="0" w:type="auto"/>
          </w:tcPr>
          <w:p w14:paraId="49A07D0B" w14:textId="77777777" w:rsidR="00A31FB8" w:rsidRPr="00F74CBC" w:rsidRDefault="000C42FC">
            <w:pPr>
              <w:spacing w:after="0" w:line="252" w:lineRule="auto"/>
              <w:rPr>
                <w:rFonts w:ascii="Times New Roman" w:hAnsi="Times New Roman" w:cs="Times New Roman"/>
                <w:color w:val="000000" w:themeColor="text1"/>
                <w:sz w:val="24"/>
                <w:szCs w:val="24"/>
              </w:rPr>
            </w:pPr>
            <w:proofErr w:type="spellStart"/>
            <w:r w:rsidRPr="00F74CBC">
              <w:rPr>
                <w:rFonts w:ascii="Times New Roman" w:hAnsi="Times New Roman" w:cs="Times New Roman"/>
                <w:color w:val="000000" w:themeColor="text1"/>
                <w:sz w:val="24"/>
                <w:szCs w:val="24"/>
              </w:rPr>
              <w:t>Atención</w:t>
            </w:r>
            <w:proofErr w:type="spellEnd"/>
            <w:r w:rsidRPr="00F74CBC">
              <w:rPr>
                <w:rFonts w:ascii="Times New Roman" w:hAnsi="Times New Roman" w:cs="Times New Roman"/>
                <w:color w:val="000000" w:themeColor="text1"/>
                <w:sz w:val="24"/>
                <w:szCs w:val="24"/>
              </w:rPr>
              <w:t xml:space="preserve"> </w:t>
            </w:r>
            <w:proofErr w:type="spellStart"/>
            <w:r w:rsidRPr="00F74CBC">
              <w:rPr>
                <w:rFonts w:ascii="Times New Roman" w:hAnsi="Times New Roman" w:cs="Times New Roman"/>
                <w:color w:val="000000" w:themeColor="text1"/>
                <w:sz w:val="24"/>
                <w:szCs w:val="24"/>
              </w:rPr>
              <w:t>inmediata</w:t>
            </w:r>
            <w:proofErr w:type="spellEnd"/>
          </w:p>
        </w:tc>
        <w:tc>
          <w:tcPr>
            <w:tcW w:w="0" w:type="auto"/>
          </w:tcPr>
          <w:p w14:paraId="2CE9F2F4"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Servicios de emergencia y protección; no prolongar preguntas del </w:t>
            </w:r>
            <w:proofErr w:type="spellStart"/>
            <w:r w:rsidRPr="00F74CBC">
              <w:rPr>
                <w:rFonts w:ascii="Times New Roman" w:hAnsi="Times New Roman" w:cs="Times New Roman"/>
                <w:color w:val="000000" w:themeColor="text1"/>
                <w:sz w:val="24"/>
                <w:szCs w:val="24"/>
                <w:lang w:val="es-MX"/>
              </w:rPr>
              <w:t>chatbot</w:t>
            </w:r>
            <w:proofErr w:type="spellEnd"/>
          </w:p>
        </w:tc>
      </w:tr>
    </w:tbl>
    <w:p w14:paraId="572E3223" w14:textId="77777777" w:rsidR="00A31FB8" w:rsidRPr="00F74CBC" w:rsidRDefault="00A31FB8">
      <w:pPr>
        <w:spacing w:after="40" w:line="240" w:lineRule="auto"/>
        <w:rPr>
          <w:rFonts w:ascii="Times New Roman" w:hAnsi="Times New Roman" w:cs="Times New Roman"/>
          <w:color w:val="000000" w:themeColor="text1"/>
          <w:sz w:val="24"/>
          <w:szCs w:val="24"/>
          <w:lang w:val="es-MX"/>
        </w:rPr>
      </w:pPr>
    </w:p>
    <w:p w14:paraId="22464328"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Esta matriz organiza la orientación del prototipo; no es una escala oficial ni determina el orden obligatorio de los procedimientos. La persona debe recibir una explicación de la razón de la ruta y las alternativas relevantes. Si no desea iniciar un trámite, pueden ofrecerse información y apoyos, respetando las obligaciones legales que correspondan a autoridades y profesionales.</w:t>
      </w:r>
    </w:p>
    <w:p w14:paraId="7C8B1238"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8.3 Regla para evitar una escalera obligatoria</w:t>
      </w:r>
    </w:p>
    <w:p w14:paraId="7E46F37D"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El nivel personal atiende bienestar, comprensión y organización. El nivel universitario atiende evaluación, disciplina y derechos en la institución. El nivel legal atiende posibles responsabilidades y protección fuera de ella. La elección no consiste en agotar personal, después UDG y finalmente judicial. Puede mantenerse apoyo personal mientras se activan ambas vías formales.</w:t>
      </w:r>
    </w:p>
    <w:p w14:paraId="02F7FA13"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Por ejemplo, ante una exigencia de dinero por aprobar, el sistema puede sugerir conservar mensajes, confirmar la fecha de evaluación, identificar una instancia receptora universitaria y solicitar orientación en Fiscalía o asesoría jurídica. Si además existe una amenaza concreta, debe añadir protección. Si sólo se relata amistad con un docente, debe preguntar por criterios y hechos antes de afirmar un intercambio. El objetivo es fundamentar decisiones, no maximizar la gravedad asignada.</w:t>
      </w:r>
    </w:p>
    <w:p w14:paraId="7E416186" w14:textId="77777777" w:rsidR="00A31FB8" w:rsidRPr="00F74CBC" w:rsidRDefault="000C42FC">
      <w:pPr>
        <w:pStyle w:val="Ttulo1"/>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9 </w:t>
      </w:r>
      <w:proofErr w:type="gramStart"/>
      <w:r w:rsidRPr="00F74CBC">
        <w:rPr>
          <w:rFonts w:ascii="Times New Roman" w:hAnsi="Times New Roman" w:cs="Times New Roman"/>
          <w:color w:val="000000" w:themeColor="text1"/>
          <w:sz w:val="24"/>
          <w:szCs w:val="24"/>
          <w:lang w:val="es-MX"/>
        </w:rPr>
        <w:t>Escenarios</w:t>
      </w:r>
      <w:proofErr w:type="gramEnd"/>
      <w:r w:rsidRPr="00F74CBC">
        <w:rPr>
          <w:rFonts w:ascii="Times New Roman" w:hAnsi="Times New Roman" w:cs="Times New Roman"/>
          <w:color w:val="000000" w:themeColor="text1"/>
          <w:sz w:val="24"/>
          <w:szCs w:val="24"/>
          <w:lang w:val="es-MX"/>
        </w:rPr>
        <w:t xml:space="preserve"> ficticios de aplicación</w:t>
      </w:r>
    </w:p>
    <w:p w14:paraId="2D473B7B"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Los siguientes escenarios fueron elaborados para análisis y pruebas del prototipo. No describen hechos acreditados ni identifican docentes o estudiantes reales. La clasificación es preliminar y depende de la información disponible.</w:t>
      </w:r>
    </w:p>
    <w:p w14:paraId="20C1BA86"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9.1 Aportación voluntaria sin relación con calificaciones</w:t>
      </w:r>
    </w:p>
    <w:p w14:paraId="431D5C2E"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Una campaña estudiantil solicita alimento para animales del campus. La participación es voluntaria, no interviene en la evaluación y no se ofrece ventaja académica. Con esos datos no se identifica por sí sola una compra de calificaciones. Debe aclararse quién organiza y si existe presión o trato diferenciado. La orientación consiste en informar y verificar condiciones; no corresponde denunciar penalmente por la sola palabra donación.</w:t>
      </w:r>
    </w:p>
    <w:p w14:paraId="58661EB6"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lastRenderedPageBreak/>
        <w:t>Si después se añade que quienes aportan reciben puntos sin actividad evaluable equivalente, el dato cambia el análisis. Se debe consultar la normativa y el criterio de evaluación, y valorar una posible ventaja académica indebida. La finalidad benéfica no elimina la necesidad de examinar el intercambio.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 xml:space="preserve">, art. 21; </w:t>
      </w:r>
      <w:hyperlink w:anchor="S04">
        <w:r w:rsidRPr="00F74CBC">
          <w:rPr>
            <w:rFonts w:ascii="Times New Roman" w:hAnsi="Times New Roman" w:cs="Times New Roman"/>
            <w:color w:val="000000" w:themeColor="text1"/>
            <w:sz w:val="24"/>
            <w:szCs w:val="24"/>
            <w:u w:val="single"/>
            <w:lang w:val="es-MX"/>
          </w:rPr>
          <w:t>S04</w:t>
        </w:r>
      </w:hyperlink>
      <w:r w:rsidRPr="00F74CBC">
        <w:rPr>
          <w:rFonts w:ascii="Times New Roman" w:hAnsi="Times New Roman" w:cs="Times New Roman"/>
          <w:color w:val="000000" w:themeColor="text1"/>
          <w:sz w:val="24"/>
          <w:szCs w:val="24"/>
          <w:lang w:val="es-MX"/>
        </w:rPr>
        <w:t>]</w:t>
      </w:r>
    </w:p>
    <w:p w14:paraId="60B50954"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9.2 Aportación condicionada a obtener cien</w:t>
      </w:r>
    </w:p>
    <w:p w14:paraId="1C33B3DC"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Una persona docente comunica que quienes entreguen una cantidad para una causa recibirán cien en la materia, con independencia de su desempeño. El estudiante conserva el mensaje. Existe un nexo explícito entre beneficio y ventaja académica; corresponde orientación universitaria prioritaria y valoración legal por posible cohecho, sin afirmar culpabilidad. Deben aclararse autoría, contexto, funciones y forma de solicitud.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 xml:space="preserve">; </w:t>
      </w:r>
      <w:hyperlink w:anchor="S13">
        <w:r w:rsidRPr="00F74CBC">
          <w:rPr>
            <w:rFonts w:ascii="Times New Roman" w:hAnsi="Times New Roman" w:cs="Times New Roman"/>
            <w:color w:val="000000" w:themeColor="text1"/>
            <w:sz w:val="24"/>
            <w:szCs w:val="24"/>
            <w:u w:val="single"/>
            <w:lang w:val="es-MX"/>
          </w:rPr>
          <w:t>S13</w:t>
        </w:r>
      </w:hyperlink>
      <w:r w:rsidRPr="00F74CBC">
        <w:rPr>
          <w:rFonts w:ascii="Times New Roman" w:hAnsi="Times New Roman" w:cs="Times New Roman"/>
          <w:color w:val="000000" w:themeColor="text1"/>
          <w:sz w:val="24"/>
          <w:szCs w:val="24"/>
          <w:lang w:val="es-MX"/>
        </w:rPr>
        <w:t>]</w:t>
      </w:r>
    </w:p>
    <w:p w14:paraId="0687B852"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La respuesta puede incluir pedir información sobre protección, conservar el mensaje completo y verificar el plazo de revisión si ya se publicó la evaluación. No debe proponer pagar para comprobar la promesa ni exigir que varias personas se sumen antes de solicitar ayuda.</w:t>
      </w:r>
    </w:p>
    <w:p w14:paraId="1FB6DA83"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9.3 Entrega de una botella para acreditar</w:t>
      </w:r>
    </w:p>
    <w:p w14:paraId="44E99A52"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Un estudiante relata que ofreció y entregó una botella a cambio de aprobar y que la oferta fue aceptada. El bien distinto al dinero puede ser relevante; el análisis no depende sólo de su precio. Se requiere aclarar qué se acordó, quién participó y qué decisión académica ocurrió. Las posibles responsabilidades de cada persona se evalúan individualmente.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 xml:space="preserve">, art. 21; </w:t>
      </w:r>
      <w:hyperlink w:anchor="S12">
        <w:r w:rsidRPr="00F74CBC">
          <w:rPr>
            <w:rFonts w:ascii="Times New Roman" w:hAnsi="Times New Roman" w:cs="Times New Roman"/>
            <w:color w:val="000000" w:themeColor="text1"/>
            <w:sz w:val="24"/>
            <w:szCs w:val="24"/>
            <w:u w:val="single"/>
            <w:lang w:val="es-MX"/>
          </w:rPr>
          <w:t>S12</w:t>
        </w:r>
      </w:hyperlink>
      <w:r w:rsidRPr="00F74CBC">
        <w:rPr>
          <w:rFonts w:ascii="Times New Roman" w:hAnsi="Times New Roman" w:cs="Times New Roman"/>
          <w:color w:val="000000" w:themeColor="text1"/>
          <w:sz w:val="24"/>
          <w:szCs w:val="24"/>
          <w:lang w:val="es-MX"/>
        </w:rPr>
        <w:t>–</w:t>
      </w:r>
      <w:hyperlink w:anchor="S13">
        <w:r w:rsidRPr="00F74CBC">
          <w:rPr>
            <w:rFonts w:ascii="Times New Roman" w:hAnsi="Times New Roman" w:cs="Times New Roman"/>
            <w:color w:val="000000" w:themeColor="text1"/>
            <w:sz w:val="24"/>
            <w:szCs w:val="24"/>
            <w:u w:val="single"/>
            <w:lang w:val="es-MX"/>
          </w:rPr>
          <w:t>S13</w:t>
        </w:r>
      </w:hyperlink>
      <w:r w:rsidRPr="00F74CBC">
        <w:rPr>
          <w:rFonts w:ascii="Times New Roman" w:hAnsi="Times New Roman" w:cs="Times New Roman"/>
          <w:color w:val="000000" w:themeColor="text1"/>
          <w:sz w:val="24"/>
          <w:szCs w:val="24"/>
          <w:lang w:val="es-MX"/>
        </w:rPr>
        <w:t>]</w:t>
      </w:r>
    </w:p>
    <w:p w14:paraId="50D2279C"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Se recomienda asesoría jurídica por la participación narrada y orientación institucional, sin prometer que reportar elimina cualquier consecuencia. Si únicamente un tercero comenta que vio una botella, faltan elementos para concluir que existió un intercambio por acreditación.</w:t>
      </w:r>
    </w:p>
    <w:p w14:paraId="29467420"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9.4 Trato preferencial por cercanía personal</w:t>
      </w:r>
    </w:p>
    <w:p w14:paraId="0EE1AB0C"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Un grupo percibe que una persona cercana al docente recibe mejores oportunidades, pero no conoce pago, regalo ni beneficio ofrecido. Puede existir una preocupación por imparcialidad, aunque los datos no permiten clasificar soborno. Deben examinarse criterios, actividades y decisiones concretas sin acceder indebidamente a información escolar ajena.</w:t>
      </w:r>
    </w:p>
    <w:p w14:paraId="026BA06A"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Quien considera incorrecta su propia nota puede solicitar revisión dentro del plazo aplicable. Si existe trato discriminatorio o una afectación a derechos, procede orientación sobre las vías universitarias. No debe añadirse una contraprestación inexistente para encajar el asunto en el tema del proyecto. [</w:t>
      </w:r>
      <w:hyperlink w:anchor="S04">
        <w:r w:rsidRPr="00F74CBC">
          <w:rPr>
            <w:rFonts w:ascii="Times New Roman" w:hAnsi="Times New Roman" w:cs="Times New Roman"/>
            <w:color w:val="000000" w:themeColor="text1"/>
            <w:sz w:val="24"/>
            <w:szCs w:val="24"/>
            <w:u w:val="single"/>
            <w:lang w:val="es-MX"/>
          </w:rPr>
          <w:t>S04</w:t>
        </w:r>
      </w:hyperlink>
      <w:r w:rsidRPr="00F74CBC">
        <w:rPr>
          <w:rFonts w:ascii="Times New Roman" w:hAnsi="Times New Roman" w:cs="Times New Roman"/>
          <w:color w:val="000000" w:themeColor="text1"/>
          <w:sz w:val="24"/>
          <w:szCs w:val="24"/>
          <w:lang w:val="es-MX"/>
        </w:rPr>
        <w:t xml:space="preserve">; </w:t>
      </w:r>
      <w:hyperlink w:anchor="S09">
        <w:r w:rsidRPr="00F74CBC">
          <w:rPr>
            <w:rFonts w:ascii="Times New Roman" w:hAnsi="Times New Roman" w:cs="Times New Roman"/>
            <w:color w:val="000000" w:themeColor="text1"/>
            <w:sz w:val="24"/>
            <w:szCs w:val="24"/>
            <w:u w:val="single"/>
            <w:lang w:val="es-MX"/>
          </w:rPr>
          <w:t>S09</w:t>
        </w:r>
      </w:hyperlink>
      <w:r w:rsidRPr="00F74CBC">
        <w:rPr>
          <w:rFonts w:ascii="Times New Roman" w:hAnsi="Times New Roman" w:cs="Times New Roman"/>
          <w:color w:val="000000" w:themeColor="text1"/>
          <w:sz w:val="24"/>
          <w:szCs w:val="24"/>
          <w:lang w:val="es-MX"/>
        </w:rPr>
        <w:t>]</w:t>
      </w:r>
    </w:p>
    <w:p w14:paraId="75F5A6B2"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9.5 Ofrecimiento rechazado</w:t>
      </w:r>
    </w:p>
    <w:p w14:paraId="6C08F09A"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Un alumno ofrece dinero para que se cambie su nota y el docente lo rechaza. La negativa evita afirmar recepción, pero no vuelve irrelevante el ofrecimiento. La normativa universitaria contempla ofrecer o prometer beneficios; el régimen administrativo de particulares también analiza esas conductas sin exigir aceptación.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 xml:space="preserve">, art. 21; </w:t>
      </w:r>
      <w:hyperlink w:anchor="S12">
        <w:r w:rsidRPr="00F74CBC">
          <w:rPr>
            <w:rFonts w:ascii="Times New Roman" w:hAnsi="Times New Roman" w:cs="Times New Roman"/>
            <w:color w:val="000000" w:themeColor="text1"/>
            <w:sz w:val="24"/>
            <w:szCs w:val="24"/>
            <w:u w:val="single"/>
            <w:lang w:val="es-MX"/>
          </w:rPr>
          <w:t>S12</w:t>
        </w:r>
      </w:hyperlink>
      <w:r w:rsidRPr="00F74CBC">
        <w:rPr>
          <w:rFonts w:ascii="Times New Roman" w:hAnsi="Times New Roman" w:cs="Times New Roman"/>
          <w:color w:val="000000" w:themeColor="text1"/>
          <w:sz w:val="24"/>
          <w:szCs w:val="24"/>
          <w:lang w:val="es-MX"/>
        </w:rPr>
        <w:t>, art. 66]</w:t>
      </w:r>
    </w:p>
    <w:p w14:paraId="2E03311E"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lastRenderedPageBreak/>
        <w:t>La documentación debe registrar el rechazo y evitar atribuir complicidad al docente. La orientación para la persona que ofreció incluye asesoría sobre su situación; la autoridad competente determinará si se inicia un procedimiento y qué hechos se acreditan.</w:t>
      </w:r>
    </w:p>
    <w:p w14:paraId="4B801866"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9.6 Exigencia acompañada de amenaza</w:t>
      </w:r>
    </w:p>
    <w:p w14:paraId="0C34EC5B"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Se comunica a una estudiante que reprobará o tendrá obstáculos posteriores si no entrega dinero. La orientación debe distinguir la presión académica de cualquier peligro físico inmediato. Una amenaza concreta aumenta la necesidad de protección y hace insuficiente sugerir una conversación privada con quien controla la evaluación.</w:t>
      </w:r>
    </w:p>
    <w:p w14:paraId="655C16BA"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Se propone acudir a Primer Contacto o a la instancia universitaria competente, solicitar valoración de medidas y obtener asesoría legal externa. Si hay evaluación publicada, la revisión corre por separado. La denominación penal precisa de la amenaza o coacción debe determinarse conforme a los hechos y la ley aplicable.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 xml:space="preserve">, arts. 39–46; </w:t>
      </w:r>
      <w:hyperlink w:anchor="S13">
        <w:r w:rsidRPr="00F74CBC">
          <w:rPr>
            <w:rFonts w:ascii="Times New Roman" w:hAnsi="Times New Roman" w:cs="Times New Roman"/>
            <w:color w:val="000000" w:themeColor="text1"/>
            <w:sz w:val="24"/>
            <w:szCs w:val="24"/>
            <w:u w:val="single"/>
            <w:lang w:val="es-MX"/>
          </w:rPr>
          <w:t>S13</w:t>
        </w:r>
      </w:hyperlink>
      <w:r w:rsidRPr="00F74CBC">
        <w:rPr>
          <w:rFonts w:ascii="Times New Roman" w:hAnsi="Times New Roman" w:cs="Times New Roman"/>
          <w:color w:val="000000" w:themeColor="text1"/>
          <w:sz w:val="24"/>
          <w:szCs w:val="24"/>
          <w:lang w:val="es-MX"/>
        </w:rPr>
        <w:t xml:space="preserve">; </w:t>
      </w:r>
      <w:hyperlink w:anchor="S16">
        <w:r w:rsidRPr="00F74CBC">
          <w:rPr>
            <w:rFonts w:ascii="Times New Roman" w:hAnsi="Times New Roman" w:cs="Times New Roman"/>
            <w:color w:val="000000" w:themeColor="text1"/>
            <w:sz w:val="24"/>
            <w:szCs w:val="24"/>
            <w:u w:val="single"/>
            <w:lang w:val="es-MX"/>
          </w:rPr>
          <w:t>S16</w:t>
        </w:r>
      </w:hyperlink>
      <w:r w:rsidRPr="00F74CBC">
        <w:rPr>
          <w:rFonts w:ascii="Times New Roman" w:hAnsi="Times New Roman" w:cs="Times New Roman"/>
          <w:color w:val="000000" w:themeColor="text1"/>
          <w:sz w:val="24"/>
          <w:szCs w:val="24"/>
          <w:lang w:val="es-MX"/>
        </w:rPr>
        <w:t>, art. 137]</w:t>
      </w:r>
    </w:p>
    <w:p w14:paraId="18E0DC34"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9.7 Intermediario que promete cambiar una nota</w:t>
      </w:r>
    </w:p>
    <w:p w14:paraId="056C6952"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Una persona sin cargo académico solicita una transferencia y asegura que conoce a alguien que puede modificar el sistema. No está demostrado que exista participación de un docente. Deben aclararse la identidad, la supuesta capacidad y el destino del pago; podría tratarse de un engaño, un intercambio indebido u otra conducta.</w:t>
      </w:r>
    </w:p>
    <w:p w14:paraId="2B112BA2"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El sistema debe recomendar no efectuar nuevos pagos, preservar las comunicaciones y consultar asesoría universitaria y legal. No debe presentar la promesa del intermediario como prueba de corrupción de la persona a la que menciona. Tampoco debe pedir credenciales escolares ni intentar comprobar acceso al sistema.</w:t>
      </w:r>
    </w:p>
    <w:p w14:paraId="4CC3AC35"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9.8 Represalia después de reportar</w:t>
      </w:r>
    </w:p>
    <w:p w14:paraId="09B25C9A"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Tras solicitar orientación, una persona recibe un mensaje que amenaza con perjudicarla y posteriormente observa una nota que considera injusta. La relación temporal es relevante, pero no acredita por sí misma la causa de la evaluación. Deben conservarse mensaje, criterios y fecha del resultado, y describirse por separado ambos hechos.</w:t>
      </w:r>
    </w:p>
    <w:p w14:paraId="1A973047"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La actuación sugerida combina comunicación del nuevo riesgo a la autoridad del caso, solicitud de protección, revisión de la calificación si procede y valoración legal de la amenaza. Una queja ante la Defensoría puede ser pertinente por posibles afectaciones a derechos.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 xml:space="preserve">; </w:t>
      </w:r>
      <w:hyperlink w:anchor="S04">
        <w:r w:rsidRPr="00F74CBC">
          <w:rPr>
            <w:rFonts w:ascii="Times New Roman" w:hAnsi="Times New Roman" w:cs="Times New Roman"/>
            <w:color w:val="000000" w:themeColor="text1"/>
            <w:sz w:val="24"/>
            <w:szCs w:val="24"/>
            <w:u w:val="single"/>
            <w:lang w:val="es-MX"/>
          </w:rPr>
          <w:t>S04</w:t>
        </w:r>
      </w:hyperlink>
      <w:r w:rsidRPr="00F74CBC">
        <w:rPr>
          <w:rFonts w:ascii="Times New Roman" w:hAnsi="Times New Roman" w:cs="Times New Roman"/>
          <w:color w:val="000000" w:themeColor="text1"/>
          <w:sz w:val="24"/>
          <w:szCs w:val="24"/>
          <w:lang w:val="es-MX"/>
        </w:rPr>
        <w:t xml:space="preserve">; </w:t>
      </w:r>
      <w:hyperlink w:anchor="S09">
        <w:r w:rsidRPr="00F74CBC">
          <w:rPr>
            <w:rFonts w:ascii="Times New Roman" w:hAnsi="Times New Roman" w:cs="Times New Roman"/>
            <w:color w:val="000000" w:themeColor="text1"/>
            <w:sz w:val="24"/>
            <w:szCs w:val="24"/>
            <w:u w:val="single"/>
            <w:lang w:val="es-MX"/>
          </w:rPr>
          <w:t>S09</w:t>
        </w:r>
      </w:hyperlink>
      <w:r w:rsidRPr="00F74CBC">
        <w:rPr>
          <w:rFonts w:ascii="Times New Roman" w:hAnsi="Times New Roman" w:cs="Times New Roman"/>
          <w:color w:val="000000" w:themeColor="text1"/>
          <w:sz w:val="24"/>
          <w:szCs w:val="24"/>
          <w:lang w:val="es-MX"/>
        </w:rPr>
        <w:t xml:space="preserve">; </w:t>
      </w:r>
      <w:hyperlink w:anchor="S16">
        <w:r w:rsidRPr="00F74CBC">
          <w:rPr>
            <w:rFonts w:ascii="Times New Roman" w:hAnsi="Times New Roman" w:cs="Times New Roman"/>
            <w:color w:val="000000" w:themeColor="text1"/>
            <w:sz w:val="24"/>
            <w:szCs w:val="24"/>
            <w:u w:val="single"/>
            <w:lang w:val="es-MX"/>
          </w:rPr>
          <w:t>S16</w:t>
        </w:r>
      </w:hyperlink>
      <w:r w:rsidRPr="00F74CBC">
        <w:rPr>
          <w:rFonts w:ascii="Times New Roman" w:hAnsi="Times New Roman" w:cs="Times New Roman"/>
          <w:color w:val="000000" w:themeColor="text1"/>
          <w:sz w:val="24"/>
          <w:szCs w:val="24"/>
          <w:lang w:val="es-MX"/>
        </w:rPr>
        <w:t>]</w:t>
      </w:r>
    </w:p>
    <w:p w14:paraId="3523CD57"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9.9 Relato repetido entre generaciones</w:t>
      </w:r>
    </w:p>
    <w:p w14:paraId="39894943"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Varias personas afirman haber escuchado que en una materia se puede pagar para aprobar, pero nadie identifica un episodio propio. El sistema debe conservar el carácter indirecto de la información. Puede orientar sobre criterios, canales y recopilación voluntaria de testimonios directos, sin producir una acusación nominal ni marcar un caso como confirmado.</w:t>
      </w:r>
    </w:p>
    <w:p w14:paraId="62CC7431"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Para el informe académico, la circulación del relato constituye un antecedente que justifica estudiar percepción, normalización y conocimiento de los apoyos. Su reiteración no establece prevalencia ni sustituye una investigación institucional.</w:t>
      </w:r>
    </w:p>
    <w:p w14:paraId="5892685F"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lastRenderedPageBreak/>
        <w:t>9.10 Pago efectuado bajo presión</w:t>
      </w:r>
    </w:p>
    <w:p w14:paraId="03BAE5EC"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Una persona relata haber entregado dinero por temor a perder la materia y después desea buscar ayuda. La orientación debe escuchar la presión narrada, conservar la cronología y ofrecer apoyo y asesoría jurídica. No corresponde equiparar automáticamente esa situación con un ofrecimiento libre ni garantizar que ninguna autoridad examine su participación.</w:t>
      </w:r>
    </w:p>
    <w:p w14:paraId="3413474E"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Se recomienda separar la necesidad de protección, la posible revisión académica y el análisis jurídico del pago. Si hay un riesgo vigente, debe atenderse sin esperar a resolver todas las dudas sobre responsabilidad. El modelo debe explicar que las determinaciones corresponden a las autoridades y que la documentación veraz incluye tanto la exigencia como la respuesta de la persona.</w:t>
      </w:r>
    </w:p>
    <w:p w14:paraId="62A35A7E" w14:textId="77777777" w:rsidR="00A31FB8" w:rsidRPr="00F74CBC" w:rsidRDefault="000C42FC">
      <w:pPr>
        <w:pStyle w:val="Ttulo1"/>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10 </w:t>
      </w:r>
      <w:proofErr w:type="gramStart"/>
      <w:r w:rsidRPr="00F74CBC">
        <w:rPr>
          <w:rFonts w:ascii="Times New Roman" w:hAnsi="Times New Roman" w:cs="Times New Roman"/>
          <w:color w:val="000000" w:themeColor="text1"/>
          <w:sz w:val="24"/>
          <w:szCs w:val="24"/>
          <w:lang w:val="es-MX"/>
        </w:rPr>
        <w:t>Evidencia</w:t>
      </w:r>
      <w:proofErr w:type="gramEnd"/>
      <w:r w:rsidRPr="00F74CBC">
        <w:rPr>
          <w:rFonts w:ascii="Times New Roman" w:hAnsi="Times New Roman" w:cs="Times New Roman"/>
          <w:color w:val="000000" w:themeColor="text1"/>
          <w:sz w:val="24"/>
          <w:szCs w:val="24"/>
          <w:lang w:val="es-MX"/>
        </w:rPr>
        <w:t xml:space="preserve"> pública y casos documentados</w:t>
      </w:r>
    </w:p>
    <w:p w14:paraId="2FD387D7"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10.1 Actividad institucional de </w:t>
      </w:r>
      <w:proofErr w:type="spellStart"/>
      <w:r w:rsidRPr="00F74CBC">
        <w:rPr>
          <w:rFonts w:ascii="Times New Roman" w:hAnsi="Times New Roman" w:cs="Times New Roman"/>
          <w:color w:val="000000" w:themeColor="text1"/>
          <w:sz w:val="24"/>
          <w:szCs w:val="24"/>
          <w:lang w:val="es-MX"/>
        </w:rPr>
        <w:t>CUTonalá</w:t>
      </w:r>
      <w:proofErr w:type="spellEnd"/>
    </w:p>
    <w:p w14:paraId="610F0471"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El Informe de Actividades </w:t>
      </w:r>
      <w:proofErr w:type="spellStart"/>
      <w:r w:rsidRPr="00F74CBC">
        <w:rPr>
          <w:rFonts w:ascii="Times New Roman" w:hAnsi="Times New Roman" w:cs="Times New Roman"/>
          <w:color w:val="000000" w:themeColor="text1"/>
          <w:sz w:val="24"/>
          <w:szCs w:val="24"/>
          <w:lang w:val="es-MX"/>
        </w:rPr>
        <w:t>CUTonalá</w:t>
      </w:r>
      <w:proofErr w:type="spellEnd"/>
      <w:r w:rsidRPr="00F74CBC">
        <w:rPr>
          <w:rFonts w:ascii="Times New Roman" w:hAnsi="Times New Roman" w:cs="Times New Roman"/>
          <w:color w:val="000000" w:themeColor="text1"/>
          <w:sz w:val="24"/>
          <w:szCs w:val="24"/>
          <w:lang w:val="es-MX"/>
        </w:rPr>
        <w:t xml:space="preserve"> 2024 reporta 29 casos de denuncias que siguieron procesos de investigación para deliberar sobre responsabilidades. Su apartado 2.3.2.1.3 y tabla 106 presentan actuaciones por comisiones divisionales y del Consejo de Centro. Para Ingenierías e Innovación Tecnológica se mencionan cuatro investigaciones, dos desistimientos y una medida cautelar. Es evidencia de actividad institucional reportada, no de 29 casos de soborno ni de responsabilidad acreditada en todos ellos. [</w:t>
      </w:r>
      <w:hyperlink w:anchor="S20">
        <w:r w:rsidRPr="00F74CBC">
          <w:rPr>
            <w:rFonts w:ascii="Times New Roman" w:hAnsi="Times New Roman" w:cs="Times New Roman"/>
            <w:color w:val="000000" w:themeColor="text1"/>
            <w:sz w:val="24"/>
            <w:szCs w:val="24"/>
            <w:u w:val="single"/>
            <w:lang w:val="es-MX"/>
          </w:rPr>
          <w:t>S20</w:t>
        </w:r>
      </w:hyperlink>
      <w:r w:rsidRPr="00F74CBC">
        <w:rPr>
          <w:rFonts w:ascii="Times New Roman" w:hAnsi="Times New Roman" w:cs="Times New Roman"/>
          <w:color w:val="000000" w:themeColor="text1"/>
          <w:sz w:val="24"/>
          <w:szCs w:val="24"/>
          <w:lang w:val="es-MX"/>
        </w:rPr>
        <w:t>, pp. 287–288]</w:t>
      </w:r>
    </w:p>
    <w:p w14:paraId="182A4BE1"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El Informe Técnico de Actividades 2025 señala 40 denuncias formales en Primer Contacto, seis colectivas y cuatro con más de una persona señalada. También refiere 62 personas denunciantes. Estos datos ilustran por qué denuncias, personas y manifestaciones de violencia son unidades diferentes. No deben convertirse en una tasa de corrupción ni compararse directamente con los procesos de investigación de 2024 como si fueran el mismo indicador. [</w:t>
      </w:r>
      <w:hyperlink w:anchor="S21">
        <w:r w:rsidRPr="00F74CBC">
          <w:rPr>
            <w:rFonts w:ascii="Times New Roman" w:hAnsi="Times New Roman" w:cs="Times New Roman"/>
            <w:color w:val="000000" w:themeColor="text1"/>
            <w:sz w:val="24"/>
            <w:szCs w:val="24"/>
            <w:u w:val="single"/>
            <w:lang w:val="es-MX"/>
          </w:rPr>
          <w:t>S21</w:t>
        </w:r>
      </w:hyperlink>
      <w:r w:rsidRPr="00F74CBC">
        <w:rPr>
          <w:rFonts w:ascii="Times New Roman" w:hAnsi="Times New Roman" w:cs="Times New Roman"/>
          <w:color w:val="000000" w:themeColor="text1"/>
          <w:sz w:val="24"/>
          <w:szCs w:val="24"/>
          <w:lang w:val="es-MX"/>
        </w:rPr>
        <w:t>, pp. 258–259]</w:t>
      </w:r>
    </w:p>
    <w:p w14:paraId="29ADAEA3"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Se observó una inconsistencia que merece aclaración: la narración de 2025 menciona 78 manifestaciones, mientras la tabla 137 totaliza 80; además, las tablas por tipo de persona y por sexo no presentan el mismo total de denunciados. Esto limita inferencias cuantitativas. No demuestra falsedad deliberada, ausencia de atención o ineficacia. Deben precisarse universos y criterios antes de calcular resultados. [</w:t>
      </w:r>
      <w:hyperlink w:anchor="S21">
        <w:r w:rsidRPr="00F74CBC">
          <w:rPr>
            <w:rFonts w:ascii="Times New Roman" w:hAnsi="Times New Roman" w:cs="Times New Roman"/>
            <w:color w:val="000000" w:themeColor="text1"/>
            <w:sz w:val="24"/>
            <w:szCs w:val="24"/>
            <w:u w:val="single"/>
            <w:lang w:val="es-MX"/>
          </w:rPr>
          <w:t>S21</w:t>
        </w:r>
      </w:hyperlink>
      <w:r w:rsidRPr="00F74CBC">
        <w:rPr>
          <w:rFonts w:ascii="Times New Roman" w:hAnsi="Times New Roman" w:cs="Times New Roman"/>
          <w:color w:val="000000" w:themeColor="text1"/>
          <w:sz w:val="24"/>
          <w:szCs w:val="24"/>
          <w:lang w:val="es-MX"/>
        </w:rPr>
        <w:t>]</w:t>
      </w:r>
    </w:p>
    <w:p w14:paraId="07116A07"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10.2 Caso de cohecho publicado por Fiscalía</w:t>
      </w:r>
    </w:p>
    <w:p w14:paraId="421D349B"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El 15 de septiembre de 2026, la Fiscalía Anticorrupción informó la vinculación a proceso de un exservidor público del Instituto de Justicia Alternativa por probable cohecho. Según el comunicado, en hechos de 2017 habría solicitado y recibido 15 mil pesos para un trámite que debía ser gratuito y después habría pedido otra cantidad. La publicación refiere restricciones de contacto con víctima y testigos y un plazo de investigación complementaria. [</w:t>
      </w:r>
      <w:hyperlink w:anchor="S22">
        <w:r w:rsidRPr="00F74CBC">
          <w:rPr>
            <w:rFonts w:ascii="Times New Roman" w:hAnsi="Times New Roman" w:cs="Times New Roman"/>
            <w:color w:val="000000" w:themeColor="text1"/>
            <w:sz w:val="24"/>
            <w:szCs w:val="24"/>
            <w:u w:val="single"/>
            <w:lang w:val="es-MX"/>
          </w:rPr>
          <w:t>S22</w:t>
        </w:r>
      </w:hyperlink>
      <w:r w:rsidRPr="00F74CBC">
        <w:rPr>
          <w:rFonts w:ascii="Times New Roman" w:hAnsi="Times New Roman" w:cs="Times New Roman"/>
          <w:color w:val="000000" w:themeColor="text1"/>
          <w:sz w:val="24"/>
          <w:szCs w:val="24"/>
          <w:lang w:val="es-MX"/>
        </w:rPr>
        <w:t>]</w:t>
      </w:r>
    </w:p>
    <w:p w14:paraId="757802A2"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Este caso sirve para mostrar que el cobro ligado a una función pública puede investigarse penalmente y que las medidas de protección o cautelares son distintas de la sentencia. No pertenece a </w:t>
      </w:r>
      <w:proofErr w:type="spellStart"/>
      <w:r w:rsidRPr="00F74CBC">
        <w:rPr>
          <w:rFonts w:ascii="Times New Roman" w:hAnsi="Times New Roman" w:cs="Times New Roman"/>
          <w:color w:val="000000" w:themeColor="text1"/>
          <w:sz w:val="24"/>
          <w:szCs w:val="24"/>
          <w:lang w:val="es-MX"/>
        </w:rPr>
        <w:t>CUTonalá</w:t>
      </w:r>
      <w:proofErr w:type="spellEnd"/>
      <w:r w:rsidRPr="00F74CBC">
        <w:rPr>
          <w:rFonts w:ascii="Times New Roman" w:hAnsi="Times New Roman" w:cs="Times New Roman"/>
          <w:color w:val="000000" w:themeColor="text1"/>
          <w:sz w:val="24"/>
          <w:szCs w:val="24"/>
          <w:lang w:val="es-MX"/>
        </w:rPr>
        <w:t>, no trata de calificaciones y no acredita los relatos aportados por el autor. La información consultada documenta una etapa procesal; no se presenta como condena firme ni se traslada su resultado a los ejemplos universitarios.</w:t>
      </w:r>
    </w:p>
    <w:p w14:paraId="180A0960"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lastRenderedPageBreak/>
        <w:t>10.3 Caso del sector educativo con figura jurídica distinta</w:t>
      </w:r>
    </w:p>
    <w:p w14:paraId="5416598D"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El 17 de septiembre de 2026, la misma Fiscalía publicó la vinculación a proceso de dos personas por presuntas irregularidades en la nómina del </w:t>
      </w:r>
      <w:proofErr w:type="spellStart"/>
      <w:r w:rsidRPr="00F74CBC">
        <w:rPr>
          <w:rFonts w:ascii="Times New Roman" w:hAnsi="Times New Roman" w:cs="Times New Roman"/>
          <w:color w:val="000000" w:themeColor="text1"/>
          <w:sz w:val="24"/>
          <w:szCs w:val="24"/>
          <w:lang w:val="es-MX"/>
        </w:rPr>
        <w:t>CECyTEJ</w:t>
      </w:r>
      <w:proofErr w:type="spellEnd"/>
      <w:r w:rsidRPr="00F74CBC">
        <w:rPr>
          <w:rFonts w:ascii="Times New Roman" w:hAnsi="Times New Roman" w:cs="Times New Roman"/>
          <w:color w:val="000000" w:themeColor="text1"/>
          <w:sz w:val="24"/>
          <w:szCs w:val="24"/>
          <w:lang w:val="es-MX"/>
        </w:rPr>
        <w:t>. El comunicado menciona una contratación y pagos por servicios que presuntamente no se prestaron, y señala peculado y abuso de autoridad como delitos atribuidos. [</w:t>
      </w:r>
      <w:hyperlink w:anchor="S23">
        <w:r w:rsidRPr="00F74CBC">
          <w:rPr>
            <w:rFonts w:ascii="Times New Roman" w:hAnsi="Times New Roman" w:cs="Times New Roman"/>
            <w:color w:val="000000" w:themeColor="text1"/>
            <w:sz w:val="24"/>
            <w:szCs w:val="24"/>
            <w:u w:val="single"/>
            <w:lang w:val="es-MX"/>
          </w:rPr>
          <w:t>S23</w:t>
        </w:r>
      </w:hyperlink>
      <w:r w:rsidRPr="00F74CBC">
        <w:rPr>
          <w:rFonts w:ascii="Times New Roman" w:hAnsi="Times New Roman" w:cs="Times New Roman"/>
          <w:color w:val="000000" w:themeColor="text1"/>
          <w:sz w:val="24"/>
          <w:szCs w:val="24"/>
          <w:lang w:val="es-MX"/>
        </w:rPr>
        <w:t>]</w:t>
      </w:r>
    </w:p>
    <w:p w14:paraId="78766078"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La referencia permite explicar que no toda irregularidad educativa se denomina soborno. Un problema de nómina, una ventaja académica y un trato preferencial pueden requerir calificaciones y competencias diferentes. </w:t>
      </w:r>
      <w:proofErr w:type="spellStart"/>
      <w:r w:rsidRPr="00F74CBC">
        <w:rPr>
          <w:rFonts w:ascii="Times New Roman" w:hAnsi="Times New Roman" w:cs="Times New Roman"/>
          <w:color w:val="000000" w:themeColor="text1"/>
          <w:sz w:val="24"/>
          <w:szCs w:val="24"/>
          <w:lang w:val="es-MX"/>
        </w:rPr>
        <w:t>CECyTEJ</w:t>
      </w:r>
      <w:proofErr w:type="spellEnd"/>
      <w:r w:rsidRPr="00F74CBC">
        <w:rPr>
          <w:rFonts w:ascii="Times New Roman" w:hAnsi="Times New Roman" w:cs="Times New Roman"/>
          <w:color w:val="000000" w:themeColor="text1"/>
          <w:sz w:val="24"/>
          <w:szCs w:val="24"/>
          <w:lang w:val="es-MX"/>
        </w:rPr>
        <w:t xml:space="preserve"> es una institución distinta de la UDG. La vinculación es una decisión procesal y no una afirmación de culpabilidad definitiva de las personas mencionadas.</w:t>
      </w:r>
    </w:p>
    <w:p w14:paraId="705FCB29"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10.4 Qué puede afirmarse sobre los relatos del campus</w:t>
      </w:r>
    </w:p>
    <w:p w14:paraId="2601CF92"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Las fuentes revisadas no permiten presentar los relatos específicos compartidos por el autor como casos comprobados de soborno en </w:t>
      </w:r>
      <w:proofErr w:type="spellStart"/>
      <w:r w:rsidRPr="00F74CBC">
        <w:rPr>
          <w:rFonts w:ascii="Times New Roman" w:hAnsi="Times New Roman" w:cs="Times New Roman"/>
          <w:color w:val="000000" w:themeColor="text1"/>
          <w:sz w:val="24"/>
          <w:szCs w:val="24"/>
          <w:lang w:val="es-MX"/>
        </w:rPr>
        <w:t>CUTonalá</w:t>
      </w:r>
      <w:proofErr w:type="spellEnd"/>
      <w:r w:rsidRPr="00F74CBC">
        <w:rPr>
          <w:rFonts w:ascii="Times New Roman" w:hAnsi="Times New Roman" w:cs="Times New Roman"/>
          <w:color w:val="000000" w:themeColor="text1"/>
          <w:sz w:val="24"/>
          <w:szCs w:val="24"/>
          <w:lang w:val="es-MX"/>
        </w:rPr>
        <w:t>. La investigación sí puede afirmar que esos relatos fueron aportados como motivación, que la normativa contempla conductas compatibles con algunos de sus patrones y que existen canales institucionales para solicitar orientación y comunicar hechos.</w:t>
      </w:r>
    </w:p>
    <w:p w14:paraId="2E84C844"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La falta de una resolución localizada no demuestra inexistencia del comportamiento ni encubrimiento. Puede haber información no pública, no indexada o no identificada por esta revisión. Para ampliar la evidencia sería necesario recopilar testimonios con metodología y consentimiento, consultar datos agregados y, cuando corresponda, obtener documentos públicos de resoluciones. No se requiere exponer nombres en una presentación de clase para explicar las conductas y los problemas de acceso.</w:t>
      </w:r>
    </w:p>
    <w:p w14:paraId="3703A355" w14:textId="77777777" w:rsidR="00A31FB8" w:rsidRPr="00F74CBC" w:rsidRDefault="000C42FC">
      <w:pPr>
        <w:pStyle w:val="Ttulo1"/>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11 </w:t>
      </w:r>
      <w:proofErr w:type="gramStart"/>
      <w:r w:rsidRPr="00F74CBC">
        <w:rPr>
          <w:rFonts w:ascii="Times New Roman" w:hAnsi="Times New Roman" w:cs="Times New Roman"/>
          <w:color w:val="000000" w:themeColor="text1"/>
          <w:sz w:val="24"/>
          <w:szCs w:val="24"/>
          <w:lang w:val="es-MX"/>
        </w:rPr>
        <w:t>Accesibilidad</w:t>
      </w:r>
      <w:proofErr w:type="gramEnd"/>
      <w:r w:rsidRPr="00F74CBC">
        <w:rPr>
          <w:rFonts w:ascii="Times New Roman" w:hAnsi="Times New Roman" w:cs="Times New Roman"/>
          <w:color w:val="000000" w:themeColor="text1"/>
          <w:sz w:val="24"/>
          <w:szCs w:val="24"/>
          <w:lang w:val="es-MX"/>
        </w:rPr>
        <w:t xml:space="preserve"> de la información y evaluación crítica</w:t>
      </w:r>
    </w:p>
    <w:p w14:paraId="219DCA6C"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11.1 Criterios de revisión</w:t>
      </w:r>
    </w:p>
    <w:p w14:paraId="3D6B6335"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La revisión valoró si era posible encontrar la ruta mediante lenguaje cotidiano; identificar autoridad y servicio; conocer lugar, contacto y horario; distinguir orientación de denuncia; comprender requisitos; y localizar información de seguimiento y protección. Se examinaron páginas locales, directorios centrales, normativa y formularios externos. Se registraron hallazgos positivos y dificultades, evitando convertir una experiencia de navegación en un juicio general sobre la institución.</w:t>
      </w:r>
    </w:p>
    <w:p w14:paraId="5BC9B727" w14:textId="77777777" w:rsidR="00A31FB8" w:rsidRPr="00F74CBC" w:rsidRDefault="000C42FC">
      <w:pPr>
        <w:pStyle w:val="Ttulo2"/>
        <w:rPr>
          <w:rFonts w:ascii="Times New Roman" w:hAnsi="Times New Roman" w:cs="Times New Roman"/>
          <w:color w:val="000000" w:themeColor="text1"/>
          <w:sz w:val="24"/>
          <w:szCs w:val="24"/>
        </w:rPr>
      </w:pPr>
      <w:r w:rsidRPr="00F74CBC">
        <w:rPr>
          <w:rFonts w:ascii="Times New Roman" w:hAnsi="Times New Roman" w:cs="Times New Roman"/>
          <w:color w:val="000000" w:themeColor="text1"/>
          <w:sz w:val="24"/>
          <w:szCs w:val="24"/>
        </w:rPr>
        <w:t xml:space="preserve">11.2 </w:t>
      </w:r>
      <w:proofErr w:type="spellStart"/>
      <w:r w:rsidRPr="00F74CBC">
        <w:rPr>
          <w:rFonts w:ascii="Times New Roman" w:hAnsi="Times New Roman" w:cs="Times New Roman"/>
          <w:color w:val="000000" w:themeColor="text1"/>
          <w:sz w:val="24"/>
          <w:szCs w:val="24"/>
        </w:rPr>
        <w:t>Resultados</w:t>
      </w:r>
      <w:proofErr w:type="spellEnd"/>
      <w:r w:rsidRPr="00F74CBC">
        <w:rPr>
          <w:rFonts w:ascii="Times New Roman" w:hAnsi="Times New Roman" w:cs="Times New Roman"/>
          <w:color w:val="000000" w:themeColor="text1"/>
          <w:sz w:val="24"/>
          <w:szCs w:val="24"/>
        </w:rPr>
        <w:t xml:space="preserve"> de la consulta</w:t>
      </w:r>
    </w:p>
    <w:tbl>
      <w:tblPr>
        <w:tblStyle w:val="Tablaconcuadrcula"/>
        <w:tblW w:w="0" w:type="auto"/>
        <w:tblLook w:val="04A0" w:firstRow="1" w:lastRow="0" w:firstColumn="1" w:lastColumn="0" w:noHBand="0" w:noVBand="1"/>
      </w:tblPr>
      <w:tblGrid>
        <w:gridCol w:w="1858"/>
        <w:gridCol w:w="4218"/>
        <w:gridCol w:w="3932"/>
      </w:tblGrid>
      <w:tr w:rsidR="00A31FB8" w:rsidRPr="00F74CBC" w14:paraId="0468986C" w14:textId="77777777" w:rsidTr="00F74CBC">
        <w:tc>
          <w:tcPr>
            <w:tcW w:w="0" w:type="auto"/>
          </w:tcPr>
          <w:p w14:paraId="64843745"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b/>
                <w:color w:val="000000" w:themeColor="text1"/>
                <w:sz w:val="24"/>
                <w:szCs w:val="24"/>
              </w:rPr>
              <w:t>Aspecto</w:t>
            </w:r>
          </w:p>
        </w:tc>
        <w:tc>
          <w:tcPr>
            <w:tcW w:w="0" w:type="auto"/>
          </w:tcPr>
          <w:p w14:paraId="3F4945AE"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b/>
                <w:color w:val="000000" w:themeColor="text1"/>
                <w:sz w:val="24"/>
                <w:szCs w:val="24"/>
              </w:rPr>
              <w:t>Evidencia observada</w:t>
            </w:r>
          </w:p>
        </w:tc>
        <w:tc>
          <w:tcPr>
            <w:tcW w:w="0" w:type="auto"/>
          </w:tcPr>
          <w:p w14:paraId="79030876"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b/>
                <w:color w:val="000000" w:themeColor="text1"/>
                <w:sz w:val="24"/>
                <w:szCs w:val="24"/>
              </w:rPr>
              <w:t>Alcance de la conclusión</w:t>
            </w:r>
          </w:p>
        </w:tc>
      </w:tr>
      <w:tr w:rsidR="00A31FB8" w:rsidRPr="00F74CBC" w14:paraId="645B573C" w14:textId="77777777" w:rsidTr="00F74CBC">
        <w:tc>
          <w:tcPr>
            <w:tcW w:w="0" w:type="auto"/>
          </w:tcPr>
          <w:p w14:paraId="3BAC1CF5"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color w:val="000000" w:themeColor="text1"/>
                <w:sz w:val="24"/>
                <w:szCs w:val="24"/>
              </w:rPr>
              <w:t>Normativa</w:t>
            </w:r>
          </w:p>
        </w:tc>
        <w:tc>
          <w:tcPr>
            <w:tcW w:w="0" w:type="auto"/>
          </w:tcPr>
          <w:p w14:paraId="54DFC5E9"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Reglamentos oficiales descargables con conductas y procedimiento</w:t>
            </w:r>
          </w:p>
        </w:tc>
        <w:tc>
          <w:tcPr>
            <w:tcW w:w="0" w:type="auto"/>
          </w:tcPr>
          <w:p w14:paraId="27B84C7E"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Existe fundamento público; requiere lectura y relación entre documentos</w:t>
            </w:r>
          </w:p>
        </w:tc>
      </w:tr>
      <w:tr w:rsidR="00A31FB8" w:rsidRPr="00F74CBC" w14:paraId="2822CC08" w14:textId="77777777" w:rsidTr="00F74CBC">
        <w:tc>
          <w:tcPr>
            <w:tcW w:w="0" w:type="auto"/>
          </w:tcPr>
          <w:p w14:paraId="1F2E945B"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color w:val="000000" w:themeColor="text1"/>
                <w:sz w:val="24"/>
                <w:szCs w:val="24"/>
              </w:rPr>
              <w:t xml:space="preserve">Ruta de </w:t>
            </w:r>
            <w:proofErr w:type="spellStart"/>
            <w:r w:rsidRPr="00F74CBC">
              <w:rPr>
                <w:rFonts w:ascii="Times New Roman" w:hAnsi="Times New Roman" w:cs="Times New Roman"/>
                <w:color w:val="000000" w:themeColor="text1"/>
                <w:sz w:val="24"/>
                <w:szCs w:val="24"/>
              </w:rPr>
              <w:t>soborno</w:t>
            </w:r>
            <w:proofErr w:type="spellEnd"/>
          </w:p>
        </w:tc>
        <w:tc>
          <w:tcPr>
            <w:tcW w:w="0" w:type="auto"/>
          </w:tcPr>
          <w:p w14:paraId="58FE2EB0"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color w:val="000000" w:themeColor="text1"/>
                <w:sz w:val="24"/>
                <w:szCs w:val="24"/>
              </w:rPr>
              <w:t>Contraloría remite faltas universitarias a Primer Contacto; página local enfatiza violencia</w:t>
            </w:r>
          </w:p>
        </w:tc>
        <w:tc>
          <w:tcPr>
            <w:tcW w:w="0" w:type="auto"/>
          </w:tcPr>
          <w:p w14:paraId="2A5208A8"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Falta claridad para quien no reconoce su caso como violencia</w:t>
            </w:r>
          </w:p>
        </w:tc>
      </w:tr>
      <w:tr w:rsidR="00A31FB8" w:rsidRPr="00F74CBC" w14:paraId="1C2DD92D" w14:textId="77777777" w:rsidTr="00F74CBC">
        <w:tc>
          <w:tcPr>
            <w:tcW w:w="0" w:type="auto"/>
          </w:tcPr>
          <w:p w14:paraId="59FA0ED2" w14:textId="77777777" w:rsidR="00A31FB8" w:rsidRPr="00F74CBC" w:rsidRDefault="000C42FC">
            <w:pPr>
              <w:spacing w:after="0" w:line="252" w:lineRule="auto"/>
              <w:rPr>
                <w:rFonts w:ascii="Times New Roman" w:hAnsi="Times New Roman" w:cs="Times New Roman"/>
                <w:color w:val="000000" w:themeColor="text1"/>
                <w:sz w:val="24"/>
                <w:szCs w:val="24"/>
              </w:rPr>
            </w:pPr>
            <w:proofErr w:type="spellStart"/>
            <w:r w:rsidRPr="00F74CBC">
              <w:rPr>
                <w:rFonts w:ascii="Times New Roman" w:hAnsi="Times New Roman" w:cs="Times New Roman"/>
                <w:color w:val="000000" w:themeColor="text1"/>
                <w:sz w:val="24"/>
                <w:szCs w:val="24"/>
              </w:rPr>
              <w:t>Contactos</w:t>
            </w:r>
            <w:proofErr w:type="spellEnd"/>
          </w:p>
        </w:tc>
        <w:tc>
          <w:tcPr>
            <w:tcW w:w="0" w:type="auto"/>
          </w:tcPr>
          <w:p w14:paraId="691765CE"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Correos y ubicaciones publicados; teléfonos y nombre del enlace DDU difieren</w:t>
            </w:r>
          </w:p>
        </w:tc>
        <w:tc>
          <w:tcPr>
            <w:tcW w:w="0" w:type="auto"/>
          </w:tcPr>
          <w:p w14:paraId="41A96FAB"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Se requiere depuración o confirmación; no se comprobó que los contactos fallen</w:t>
            </w:r>
          </w:p>
        </w:tc>
      </w:tr>
      <w:tr w:rsidR="00A31FB8" w:rsidRPr="00F74CBC" w14:paraId="7158BEAD" w14:textId="77777777" w:rsidTr="00F74CBC">
        <w:tc>
          <w:tcPr>
            <w:tcW w:w="0" w:type="auto"/>
          </w:tcPr>
          <w:p w14:paraId="25F155F6" w14:textId="77777777" w:rsidR="00A31FB8" w:rsidRPr="00F74CBC" w:rsidRDefault="000C42FC">
            <w:pPr>
              <w:spacing w:after="0" w:line="252" w:lineRule="auto"/>
              <w:rPr>
                <w:rFonts w:ascii="Times New Roman" w:hAnsi="Times New Roman" w:cs="Times New Roman"/>
                <w:color w:val="000000" w:themeColor="text1"/>
                <w:sz w:val="24"/>
                <w:szCs w:val="24"/>
              </w:rPr>
            </w:pPr>
            <w:proofErr w:type="spellStart"/>
            <w:r w:rsidRPr="00F74CBC">
              <w:rPr>
                <w:rFonts w:ascii="Times New Roman" w:hAnsi="Times New Roman" w:cs="Times New Roman"/>
                <w:color w:val="000000" w:themeColor="text1"/>
                <w:sz w:val="24"/>
                <w:szCs w:val="24"/>
              </w:rPr>
              <w:lastRenderedPageBreak/>
              <w:t>Denuncia</w:t>
            </w:r>
            <w:proofErr w:type="spellEnd"/>
            <w:r w:rsidRPr="00F74CBC">
              <w:rPr>
                <w:rFonts w:ascii="Times New Roman" w:hAnsi="Times New Roman" w:cs="Times New Roman"/>
                <w:color w:val="000000" w:themeColor="text1"/>
                <w:sz w:val="24"/>
                <w:szCs w:val="24"/>
              </w:rPr>
              <w:t xml:space="preserve"> </w:t>
            </w:r>
            <w:proofErr w:type="spellStart"/>
            <w:r w:rsidRPr="00F74CBC">
              <w:rPr>
                <w:rFonts w:ascii="Times New Roman" w:hAnsi="Times New Roman" w:cs="Times New Roman"/>
                <w:color w:val="000000" w:themeColor="text1"/>
                <w:sz w:val="24"/>
                <w:szCs w:val="24"/>
              </w:rPr>
              <w:t>electrónica</w:t>
            </w:r>
            <w:proofErr w:type="spellEnd"/>
            <w:r w:rsidRPr="00F74CBC">
              <w:rPr>
                <w:rFonts w:ascii="Times New Roman" w:hAnsi="Times New Roman" w:cs="Times New Roman"/>
                <w:color w:val="000000" w:themeColor="text1"/>
                <w:sz w:val="24"/>
                <w:szCs w:val="24"/>
              </w:rPr>
              <w:t xml:space="preserve"> CUT</w:t>
            </w:r>
          </w:p>
        </w:tc>
        <w:tc>
          <w:tcPr>
            <w:tcW w:w="0" w:type="auto"/>
          </w:tcPr>
          <w:p w14:paraId="367B8434"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No se localizó un formulario inequívoco de soborno en las páginas revisadas</w:t>
            </w:r>
          </w:p>
        </w:tc>
        <w:tc>
          <w:tcPr>
            <w:tcW w:w="0" w:type="auto"/>
          </w:tcPr>
          <w:p w14:paraId="3B8B7D75"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Dificultad de localización, no prueba de inexistencia</w:t>
            </w:r>
          </w:p>
        </w:tc>
      </w:tr>
      <w:tr w:rsidR="00A31FB8" w:rsidRPr="00F74CBC" w14:paraId="48BDD5F1" w14:textId="77777777" w:rsidTr="00F74CBC">
        <w:tc>
          <w:tcPr>
            <w:tcW w:w="0" w:type="auto"/>
          </w:tcPr>
          <w:p w14:paraId="7497F67E" w14:textId="77777777" w:rsidR="00A31FB8" w:rsidRPr="00F74CBC" w:rsidRDefault="000C42FC">
            <w:pPr>
              <w:spacing w:after="0" w:line="252" w:lineRule="auto"/>
              <w:rPr>
                <w:rFonts w:ascii="Times New Roman" w:hAnsi="Times New Roman" w:cs="Times New Roman"/>
                <w:color w:val="000000" w:themeColor="text1"/>
                <w:sz w:val="24"/>
                <w:szCs w:val="24"/>
              </w:rPr>
            </w:pPr>
            <w:proofErr w:type="spellStart"/>
            <w:r w:rsidRPr="00F74CBC">
              <w:rPr>
                <w:rFonts w:ascii="Times New Roman" w:hAnsi="Times New Roman" w:cs="Times New Roman"/>
                <w:color w:val="000000" w:themeColor="text1"/>
                <w:sz w:val="24"/>
                <w:szCs w:val="24"/>
              </w:rPr>
              <w:t>Apoyo</w:t>
            </w:r>
            <w:proofErr w:type="spellEnd"/>
            <w:r w:rsidRPr="00F74CBC">
              <w:rPr>
                <w:rFonts w:ascii="Times New Roman" w:hAnsi="Times New Roman" w:cs="Times New Roman"/>
                <w:color w:val="000000" w:themeColor="text1"/>
                <w:sz w:val="24"/>
                <w:szCs w:val="24"/>
              </w:rPr>
              <w:t xml:space="preserve"> </w:t>
            </w:r>
            <w:proofErr w:type="spellStart"/>
            <w:r w:rsidRPr="00F74CBC">
              <w:rPr>
                <w:rFonts w:ascii="Times New Roman" w:hAnsi="Times New Roman" w:cs="Times New Roman"/>
                <w:color w:val="000000" w:themeColor="text1"/>
                <w:sz w:val="24"/>
                <w:szCs w:val="24"/>
              </w:rPr>
              <w:t>psicológico</w:t>
            </w:r>
            <w:proofErr w:type="spellEnd"/>
          </w:p>
        </w:tc>
        <w:tc>
          <w:tcPr>
            <w:tcW w:w="0" w:type="auto"/>
          </w:tcPr>
          <w:p w14:paraId="04D84586"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Instrucciones públicas con formulario, SIGA y correo</w:t>
            </w:r>
          </w:p>
        </w:tc>
        <w:tc>
          <w:tcPr>
            <w:tcW w:w="0" w:type="auto"/>
          </w:tcPr>
          <w:p w14:paraId="77EFE1FE"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Ruta identificable con varias etapas; no se midieron tiempos ni abandono</w:t>
            </w:r>
          </w:p>
        </w:tc>
      </w:tr>
      <w:tr w:rsidR="00A31FB8" w:rsidRPr="00F74CBC" w14:paraId="2A343613" w14:textId="77777777" w:rsidTr="00F74CBC">
        <w:tc>
          <w:tcPr>
            <w:tcW w:w="0" w:type="auto"/>
          </w:tcPr>
          <w:p w14:paraId="35C56461" w14:textId="77777777" w:rsidR="00A31FB8" w:rsidRPr="00F74CBC" w:rsidRDefault="000C42FC">
            <w:pPr>
              <w:spacing w:after="0" w:line="252" w:lineRule="auto"/>
              <w:rPr>
                <w:rFonts w:ascii="Times New Roman" w:hAnsi="Times New Roman" w:cs="Times New Roman"/>
                <w:color w:val="000000" w:themeColor="text1"/>
                <w:sz w:val="24"/>
                <w:szCs w:val="24"/>
              </w:rPr>
            </w:pPr>
            <w:proofErr w:type="spellStart"/>
            <w:r w:rsidRPr="00F74CBC">
              <w:rPr>
                <w:rFonts w:ascii="Times New Roman" w:hAnsi="Times New Roman" w:cs="Times New Roman"/>
                <w:color w:val="000000" w:themeColor="text1"/>
                <w:sz w:val="24"/>
                <w:szCs w:val="24"/>
              </w:rPr>
              <w:t>Fiscalía</w:t>
            </w:r>
            <w:proofErr w:type="spellEnd"/>
          </w:p>
        </w:tc>
        <w:tc>
          <w:tcPr>
            <w:tcW w:w="0" w:type="auto"/>
          </w:tcPr>
          <w:p w14:paraId="70A8B14E"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Formulario anónimo o con datos, adjuntos y seguimiento por correo</w:t>
            </w:r>
          </w:p>
        </w:tc>
        <w:tc>
          <w:tcPr>
            <w:tcW w:w="0" w:type="auto"/>
          </w:tcPr>
          <w:p w14:paraId="12A6F5E6"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Acceso visible; no se probó envío ni respuesta</w:t>
            </w:r>
          </w:p>
        </w:tc>
      </w:tr>
      <w:tr w:rsidR="00A31FB8" w:rsidRPr="00F74CBC" w14:paraId="4FD434AD" w14:textId="77777777" w:rsidTr="00F74CBC">
        <w:tc>
          <w:tcPr>
            <w:tcW w:w="0" w:type="auto"/>
          </w:tcPr>
          <w:p w14:paraId="300B2F40" w14:textId="77777777" w:rsidR="00A31FB8" w:rsidRPr="00F74CBC" w:rsidRDefault="000C42FC">
            <w:pPr>
              <w:spacing w:after="0" w:line="252" w:lineRule="auto"/>
              <w:rPr>
                <w:rFonts w:ascii="Times New Roman" w:hAnsi="Times New Roman" w:cs="Times New Roman"/>
                <w:color w:val="000000" w:themeColor="text1"/>
                <w:sz w:val="24"/>
                <w:szCs w:val="24"/>
              </w:rPr>
            </w:pPr>
            <w:proofErr w:type="spellStart"/>
            <w:r w:rsidRPr="00F74CBC">
              <w:rPr>
                <w:rFonts w:ascii="Times New Roman" w:hAnsi="Times New Roman" w:cs="Times New Roman"/>
                <w:color w:val="000000" w:themeColor="text1"/>
                <w:sz w:val="24"/>
                <w:szCs w:val="24"/>
              </w:rPr>
              <w:t>Actividad</w:t>
            </w:r>
            <w:proofErr w:type="spellEnd"/>
            <w:r w:rsidRPr="00F74CBC">
              <w:rPr>
                <w:rFonts w:ascii="Times New Roman" w:hAnsi="Times New Roman" w:cs="Times New Roman"/>
                <w:color w:val="000000" w:themeColor="text1"/>
                <w:sz w:val="24"/>
                <w:szCs w:val="24"/>
              </w:rPr>
              <w:t xml:space="preserve"> </w:t>
            </w:r>
            <w:proofErr w:type="spellStart"/>
            <w:r w:rsidRPr="00F74CBC">
              <w:rPr>
                <w:rFonts w:ascii="Times New Roman" w:hAnsi="Times New Roman" w:cs="Times New Roman"/>
                <w:color w:val="000000" w:themeColor="text1"/>
                <w:sz w:val="24"/>
                <w:szCs w:val="24"/>
              </w:rPr>
              <w:t>publicada</w:t>
            </w:r>
            <w:proofErr w:type="spellEnd"/>
          </w:p>
        </w:tc>
        <w:tc>
          <w:tcPr>
            <w:tcW w:w="0" w:type="auto"/>
          </w:tcPr>
          <w:p w14:paraId="38207481"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Informes CUT 2024 y 2025 con denuncias y actuaciones</w:t>
            </w:r>
          </w:p>
        </w:tc>
        <w:tc>
          <w:tcPr>
            <w:tcW w:w="0" w:type="auto"/>
          </w:tcPr>
          <w:p w14:paraId="502252ED" w14:textId="77777777" w:rsidR="00A31FB8" w:rsidRPr="00F74CBC" w:rsidRDefault="000C42FC">
            <w:pPr>
              <w:spacing w:after="0" w:line="252" w:lineRule="auto"/>
              <w:rPr>
                <w:rFonts w:ascii="Times New Roman" w:hAnsi="Times New Roman" w:cs="Times New Roman"/>
                <w:color w:val="000000" w:themeColor="text1"/>
                <w:sz w:val="24"/>
                <w:szCs w:val="24"/>
              </w:rPr>
            </w:pPr>
            <w:proofErr w:type="spellStart"/>
            <w:r w:rsidRPr="00F74CBC">
              <w:rPr>
                <w:rFonts w:ascii="Times New Roman" w:hAnsi="Times New Roman" w:cs="Times New Roman"/>
                <w:color w:val="000000" w:themeColor="text1"/>
                <w:sz w:val="24"/>
                <w:szCs w:val="24"/>
              </w:rPr>
              <w:t>Evidencia</w:t>
            </w:r>
            <w:proofErr w:type="spellEnd"/>
            <w:r w:rsidRPr="00F74CBC">
              <w:rPr>
                <w:rFonts w:ascii="Times New Roman" w:hAnsi="Times New Roman" w:cs="Times New Roman"/>
                <w:color w:val="000000" w:themeColor="text1"/>
                <w:sz w:val="24"/>
                <w:szCs w:val="24"/>
              </w:rPr>
              <w:t xml:space="preserve"> </w:t>
            </w:r>
            <w:proofErr w:type="spellStart"/>
            <w:r w:rsidRPr="00F74CBC">
              <w:rPr>
                <w:rFonts w:ascii="Times New Roman" w:hAnsi="Times New Roman" w:cs="Times New Roman"/>
                <w:color w:val="000000" w:themeColor="text1"/>
                <w:sz w:val="24"/>
                <w:szCs w:val="24"/>
              </w:rPr>
              <w:t>agregada</w:t>
            </w:r>
            <w:proofErr w:type="spellEnd"/>
            <w:r w:rsidRPr="00F74CBC">
              <w:rPr>
                <w:rFonts w:ascii="Times New Roman" w:hAnsi="Times New Roman" w:cs="Times New Roman"/>
                <w:color w:val="000000" w:themeColor="text1"/>
                <w:sz w:val="24"/>
                <w:szCs w:val="24"/>
              </w:rPr>
              <w:t xml:space="preserve"> de </w:t>
            </w:r>
            <w:proofErr w:type="spellStart"/>
            <w:r w:rsidRPr="00F74CBC">
              <w:rPr>
                <w:rFonts w:ascii="Times New Roman" w:hAnsi="Times New Roman" w:cs="Times New Roman"/>
                <w:color w:val="000000" w:themeColor="text1"/>
                <w:sz w:val="24"/>
                <w:szCs w:val="24"/>
              </w:rPr>
              <w:t>actividad</w:t>
            </w:r>
            <w:proofErr w:type="spellEnd"/>
            <w:r w:rsidRPr="00F74CBC">
              <w:rPr>
                <w:rFonts w:ascii="Times New Roman" w:hAnsi="Times New Roman" w:cs="Times New Roman"/>
                <w:color w:val="000000" w:themeColor="text1"/>
                <w:sz w:val="24"/>
                <w:szCs w:val="24"/>
              </w:rPr>
              <w:t>; no demuestra eficacia específica contra soborno</w:t>
            </w:r>
          </w:p>
        </w:tc>
      </w:tr>
    </w:tbl>
    <w:p w14:paraId="1AF59DE0" w14:textId="77777777" w:rsidR="00A31FB8" w:rsidRPr="00F74CBC" w:rsidRDefault="00A31FB8">
      <w:pPr>
        <w:spacing w:after="40" w:line="240" w:lineRule="auto"/>
        <w:rPr>
          <w:rFonts w:ascii="Times New Roman" w:hAnsi="Times New Roman" w:cs="Times New Roman"/>
          <w:color w:val="000000" w:themeColor="text1"/>
          <w:sz w:val="24"/>
          <w:szCs w:val="24"/>
        </w:rPr>
      </w:pPr>
    </w:p>
    <w:p w14:paraId="5BB669B9"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pt-BR"/>
        </w:rPr>
        <w:t xml:space="preserve">Fuentes </w:t>
      </w:r>
      <w:proofErr w:type="spellStart"/>
      <w:r w:rsidRPr="00F74CBC">
        <w:rPr>
          <w:rFonts w:ascii="Times New Roman" w:hAnsi="Times New Roman" w:cs="Times New Roman"/>
          <w:color w:val="000000" w:themeColor="text1"/>
          <w:sz w:val="24"/>
          <w:szCs w:val="24"/>
          <w:lang w:val="pt-BR"/>
        </w:rPr>
        <w:t>del</w:t>
      </w:r>
      <w:proofErr w:type="spellEnd"/>
      <w:r w:rsidRPr="00F74CBC">
        <w:rPr>
          <w:rFonts w:ascii="Times New Roman" w:hAnsi="Times New Roman" w:cs="Times New Roman"/>
          <w:color w:val="000000" w:themeColor="text1"/>
          <w:sz w:val="24"/>
          <w:szCs w:val="24"/>
          <w:lang w:val="pt-BR"/>
        </w:rPr>
        <w:t xml:space="preserve"> contraste: </w:t>
      </w:r>
      <w:hyperlink w:anchor="S01">
        <w:r w:rsidRPr="00F74CBC">
          <w:rPr>
            <w:rFonts w:ascii="Times New Roman" w:hAnsi="Times New Roman" w:cs="Times New Roman"/>
            <w:color w:val="000000" w:themeColor="text1"/>
            <w:sz w:val="24"/>
            <w:szCs w:val="24"/>
            <w:u w:val="single"/>
            <w:lang w:val="pt-BR"/>
          </w:rPr>
          <w:t>S01</w:t>
        </w:r>
      </w:hyperlink>
      <w:r w:rsidRPr="00F74CBC">
        <w:rPr>
          <w:rFonts w:ascii="Times New Roman" w:hAnsi="Times New Roman" w:cs="Times New Roman"/>
          <w:color w:val="000000" w:themeColor="text1"/>
          <w:sz w:val="24"/>
          <w:szCs w:val="24"/>
          <w:lang w:val="pt-BR"/>
        </w:rPr>
        <w:t>–</w:t>
      </w:r>
      <w:hyperlink w:anchor="S11">
        <w:r w:rsidRPr="00F74CBC">
          <w:rPr>
            <w:rFonts w:ascii="Times New Roman" w:hAnsi="Times New Roman" w:cs="Times New Roman"/>
            <w:color w:val="000000" w:themeColor="text1"/>
            <w:sz w:val="24"/>
            <w:szCs w:val="24"/>
            <w:u w:val="single"/>
            <w:lang w:val="pt-BR"/>
          </w:rPr>
          <w:t>S11</w:t>
        </w:r>
      </w:hyperlink>
      <w:r w:rsidRPr="00F74CBC">
        <w:rPr>
          <w:rFonts w:ascii="Times New Roman" w:hAnsi="Times New Roman" w:cs="Times New Roman"/>
          <w:color w:val="000000" w:themeColor="text1"/>
          <w:sz w:val="24"/>
          <w:szCs w:val="24"/>
          <w:lang w:val="pt-BR"/>
        </w:rPr>
        <w:t xml:space="preserve">, </w:t>
      </w:r>
      <w:hyperlink w:anchor="S17">
        <w:r w:rsidRPr="00F74CBC">
          <w:rPr>
            <w:rFonts w:ascii="Times New Roman" w:hAnsi="Times New Roman" w:cs="Times New Roman"/>
            <w:color w:val="000000" w:themeColor="text1"/>
            <w:sz w:val="24"/>
            <w:szCs w:val="24"/>
            <w:u w:val="single"/>
            <w:lang w:val="pt-BR"/>
          </w:rPr>
          <w:t>S17</w:t>
        </w:r>
      </w:hyperlink>
      <w:r w:rsidRPr="00F74CBC">
        <w:rPr>
          <w:rFonts w:ascii="Times New Roman" w:hAnsi="Times New Roman" w:cs="Times New Roman"/>
          <w:color w:val="000000" w:themeColor="text1"/>
          <w:sz w:val="24"/>
          <w:szCs w:val="24"/>
          <w:lang w:val="pt-BR"/>
        </w:rPr>
        <w:t xml:space="preserve">, </w:t>
      </w:r>
      <w:hyperlink w:anchor="S20">
        <w:r w:rsidRPr="00F74CBC">
          <w:rPr>
            <w:rFonts w:ascii="Times New Roman" w:hAnsi="Times New Roman" w:cs="Times New Roman"/>
            <w:color w:val="000000" w:themeColor="text1"/>
            <w:sz w:val="24"/>
            <w:szCs w:val="24"/>
            <w:u w:val="single"/>
            <w:lang w:val="pt-BR"/>
          </w:rPr>
          <w:t>S20</w:t>
        </w:r>
      </w:hyperlink>
      <w:r w:rsidRPr="00F74CBC">
        <w:rPr>
          <w:rFonts w:ascii="Times New Roman" w:hAnsi="Times New Roman" w:cs="Times New Roman"/>
          <w:color w:val="000000" w:themeColor="text1"/>
          <w:sz w:val="24"/>
          <w:szCs w:val="24"/>
          <w:lang w:val="pt-BR"/>
        </w:rPr>
        <w:t xml:space="preserve"> y </w:t>
      </w:r>
      <w:hyperlink w:anchor="S21">
        <w:r w:rsidRPr="00F74CBC">
          <w:rPr>
            <w:rFonts w:ascii="Times New Roman" w:hAnsi="Times New Roman" w:cs="Times New Roman"/>
            <w:color w:val="000000" w:themeColor="text1"/>
            <w:sz w:val="24"/>
            <w:szCs w:val="24"/>
            <w:u w:val="single"/>
            <w:lang w:val="pt-BR"/>
          </w:rPr>
          <w:t>S21</w:t>
        </w:r>
      </w:hyperlink>
      <w:r w:rsidRPr="00F74CBC">
        <w:rPr>
          <w:rFonts w:ascii="Times New Roman" w:hAnsi="Times New Roman" w:cs="Times New Roman"/>
          <w:color w:val="000000" w:themeColor="text1"/>
          <w:sz w:val="24"/>
          <w:szCs w:val="24"/>
          <w:lang w:val="pt-BR"/>
        </w:rPr>
        <w:t xml:space="preserve">. </w:t>
      </w:r>
      <w:r w:rsidRPr="00F74CBC">
        <w:rPr>
          <w:rFonts w:ascii="Times New Roman" w:hAnsi="Times New Roman" w:cs="Times New Roman"/>
          <w:color w:val="000000" w:themeColor="text1"/>
          <w:sz w:val="24"/>
          <w:szCs w:val="24"/>
          <w:lang w:val="es-MX"/>
        </w:rPr>
        <w:t xml:space="preserve">Las diferencias de datos deben permanecer visibles hasta que la institución las aclare. La accesibilidad informativa puede </w:t>
      </w:r>
      <w:proofErr w:type="gramStart"/>
      <w:r w:rsidRPr="00F74CBC">
        <w:rPr>
          <w:rFonts w:ascii="Times New Roman" w:hAnsi="Times New Roman" w:cs="Times New Roman"/>
          <w:color w:val="000000" w:themeColor="text1"/>
          <w:sz w:val="24"/>
          <w:szCs w:val="24"/>
          <w:lang w:val="es-MX"/>
        </w:rPr>
        <w:t>mejorarse</w:t>
      </w:r>
      <w:proofErr w:type="gramEnd"/>
      <w:r w:rsidRPr="00F74CBC">
        <w:rPr>
          <w:rFonts w:ascii="Times New Roman" w:hAnsi="Times New Roman" w:cs="Times New Roman"/>
          <w:color w:val="000000" w:themeColor="text1"/>
          <w:sz w:val="24"/>
          <w:szCs w:val="24"/>
          <w:lang w:val="es-MX"/>
        </w:rPr>
        <w:t xml:space="preserve"> aunque el servicio sí atienda adecuadamente en persona.</w:t>
      </w:r>
    </w:p>
    <w:p w14:paraId="0002C5C3"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11.3 Dificultades técnicas y experiencia de búsqueda</w:t>
      </w:r>
    </w:p>
    <w:p w14:paraId="05697E5E"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Algunas páginas dinámicas de Fiscalía no entregaron contenido legible en la herramienta inicial de consulta; su contenido sí pudo leerse mediante navegación ordinaria. El informe CUT 2024 excedió el límite de tamaño de una herramienta, pero fue descargable desde el sitio institucional. Los textos legales estatales se verificaron mediante el catálogo del Congreso y descarga de los documentos enlazados. Estas incidencias se atribuyen al método de consulta; no se presentan como caídas del portal para todo públ</w:t>
      </w:r>
      <w:r w:rsidRPr="00F74CBC">
        <w:rPr>
          <w:rFonts w:ascii="Times New Roman" w:hAnsi="Times New Roman" w:cs="Times New Roman"/>
          <w:color w:val="000000" w:themeColor="text1"/>
          <w:sz w:val="24"/>
          <w:szCs w:val="24"/>
          <w:lang w:val="es-MX"/>
        </w:rPr>
        <w:t>ico.</w:t>
      </w:r>
    </w:p>
    <w:p w14:paraId="3B219C4A"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Desde la perspectiva de quien busca ayuda, la necesidad de relacionar varios reglamentos y directorios puede aumentar el esfuerzo de comprensión. Esa es una inferencia razonable sobre la estructura de la información, no un resultado de pruebas de usabilidad con estudiantes. Para comprobarla se propone evaluar tareas concretas con participantes: localizar a dónde acudir, explicar el plazo de revisión y distinguir confidencialidad de anonimato, registrando errores y tiempo sin recopilar casos sensibles.</w:t>
      </w:r>
    </w:p>
    <w:p w14:paraId="137596C7"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11.4 Qué falta para evaluar eficacia</w:t>
      </w:r>
    </w:p>
    <w:p w14:paraId="21260D23"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La eficacia requiere evidencia sobre recepción, respuesta, protección, resolución y experiencia de las personas. El número de denuncias no indica por sí solo más violencia, mejor atención o impunidad: puede variar por confianza, difusión, cambios de registro y otros factores. Tampoco un desistimiento demuestra automáticamente una solución satisfactoria o presión para abandonar.</w:t>
      </w:r>
    </w:p>
    <w:p w14:paraId="4BD2BE12"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Para una evaluación posterior convendría solicitar datos agregados sobre asuntos por ventajas académicas indebidas, tiempos de acuse, canalizaciones, medidas solicitadas y otorgadas, determinaciones y medios de defensa. También deberían conocerse definiciones de cada indicador y periodo. Los resultados tendrían que desagregarse sin identificar a personas ni permitir su </w:t>
      </w:r>
      <w:proofErr w:type="spellStart"/>
      <w:r w:rsidRPr="00F74CBC">
        <w:rPr>
          <w:rFonts w:ascii="Times New Roman" w:hAnsi="Times New Roman" w:cs="Times New Roman"/>
          <w:color w:val="000000" w:themeColor="text1"/>
          <w:sz w:val="24"/>
          <w:szCs w:val="24"/>
          <w:lang w:val="es-MX"/>
        </w:rPr>
        <w:t>reidentificación</w:t>
      </w:r>
      <w:proofErr w:type="spellEnd"/>
      <w:r w:rsidRPr="00F74CBC">
        <w:rPr>
          <w:rFonts w:ascii="Times New Roman" w:hAnsi="Times New Roman" w:cs="Times New Roman"/>
          <w:color w:val="000000" w:themeColor="text1"/>
          <w:sz w:val="24"/>
          <w:szCs w:val="24"/>
          <w:lang w:val="es-MX"/>
        </w:rPr>
        <w:t xml:space="preserve"> en grupos pequeños.</w:t>
      </w:r>
    </w:p>
    <w:p w14:paraId="6ED2A7E1"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11.5 Mejoras propuestas</w:t>
      </w:r>
    </w:p>
    <w:p w14:paraId="227F5FCC"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Se propone publicar una ruta específica de soborno académico que explique ejemplos, autoridad receptora, relación con Primer Contacto, revisión de calificaciones y vía penal. Debería ofrecer un </w:t>
      </w:r>
      <w:r w:rsidRPr="00F74CBC">
        <w:rPr>
          <w:rFonts w:ascii="Times New Roman" w:hAnsi="Times New Roman" w:cs="Times New Roman"/>
          <w:color w:val="000000" w:themeColor="text1"/>
          <w:sz w:val="24"/>
          <w:szCs w:val="24"/>
          <w:lang w:val="es-MX"/>
        </w:rPr>
        <w:lastRenderedPageBreak/>
        <w:t>directorio único con fecha de actualización, canal electrónico habilitado, requisitos comprensibles y aclaración de qué constancia acredita la recepción.</w:t>
      </w:r>
    </w:p>
    <w:p w14:paraId="0B8ACEBC"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Asimismo, sería útil explicar en lenguaje sencillo los límites de confidencialidad, las medidas frente a represalias y cómo reportar su incumplimiento. Los informes podrían diferenciar denuncias, personas, manifestaciones, investigaciones y resoluciones, explicando discrepancias. Estas propuestas se desprenden de las dificultades documentadas; no afirman que todas esas prácticas estén ausentes en la atención presencial.</w:t>
      </w:r>
    </w:p>
    <w:p w14:paraId="6729A98F" w14:textId="77777777" w:rsidR="00A31FB8" w:rsidRPr="00F74CBC" w:rsidRDefault="000C42FC">
      <w:pPr>
        <w:pStyle w:val="Ttulo1"/>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12 </w:t>
      </w:r>
      <w:proofErr w:type="gramStart"/>
      <w:r w:rsidRPr="00F74CBC">
        <w:rPr>
          <w:rFonts w:ascii="Times New Roman" w:hAnsi="Times New Roman" w:cs="Times New Roman"/>
          <w:color w:val="000000" w:themeColor="text1"/>
          <w:sz w:val="24"/>
          <w:szCs w:val="24"/>
          <w:lang w:val="es-MX"/>
        </w:rPr>
        <w:t>Aplicación</w:t>
      </w:r>
      <w:proofErr w:type="gramEnd"/>
      <w:r w:rsidRPr="00F74CBC">
        <w:rPr>
          <w:rFonts w:ascii="Times New Roman" w:hAnsi="Times New Roman" w:cs="Times New Roman"/>
          <w:color w:val="000000" w:themeColor="text1"/>
          <w:sz w:val="24"/>
          <w:szCs w:val="24"/>
          <w:lang w:val="es-MX"/>
        </w:rPr>
        <w:t xml:space="preserve"> al prototipo y al trabajo académico</w:t>
      </w:r>
    </w:p>
    <w:p w14:paraId="445AB3AF"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12.1 Base documental para recuperación de información</w:t>
      </w:r>
    </w:p>
    <w:p w14:paraId="66AC0728"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El módulo de soborno debe consultar documentos con identificación de fuente, institución, jurisdicción, fecha, artículos relevantes y estado de verificación. La base RAG puede reunir archivos de los temas del equipo, pero conviene conservar unidades documentales diferenciadas. Unir textos en un solo archivo sin procedencia dificulta saber qué norma respalda una respuesta y qué dato puede haber cambiado.</w:t>
      </w:r>
    </w:p>
    <w:p w14:paraId="709B676A"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Cada fragmento debería conservar tema, nivel de atención, supuesto, autoridad, función, contacto, restricciones y enlace. Los directorios requieren actualización más frecuente que las explicaciones conceptuales. Ante datos contradictorios, el modelo debe informar la diferencia o usar el cargo y el canal institucional disponible, sin inventar una persona responsable ni completar teléfonos mediante inferencia.</w:t>
      </w:r>
    </w:p>
    <w:p w14:paraId="14DB3E34"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12.2 Estados y reglas del autómata</w:t>
      </w:r>
    </w:p>
    <w:p w14:paraId="39EE0B8F"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Se proponen estados de recepción, aclaración de hechos, valoración de urgencia, orientación, selección informada de vías y seguimiento. La memoria debe conservar hechos aportados, dudas y acciones realizadas, sin elevar un relato </w:t>
      </w:r>
      <w:proofErr w:type="spellStart"/>
      <w:r w:rsidRPr="00F74CBC">
        <w:rPr>
          <w:rFonts w:ascii="Times New Roman" w:hAnsi="Times New Roman" w:cs="Times New Roman"/>
          <w:color w:val="000000" w:themeColor="text1"/>
          <w:sz w:val="24"/>
          <w:szCs w:val="24"/>
          <w:lang w:val="es-MX"/>
        </w:rPr>
        <w:t>a</w:t>
      </w:r>
      <w:proofErr w:type="spellEnd"/>
      <w:r w:rsidRPr="00F74CBC">
        <w:rPr>
          <w:rFonts w:ascii="Times New Roman" w:hAnsi="Times New Roman" w:cs="Times New Roman"/>
          <w:color w:val="000000" w:themeColor="text1"/>
          <w:sz w:val="24"/>
          <w:szCs w:val="24"/>
          <w:lang w:val="es-MX"/>
        </w:rPr>
        <w:t xml:space="preserve"> hecho probado por repetición. Un agradecimiento posterior no elimina una evaluación previa; un nuevo dato de amenaza sí puede modificar la prioridad.</w:t>
      </w:r>
    </w:p>
    <w:p w14:paraId="7C3E4F67"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La clasificación preliminar debe permitir múltiples rutas. Si la arquitectura compartida exige una coordenada principal, ésta debe acompañarse de rutas adicionales y justificación. De otro modo, asignar UDG podría ocultar la valoración legal o asignar legal podría omitir el plazo de revisión académica. El eje de gravedad no debe utilizarse como una escala de delitos o sanciones.</w:t>
      </w:r>
    </w:p>
    <w:p w14:paraId="7D79162E"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12.3 Requisitos de respuesta</w:t>
      </w:r>
    </w:p>
    <w:p w14:paraId="2954D4FA"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Una respuesta útil debe explicar qué dato se reconoce, qué información falta, por qué una instancia es pertinente, dónde se encuentra y qué acción puede realizar el estudiante. Debe citar la fuente y distinguir una sugerencia del proyecto de una regla oficial. Si no existe información verificable sobre un contacto o plazo, debe indicarlo y ofrecer un canal de consulta.</w:t>
      </w:r>
    </w:p>
    <w:p w14:paraId="367B54CF"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El sistema no debe formular acusaciones nominales, garantizar anonimato, asegurar sanciones, diagnosticar daño psicológico ni presentar el registro interno como denuncia. Para las pruebas se deben usar casos ficticios y evitar datos de profesores o estudiantes reales. Los expedientes reales no </w:t>
      </w:r>
      <w:r w:rsidRPr="00F74CBC">
        <w:rPr>
          <w:rFonts w:ascii="Times New Roman" w:hAnsi="Times New Roman" w:cs="Times New Roman"/>
          <w:color w:val="000000" w:themeColor="text1"/>
          <w:sz w:val="24"/>
          <w:szCs w:val="24"/>
          <w:lang w:val="es-MX"/>
        </w:rPr>
        <w:lastRenderedPageBreak/>
        <w:t>deben incorporarse sin control a la base documental compartida ni enviarse automáticamente a servicios externos de inteligencia artificial.</w:t>
      </w:r>
    </w:p>
    <w:p w14:paraId="347168CF"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12.4 Pruebas funcionales y criterios de aceptación</w:t>
      </w:r>
    </w:p>
    <w:tbl>
      <w:tblPr>
        <w:tblStyle w:val="Tablaconcuadrcula"/>
        <w:tblW w:w="0" w:type="auto"/>
        <w:tblLook w:val="04A0" w:firstRow="1" w:lastRow="0" w:firstColumn="1" w:lastColumn="0" w:noHBand="0" w:noVBand="1"/>
      </w:tblPr>
      <w:tblGrid>
        <w:gridCol w:w="4012"/>
        <w:gridCol w:w="5996"/>
      </w:tblGrid>
      <w:tr w:rsidR="00A31FB8" w:rsidRPr="00F74CBC" w14:paraId="08F61A90" w14:textId="77777777" w:rsidTr="00F74CBC">
        <w:tc>
          <w:tcPr>
            <w:tcW w:w="0" w:type="auto"/>
          </w:tcPr>
          <w:p w14:paraId="7DCE9E58"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b/>
                <w:color w:val="000000" w:themeColor="text1"/>
                <w:sz w:val="24"/>
                <w:szCs w:val="24"/>
              </w:rPr>
              <w:t xml:space="preserve">Entrada de </w:t>
            </w:r>
            <w:proofErr w:type="spellStart"/>
            <w:r w:rsidRPr="00F74CBC">
              <w:rPr>
                <w:rFonts w:ascii="Times New Roman" w:hAnsi="Times New Roman" w:cs="Times New Roman"/>
                <w:b/>
                <w:color w:val="000000" w:themeColor="text1"/>
                <w:sz w:val="24"/>
                <w:szCs w:val="24"/>
              </w:rPr>
              <w:t>prueba</w:t>
            </w:r>
            <w:proofErr w:type="spellEnd"/>
          </w:p>
        </w:tc>
        <w:tc>
          <w:tcPr>
            <w:tcW w:w="0" w:type="auto"/>
          </w:tcPr>
          <w:p w14:paraId="7A9D8B4E"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b/>
                <w:color w:val="000000" w:themeColor="text1"/>
                <w:sz w:val="24"/>
                <w:szCs w:val="24"/>
              </w:rPr>
              <w:t>Resultado esperado</w:t>
            </w:r>
          </w:p>
        </w:tc>
      </w:tr>
      <w:tr w:rsidR="00A31FB8" w:rsidRPr="00F74CBC" w14:paraId="51ACAA69" w14:textId="77777777" w:rsidTr="00F74CBC">
        <w:tc>
          <w:tcPr>
            <w:tcW w:w="0" w:type="auto"/>
          </w:tcPr>
          <w:p w14:paraId="6465B717"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Cooperación voluntaria sin efecto académico</w:t>
            </w:r>
          </w:p>
        </w:tc>
        <w:tc>
          <w:tcPr>
            <w:tcW w:w="0" w:type="auto"/>
          </w:tcPr>
          <w:p w14:paraId="2D2DD0B6"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Preguntas de aclaración; no clasificación automática de soborno</w:t>
            </w:r>
          </w:p>
        </w:tc>
      </w:tr>
      <w:tr w:rsidR="00A31FB8" w:rsidRPr="00F74CBC" w14:paraId="66E3E461" w14:textId="77777777" w:rsidTr="00F74CBC">
        <w:tc>
          <w:tcPr>
            <w:tcW w:w="0" w:type="auto"/>
          </w:tcPr>
          <w:p w14:paraId="6812653E"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Dinero a cambio de cien</w:t>
            </w:r>
          </w:p>
        </w:tc>
        <w:tc>
          <w:tcPr>
            <w:tcW w:w="0" w:type="auto"/>
          </w:tcPr>
          <w:p w14:paraId="24C2F954"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Posible intercambio indebido; vías UDG y valoración legal justificadas</w:t>
            </w:r>
          </w:p>
        </w:tc>
      </w:tr>
      <w:tr w:rsidR="00A31FB8" w:rsidRPr="00F74CBC" w14:paraId="06F0BBBF" w14:textId="77777777" w:rsidTr="00F74CBC">
        <w:tc>
          <w:tcPr>
            <w:tcW w:w="0" w:type="auto"/>
          </w:tcPr>
          <w:p w14:paraId="4FBD4769"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color w:val="000000" w:themeColor="text1"/>
                <w:sz w:val="24"/>
                <w:szCs w:val="24"/>
              </w:rPr>
              <w:t xml:space="preserve">Regalo </w:t>
            </w:r>
            <w:proofErr w:type="spellStart"/>
            <w:r w:rsidRPr="00F74CBC">
              <w:rPr>
                <w:rFonts w:ascii="Times New Roman" w:hAnsi="Times New Roman" w:cs="Times New Roman"/>
                <w:color w:val="000000" w:themeColor="text1"/>
                <w:sz w:val="24"/>
                <w:szCs w:val="24"/>
              </w:rPr>
              <w:t>ofrecido</w:t>
            </w:r>
            <w:proofErr w:type="spellEnd"/>
            <w:r w:rsidRPr="00F74CBC">
              <w:rPr>
                <w:rFonts w:ascii="Times New Roman" w:hAnsi="Times New Roman" w:cs="Times New Roman"/>
                <w:color w:val="000000" w:themeColor="text1"/>
                <w:sz w:val="24"/>
                <w:szCs w:val="24"/>
              </w:rPr>
              <w:t xml:space="preserve"> y </w:t>
            </w:r>
            <w:proofErr w:type="spellStart"/>
            <w:r w:rsidRPr="00F74CBC">
              <w:rPr>
                <w:rFonts w:ascii="Times New Roman" w:hAnsi="Times New Roman" w:cs="Times New Roman"/>
                <w:color w:val="000000" w:themeColor="text1"/>
                <w:sz w:val="24"/>
                <w:szCs w:val="24"/>
              </w:rPr>
              <w:t>rechazado</w:t>
            </w:r>
            <w:proofErr w:type="spellEnd"/>
          </w:p>
        </w:tc>
        <w:tc>
          <w:tcPr>
            <w:tcW w:w="0" w:type="auto"/>
          </w:tcPr>
          <w:p w14:paraId="2B696FBF"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Distinguir ofrecimiento de recepción; no acusar al receptor de aceptar</w:t>
            </w:r>
          </w:p>
        </w:tc>
      </w:tr>
      <w:tr w:rsidR="00A31FB8" w:rsidRPr="00F74CBC" w14:paraId="4EA79C20" w14:textId="77777777" w:rsidTr="00F74CBC">
        <w:tc>
          <w:tcPr>
            <w:tcW w:w="0" w:type="auto"/>
          </w:tcPr>
          <w:p w14:paraId="5C5F3B31" w14:textId="77777777" w:rsidR="00A31FB8" w:rsidRPr="00F74CBC" w:rsidRDefault="000C42FC">
            <w:pPr>
              <w:spacing w:after="0" w:line="252" w:lineRule="auto"/>
              <w:rPr>
                <w:rFonts w:ascii="Times New Roman" w:hAnsi="Times New Roman" w:cs="Times New Roman"/>
                <w:color w:val="000000" w:themeColor="text1"/>
                <w:sz w:val="24"/>
                <w:szCs w:val="24"/>
              </w:rPr>
            </w:pPr>
            <w:proofErr w:type="spellStart"/>
            <w:r w:rsidRPr="00F74CBC">
              <w:rPr>
                <w:rFonts w:ascii="Times New Roman" w:hAnsi="Times New Roman" w:cs="Times New Roman"/>
                <w:color w:val="000000" w:themeColor="text1"/>
                <w:sz w:val="24"/>
                <w:szCs w:val="24"/>
              </w:rPr>
              <w:t>Cercanía</w:t>
            </w:r>
            <w:proofErr w:type="spellEnd"/>
            <w:r w:rsidRPr="00F74CBC">
              <w:rPr>
                <w:rFonts w:ascii="Times New Roman" w:hAnsi="Times New Roman" w:cs="Times New Roman"/>
                <w:color w:val="000000" w:themeColor="text1"/>
                <w:sz w:val="24"/>
                <w:szCs w:val="24"/>
              </w:rPr>
              <w:t xml:space="preserve"> personal sin </w:t>
            </w:r>
            <w:proofErr w:type="spellStart"/>
            <w:r w:rsidRPr="00F74CBC">
              <w:rPr>
                <w:rFonts w:ascii="Times New Roman" w:hAnsi="Times New Roman" w:cs="Times New Roman"/>
                <w:color w:val="000000" w:themeColor="text1"/>
                <w:sz w:val="24"/>
                <w:szCs w:val="24"/>
              </w:rPr>
              <w:t>contraprestación</w:t>
            </w:r>
            <w:proofErr w:type="spellEnd"/>
          </w:p>
        </w:tc>
        <w:tc>
          <w:tcPr>
            <w:tcW w:w="0" w:type="auto"/>
          </w:tcPr>
          <w:p w14:paraId="4C6EB877"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color w:val="000000" w:themeColor="text1"/>
                <w:sz w:val="24"/>
                <w:szCs w:val="24"/>
              </w:rPr>
              <w:t>Mantener hipótesis de trato preferencial; no inventar pago</w:t>
            </w:r>
          </w:p>
        </w:tc>
      </w:tr>
      <w:tr w:rsidR="00A31FB8" w:rsidRPr="00F74CBC" w14:paraId="0B92F7EF" w14:textId="77777777" w:rsidTr="00F74CBC">
        <w:tc>
          <w:tcPr>
            <w:tcW w:w="0" w:type="auto"/>
          </w:tcPr>
          <w:p w14:paraId="0F1D4AE0"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color w:val="000000" w:themeColor="text1"/>
                <w:sz w:val="24"/>
                <w:szCs w:val="24"/>
              </w:rPr>
              <w:t>Amenaza después de reportar</w:t>
            </w:r>
          </w:p>
        </w:tc>
        <w:tc>
          <w:tcPr>
            <w:tcW w:w="0" w:type="auto"/>
          </w:tcPr>
          <w:p w14:paraId="71CE1F48"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Aumentar prioridad de protección y conservar hechos anteriores</w:t>
            </w:r>
          </w:p>
        </w:tc>
      </w:tr>
      <w:tr w:rsidR="00A31FB8" w:rsidRPr="00F74CBC" w14:paraId="04552E4D" w14:textId="77777777" w:rsidTr="00F74CBC">
        <w:tc>
          <w:tcPr>
            <w:tcW w:w="0" w:type="auto"/>
          </w:tcPr>
          <w:p w14:paraId="203E3928" w14:textId="77777777" w:rsidR="00A31FB8" w:rsidRPr="00F74CBC" w:rsidRDefault="000C42FC">
            <w:pPr>
              <w:spacing w:after="0" w:line="252" w:lineRule="auto"/>
              <w:rPr>
                <w:rFonts w:ascii="Times New Roman" w:hAnsi="Times New Roman" w:cs="Times New Roman"/>
                <w:color w:val="000000" w:themeColor="text1"/>
                <w:sz w:val="24"/>
                <w:szCs w:val="24"/>
              </w:rPr>
            </w:pPr>
            <w:proofErr w:type="spellStart"/>
            <w:r w:rsidRPr="00F74CBC">
              <w:rPr>
                <w:rFonts w:ascii="Times New Roman" w:hAnsi="Times New Roman" w:cs="Times New Roman"/>
                <w:color w:val="000000" w:themeColor="text1"/>
                <w:sz w:val="24"/>
                <w:szCs w:val="24"/>
              </w:rPr>
              <w:t>Calificación</w:t>
            </w:r>
            <w:proofErr w:type="spellEnd"/>
            <w:r w:rsidRPr="00F74CBC">
              <w:rPr>
                <w:rFonts w:ascii="Times New Roman" w:hAnsi="Times New Roman" w:cs="Times New Roman"/>
                <w:color w:val="000000" w:themeColor="text1"/>
                <w:sz w:val="24"/>
                <w:szCs w:val="24"/>
              </w:rPr>
              <w:t xml:space="preserve"> </w:t>
            </w:r>
            <w:proofErr w:type="spellStart"/>
            <w:r w:rsidRPr="00F74CBC">
              <w:rPr>
                <w:rFonts w:ascii="Times New Roman" w:hAnsi="Times New Roman" w:cs="Times New Roman"/>
                <w:color w:val="000000" w:themeColor="text1"/>
                <w:sz w:val="24"/>
                <w:szCs w:val="24"/>
              </w:rPr>
              <w:t>recién</w:t>
            </w:r>
            <w:proofErr w:type="spellEnd"/>
            <w:r w:rsidRPr="00F74CBC">
              <w:rPr>
                <w:rFonts w:ascii="Times New Roman" w:hAnsi="Times New Roman" w:cs="Times New Roman"/>
                <w:color w:val="000000" w:themeColor="text1"/>
                <w:sz w:val="24"/>
                <w:szCs w:val="24"/>
              </w:rPr>
              <w:t xml:space="preserve"> </w:t>
            </w:r>
            <w:proofErr w:type="spellStart"/>
            <w:r w:rsidRPr="00F74CBC">
              <w:rPr>
                <w:rFonts w:ascii="Times New Roman" w:hAnsi="Times New Roman" w:cs="Times New Roman"/>
                <w:color w:val="000000" w:themeColor="text1"/>
                <w:sz w:val="24"/>
                <w:szCs w:val="24"/>
              </w:rPr>
              <w:t>publicada</w:t>
            </w:r>
            <w:proofErr w:type="spellEnd"/>
          </w:p>
        </w:tc>
        <w:tc>
          <w:tcPr>
            <w:tcW w:w="0" w:type="auto"/>
          </w:tcPr>
          <w:p w14:paraId="0E238941"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Informar regla de tres días hábiles y departamento competente</w:t>
            </w:r>
          </w:p>
        </w:tc>
      </w:tr>
      <w:tr w:rsidR="00A31FB8" w:rsidRPr="00F74CBC" w14:paraId="500DACF6" w14:textId="77777777" w:rsidTr="00F74CBC">
        <w:tc>
          <w:tcPr>
            <w:tcW w:w="0" w:type="auto"/>
          </w:tcPr>
          <w:p w14:paraId="52DDEF7A" w14:textId="77777777" w:rsidR="00A31FB8" w:rsidRPr="00F74CBC" w:rsidRDefault="000C42FC">
            <w:pPr>
              <w:spacing w:after="0" w:line="252" w:lineRule="auto"/>
              <w:rPr>
                <w:rFonts w:ascii="Times New Roman" w:hAnsi="Times New Roman" w:cs="Times New Roman"/>
                <w:color w:val="000000" w:themeColor="text1"/>
                <w:sz w:val="24"/>
                <w:szCs w:val="24"/>
              </w:rPr>
            </w:pPr>
            <w:proofErr w:type="spellStart"/>
            <w:r w:rsidRPr="00F74CBC">
              <w:rPr>
                <w:rFonts w:ascii="Times New Roman" w:hAnsi="Times New Roman" w:cs="Times New Roman"/>
                <w:color w:val="000000" w:themeColor="text1"/>
                <w:sz w:val="24"/>
                <w:szCs w:val="24"/>
              </w:rPr>
              <w:t>Comentario</w:t>
            </w:r>
            <w:proofErr w:type="spellEnd"/>
            <w:r w:rsidRPr="00F74CBC">
              <w:rPr>
                <w:rFonts w:ascii="Times New Roman" w:hAnsi="Times New Roman" w:cs="Times New Roman"/>
                <w:color w:val="000000" w:themeColor="text1"/>
                <w:sz w:val="24"/>
                <w:szCs w:val="24"/>
              </w:rPr>
              <w:t xml:space="preserve"> de </w:t>
            </w:r>
            <w:proofErr w:type="spellStart"/>
            <w:r w:rsidRPr="00F74CBC">
              <w:rPr>
                <w:rFonts w:ascii="Times New Roman" w:hAnsi="Times New Roman" w:cs="Times New Roman"/>
                <w:color w:val="000000" w:themeColor="text1"/>
                <w:sz w:val="24"/>
                <w:szCs w:val="24"/>
              </w:rPr>
              <w:t>varias</w:t>
            </w:r>
            <w:proofErr w:type="spellEnd"/>
            <w:r w:rsidRPr="00F74CBC">
              <w:rPr>
                <w:rFonts w:ascii="Times New Roman" w:hAnsi="Times New Roman" w:cs="Times New Roman"/>
                <w:color w:val="000000" w:themeColor="text1"/>
                <w:sz w:val="24"/>
                <w:szCs w:val="24"/>
              </w:rPr>
              <w:t xml:space="preserve"> </w:t>
            </w:r>
            <w:proofErr w:type="spellStart"/>
            <w:r w:rsidRPr="00F74CBC">
              <w:rPr>
                <w:rFonts w:ascii="Times New Roman" w:hAnsi="Times New Roman" w:cs="Times New Roman"/>
                <w:color w:val="000000" w:themeColor="text1"/>
                <w:sz w:val="24"/>
                <w:szCs w:val="24"/>
              </w:rPr>
              <w:t>generaciones</w:t>
            </w:r>
            <w:proofErr w:type="spellEnd"/>
          </w:p>
        </w:tc>
        <w:tc>
          <w:tcPr>
            <w:tcW w:w="0" w:type="auto"/>
          </w:tcPr>
          <w:p w14:paraId="2738FB4E"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color w:val="000000" w:themeColor="text1"/>
                <w:sz w:val="24"/>
                <w:szCs w:val="24"/>
              </w:rPr>
              <w:t>Mantener carácter indirecto; no sumar menciones como casos probados</w:t>
            </w:r>
          </w:p>
        </w:tc>
      </w:tr>
      <w:tr w:rsidR="00A31FB8" w:rsidRPr="00F74CBC" w14:paraId="419CF06E" w14:textId="77777777" w:rsidTr="00F74CBC">
        <w:tc>
          <w:tcPr>
            <w:tcW w:w="0" w:type="auto"/>
          </w:tcPr>
          <w:p w14:paraId="37B13A1A"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color w:val="000000" w:themeColor="text1"/>
                <w:sz w:val="24"/>
                <w:szCs w:val="24"/>
              </w:rPr>
              <w:t>Directorios contradictorios</w:t>
            </w:r>
          </w:p>
        </w:tc>
        <w:tc>
          <w:tcPr>
            <w:tcW w:w="0" w:type="auto"/>
          </w:tcPr>
          <w:p w14:paraId="250EBE08"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Advertir discrepancia y mostrar fuente, sin resolverla por invención</w:t>
            </w:r>
          </w:p>
        </w:tc>
      </w:tr>
    </w:tbl>
    <w:p w14:paraId="3CC0764A" w14:textId="77777777" w:rsidR="00A31FB8" w:rsidRPr="00F74CBC" w:rsidRDefault="00A31FB8">
      <w:pPr>
        <w:spacing w:after="40" w:line="240" w:lineRule="auto"/>
        <w:rPr>
          <w:rFonts w:ascii="Times New Roman" w:hAnsi="Times New Roman" w:cs="Times New Roman"/>
          <w:color w:val="000000" w:themeColor="text1"/>
          <w:sz w:val="24"/>
          <w:szCs w:val="24"/>
          <w:lang w:val="es-MX"/>
        </w:rPr>
      </w:pPr>
    </w:p>
    <w:p w14:paraId="3E86D5EA"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La aceptación de una prueba requiere revisar contenido, fuente y alcance, además de la ejecución técnica. Un programa puede devolver una coordenada sin errores y aun orientar incorrectamente. La validación académica debe incluir que ninguna respuesta obligue a agotar la vía universitaria antes de una valoración penal, ni convierta la intención de denunciar en señal de máxima gravedad.</w:t>
      </w:r>
    </w:p>
    <w:p w14:paraId="55C95476"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12.5 Organización individual y compatibilidad del equipo</w:t>
      </w:r>
    </w:p>
    <w:p w14:paraId="27BA26A2"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Para el tema de soborno, el entregable individual puede incluir esta investigación, fichas de fuentes, reglas de orientación, casos ficticios y evidencia de pruebas. El equipo debe acordar campos comunes de entrada y salida, tratamiento de incertidumbre y forma de citar, para integrar después los temas. La responsabilidad de investigación individual puede coexistir con arquitectura y criterios compartidos.</w:t>
      </w:r>
    </w:p>
    <w:p w14:paraId="2B68E0AE"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El Scrum </w:t>
      </w:r>
      <w:proofErr w:type="gramStart"/>
      <w:r w:rsidRPr="00F74CBC">
        <w:rPr>
          <w:rFonts w:ascii="Times New Roman" w:hAnsi="Times New Roman" w:cs="Times New Roman"/>
          <w:color w:val="000000" w:themeColor="text1"/>
          <w:sz w:val="24"/>
          <w:szCs w:val="24"/>
          <w:lang w:val="es-MX"/>
        </w:rPr>
        <w:t>master</w:t>
      </w:r>
      <w:proofErr w:type="gramEnd"/>
      <w:r w:rsidRPr="00F74CBC">
        <w:rPr>
          <w:rFonts w:ascii="Times New Roman" w:hAnsi="Times New Roman" w:cs="Times New Roman"/>
          <w:color w:val="000000" w:themeColor="text1"/>
          <w:sz w:val="24"/>
          <w:szCs w:val="24"/>
          <w:lang w:val="es-MX"/>
        </w:rPr>
        <w:t xml:space="preserve"> puede revisar que cada módulo tenga fuentes, decisiones justificadas, funcionamiento demostrable y compatibilidad con el resto. Esta es una propuesta de gestión para el proyecto, no una afirmación sobre requisitos adicionales del profesor. La documentación debe permitir distinguir lo desarrollado, lo investigado y lo aún sujeto a validación institucional antes de un uso real.</w:t>
      </w:r>
    </w:p>
    <w:p w14:paraId="71804627" w14:textId="77777777" w:rsidR="00A31FB8" w:rsidRPr="00F74CBC" w:rsidRDefault="000C42FC">
      <w:pPr>
        <w:pStyle w:val="Ttulo1"/>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13 </w:t>
      </w:r>
      <w:proofErr w:type="gramStart"/>
      <w:r w:rsidRPr="00F74CBC">
        <w:rPr>
          <w:rFonts w:ascii="Times New Roman" w:hAnsi="Times New Roman" w:cs="Times New Roman"/>
          <w:color w:val="000000" w:themeColor="text1"/>
          <w:sz w:val="24"/>
          <w:szCs w:val="24"/>
          <w:lang w:val="es-MX"/>
        </w:rPr>
        <w:t>Conclusiones</w:t>
      </w:r>
      <w:proofErr w:type="gramEnd"/>
    </w:p>
    <w:p w14:paraId="6110494A"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El análisis del soborno académico requiere identificar el intercambio indebido y su relación con una decisión universitaria. Las aportaciones, regalos y relaciones personales no deben tratarse de manera indiferenciada. La normativa universitaria ofrece bases expresas para investigar ventajas académicas obtenidas u otorgadas mediante beneficios, mientras que la legislación administrativa y penal puede resultar pertinente según los hechos y la condición de las personas.</w:t>
      </w:r>
    </w:p>
    <w:p w14:paraId="48D8974A"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lastRenderedPageBreak/>
        <w:t>La orientación adecuada combina bienestar, continuidad académica, recepción de hechos y valoración jurídica. Una posible conducta delictiva puede examinarse fuera de la universidad desde el inicio; esa vía no sustituye la revisión de una calificación ni la protección dentro del campus. La urgencia, la relevancia y el respaldo documental deben permanecer separados para evitar decisiones automáticas excesivas o insuficientes.</w:t>
      </w:r>
    </w:p>
    <w:p w14:paraId="3830D1F1"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La normalización y el miedo a represalias, identificados por el autor, justifican explicar con claridad cómo pedir ayuda y qué puede esperarse de cada instancia. No permiten medir prevalencia ni atribuir responsabilidades concretas. El documento conserva esos antecedentes de manera anónima y diferencia los escenarios ficticios de las fuentes institucionales verificadas.</w:t>
      </w:r>
    </w:p>
    <w:p w14:paraId="43F2DF25"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La búsqueda permitió localizar recursos y procedimientos, así como diferencias entre directorios y límites de los indicadores públicos. La crítica sustentada se concentra en claridad, consistencia y trazabilidad de la información. La eficacia real de los servicios requiere evidencia adicional de atención y resultados. Para el prototipo, esto se traduce en respuestas con fuentes, límites explícitos y posibilidad de canalización simultánea, en lugar de una decisión única que pretenda resolver todo el caso.</w:t>
      </w:r>
    </w:p>
    <w:p w14:paraId="57676B0D" w14:textId="77777777" w:rsidR="00A31FB8" w:rsidRPr="00F74CBC" w:rsidRDefault="000C42FC">
      <w:pPr>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br w:type="page"/>
      </w:r>
    </w:p>
    <w:p w14:paraId="3582BF0B" w14:textId="77777777" w:rsidR="00A31FB8" w:rsidRPr="00F74CBC" w:rsidRDefault="000C42FC">
      <w:pPr>
        <w:pStyle w:val="Ttulo1"/>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lastRenderedPageBreak/>
        <w:t xml:space="preserve">14 </w:t>
      </w:r>
      <w:proofErr w:type="gramStart"/>
      <w:r w:rsidRPr="00F74CBC">
        <w:rPr>
          <w:rFonts w:ascii="Times New Roman" w:hAnsi="Times New Roman" w:cs="Times New Roman"/>
          <w:color w:val="000000" w:themeColor="text1"/>
          <w:sz w:val="24"/>
          <w:szCs w:val="24"/>
          <w:lang w:val="es-MX"/>
        </w:rPr>
        <w:t>Anexos</w:t>
      </w:r>
      <w:proofErr w:type="gramEnd"/>
      <w:r w:rsidRPr="00F74CBC">
        <w:rPr>
          <w:rFonts w:ascii="Times New Roman" w:hAnsi="Times New Roman" w:cs="Times New Roman"/>
          <w:color w:val="000000" w:themeColor="text1"/>
          <w:sz w:val="24"/>
          <w:szCs w:val="24"/>
          <w:lang w:val="es-MX"/>
        </w:rPr>
        <w:t xml:space="preserve"> para registro y consulta</w:t>
      </w:r>
    </w:p>
    <w:p w14:paraId="73E7E35B"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14.1 Ficha mínima de orientación</w:t>
      </w:r>
    </w:p>
    <w:p w14:paraId="220A1C83"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Esta ficha es una propuesta académica y no sustituye formatos oficiales. Debe usarse con información ficticia en la demostración del prototipo.</w:t>
      </w:r>
    </w:p>
    <w:p w14:paraId="78F48A34" w14:textId="77777777" w:rsidR="00A31FB8" w:rsidRPr="00F74CBC" w:rsidRDefault="000C42FC">
      <w:pPr>
        <w:spacing w:after="80"/>
        <w:ind w:left="259" w:hanging="259"/>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1. Identificador interno y fecha de orientación. No denominarlo folio institucional.</w:t>
      </w:r>
    </w:p>
    <w:p w14:paraId="5866EB12" w14:textId="77777777" w:rsidR="00A31FB8" w:rsidRPr="00F74CBC" w:rsidRDefault="000C42FC">
      <w:pPr>
        <w:spacing w:after="80"/>
        <w:ind w:left="259" w:hanging="259"/>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2. Tema y narración breve en palabras de la persona.</w:t>
      </w:r>
    </w:p>
    <w:p w14:paraId="7F54E6E1" w14:textId="77777777" w:rsidR="00A31FB8" w:rsidRPr="00F74CBC" w:rsidRDefault="000C42FC">
      <w:pPr>
        <w:spacing w:after="80"/>
        <w:ind w:left="259" w:hanging="259"/>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3. Procedencia del relato: experiencia directa, testimonio de tercero o comentario indirecto.</w:t>
      </w:r>
    </w:p>
    <w:p w14:paraId="772A41AB" w14:textId="77777777" w:rsidR="00A31FB8" w:rsidRPr="00F74CBC" w:rsidRDefault="000C42FC">
      <w:pPr>
        <w:spacing w:after="80"/>
        <w:ind w:left="259" w:hanging="259"/>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4. Fecha, materia y contexto; indicar qué datos son aproximados o desconocidos.</w:t>
      </w:r>
    </w:p>
    <w:p w14:paraId="2B2627BF" w14:textId="77777777" w:rsidR="00A31FB8" w:rsidRPr="00F74CBC" w:rsidRDefault="000C42FC">
      <w:pPr>
        <w:spacing w:after="80"/>
        <w:ind w:left="259" w:hanging="259"/>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5. Beneficio solicitado u ofrecido y ventaja académica mencionada.</w:t>
      </w:r>
    </w:p>
    <w:p w14:paraId="71CF9024" w14:textId="77777777" w:rsidR="00A31FB8" w:rsidRPr="00F74CBC" w:rsidRDefault="000C42FC">
      <w:pPr>
        <w:spacing w:after="80"/>
        <w:ind w:left="259" w:hanging="259"/>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6. Existencia de presión, amenaza, consecuencia o plazo próximo.</w:t>
      </w:r>
    </w:p>
    <w:p w14:paraId="42D9B967" w14:textId="77777777" w:rsidR="00A31FB8" w:rsidRPr="00F74CBC" w:rsidRDefault="000C42FC">
      <w:pPr>
        <w:spacing w:after="80"/>
        <w:ind w:left="259" w:hanging="259"/>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7. Información disponible y ubicación privada de originales, sin adjuntarlos automáticamente.</w:t>
      </w:r>
    </w:p>
    <w:p w14:paraId="35AA75DE" w14:textId="77777777" w:rsidR="00A31FB8" w:rsidRPr="00F74CBC" w:rsidRDefault="000C42FC">
      <w:pPr>
        <w:spacing w:after="80"/>
        <w:ind w:left="259" w:hanging="259"/>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8. Necesidad de bienestar, orientación académica o protección.</w:t>
      </w:r>
    </w:p>
    <w:p w14:paraId="67788A21" w14:textId="77777777" w:rsidR="00A31FB8" w:rsidRPr="00F74CBC" w:rsidRDefault="000C42FC">
      <w:pPr>
        <w:spacing w:after="80"/>
        <w:ind w:left="259" w:hanging="259"/>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9. Rutas explicadas, fundamento y preferencias de la persona.</w:t>
      </w:r>
    </w:p>
    <w:p w14:paraId="165814F1" w14:textId="77777777" w:rsidR="00A31FB8" w:rsidRPr="00F74CBC" w:rsidRDefault="000C42FC">
      <w:pPr>
        <w:spacing w:after="80"/>
        <w:ind w:left="259" w:hanging="259"/>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10. Actuación realmente realizada, constancia recibida y siguiente fecha relevante.</w:t>
      </w:r>
    </w:p>
    <w:p w14:paraId="4C282C2E" w14:textId="77777777" w:rsidR="00A31FB8" w:rsidRPr="00F74CBC" w:rsidRDefault="000C42FC">
      <w:pPr>
        <w:pStyle w:val="Ttulo2"/>
        <w:rPr>
          <w:rFonts w:ascii="Times New Roman" w:hAnsi="Times New Roman" w:cs="Times New Roman"/>
          <w:color w:val="000000" w:themeColor="text1"/>
          <w:sz w:val="24"/>
          <w:szCs w:val="24"/>
        </w:rPr>
      </w:pPr>
      <w:r w:rsidRPr="00F74CBC">
        <w:rPr>
          <w:rFonts w:ascii="Times New Roman" w:hAnsi="Times New Roman" w:cs="Times New Roman"/>
          <w:color w:val="000000" w:themeColor="text1"/>
          <w:sz w:val="24"/>
          <w:szCs w:val="24"/>
        </w:rPr>
        <w:t xml:space="preserve">14.2 </w:t>
      </w:r>
      <w:proofErr w:type="spellStart"/>
      <w:r w:rsidRPr="00F74CBC">
        <w:rPr>
          <w:rFonts w:ascii="Times New Roman" w:hAnsi="Times New Roman" w:cs="Times New Roman"/>
          <w:color w:val="000000" w:themeColor="text1"/>
          <w:sz w:val="24"/>
          <w:szCs w:val="24"/>
        </w:rPr>
        <w:t>Preguntas</w:t>
      </w:r>
      <w:proofErr w:type="spellEnd"/>
      <w:r w:rsidRPr="00F74CBC">
        <w:rPr>
          <w:rFonts w:ascii="Times New Roman" w:hAnsi="Times New Roman" w:cs="Times New Roman"/>
          <w:color w:val="000000" w:themeColor="text1"/>
          <w:sz w:val="24"/>
          <w:szCs w:val="24"/>
        </w:rPr>
        <w:t xml:space="preserve"> </w:t>
      </w:r>
      <w:proofErr w:type="spellStart"/>
      <w:r w:rsidRPr="00F74CBC">
        <w:rPr>
          <w:rFonts w:ascii="Times New Roman" w:hAnsi="Times New Roman" w:cs="Times New Roman"/>
          <w:color w:val="000000" w:themeColor="text1"/>
          <w:sz w:val="24"/>
          <w:szCs w:val="24"/>
        </w:rPr>
        <w:t>útiles</w:t>
      </w:r>
      <w:proofErr w:type="spellEnd"/>
      <w:r w:rsidRPr="00F74CBC">
        <w:rPr>
          <w:rFonts w:ascii="Times New Roman" w:hAnsi="Times New Roman" w:cs="Times New Roman"/>
          <w:color w:val="000000" w:themeColor="text1"/>
          <w:sz w:val="24"/>
          <w:szCs w:val="24"/>
        </w:rPr>
        <w:t xml:space="preserve"> ante una oficina</w:t>
      </w:r>
    </w:p>
    <w:p w14:paraId="3C33B741" w14:textId="77777777" w:rsidR="00A31FB8" w:rsidRPr="00F74CBC" w:rsidRDefault="000C42FC">
      <w:pPr>
        <w:pStyle w:val="Listaconvietas"/>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¿Esta atención es orientación o recepción formal de una denuncia?</w:t>
      </w:r>
    </w:p>
    <w:p w14:paraId="270A0A96" w14:textId="77777777" w:rsidR="00A31FB8" w:rsidRPr="00F74CBC" w:rsidRDefault="000C42FC">
      <w:pPr>
        <w:pStyle w:val="Listaconvietas"/>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¿Qué autoridad es competente y qué canal está habilitado para presentar documentos?</w:t>
      </w:r>
    </w:p>
    <w:p w14:paraId="4744EB64" w14:textId="77777777" w:rsidR="00A31FB8" w:rsidRPr="00F74CBC" w:rsidRDefault="000C42FC">
      <w:pPr>
        <w:pStyle w:val="Listaconvietas"/>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¿Qué constancia se entrega y cómo se reciben las notificaciones?</w:t>
      </w:r>
    </w:p>
    <w:p w14:paraId="3A073F6F" w14:textId="77777777" w:rsidR="00A31FB8" w:rsidRPr="00F74CBC" w:rsidRDefault="000C42FC">
      <w:pPr>
        <w:pStyle w:val="Listaconvietas"/>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¿Qué información falta y cuál es el plazo exacto para completarla?</w:t>
      </w:r>
    </w:p>
    <w:p w14:paraId="43195293" w14:textId="77777777" w:rsidR="00A31FB8" w:rsidRPr="00F74CBC" w:rsidRDefault="000C42FC">
      <w:pPr>
        <w:pStyle w:val="Listaconvietas"/>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¿Cómo se solicita confidencialidad y quién tendrá acceso a los datos?</w:t>
      </w:r>
    </w:p>
    <w:p w14:paraId="3D81B5A8" w14:textId="77777777" w:rsidR="00A31FB8" w:rsidRPr="00F74CBC" w:rsidRDefault="000C42FC">
      <w:pPr>
        <w:pStyle w:val="Listaconvietas"/>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¿Qué medidas pueden valorarse frente al riesgo narrado y quién vigila su cumplimiento?</w:t>
      </w:r>
    </w:p>
    <w:p w14:paraId="3422C938" w14:textId="77777777" w:rsidR="00A31FB8" w:rsidRPr="00F74CBC" w:rsidRDefault="000C42FC">
      <w:pPr>
        <w:pStyle w:val="Listaconvietas"/>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¿La revisión de mi calificación requiere un escrito separado y ante qué departamento?</w:t>
      </w:r>
    </w:p>
    <w:p w14:paraId="358E455B" w14:textId="77777777" w:rsidR="00A31FB8" w:rsidRPr="00F74CBC" w:rsidRDefault="000C42FC">
      <w:pPr>
        <w:pStyle w:val="Listaconvietas"/>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¿Cómo puedo obtener copia de una determinación y asesoría sobre los medios de defensa?</w:t>
      </w:r>
    </w:p>
    <w:p w14:paraId="2E078FFF"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14.3 Plazos normativos que no deben confundirse</w:t>
      </w:r>
    </w:p>
    <w:tbl>
      <w:tblPr>
        <w:tblStyle w:val="Tablaconcuadrcula"/>
        <w:tblW w:w="0" w:type="auto"/>
        <w:tblLook w:val="04A0" w:firstRow="1" w:lastRow="0" w:firstColumn="1" w:lastColumn="0" w:noHBand="0" w:noVBand="1"/>
      </w:tblPr>
      <w:tblGrid>
        <w:gridCol w:w="2985"/>
        <w:gridCol w:w="3827"/>
        <w:gridCol w:w="3196"/>
      </w:tblGrid>
      <w:tr w:rsidR="00A31FB8" w:rsidRPr="00F74CBC" w14:paraId="37F11FC0" w14:textId="77777777" w:rsidTr="00F74CBC">
        <w:tc>
          <w:tcPr>
            <w:tcW w:w="0" w:type="auto"/>
          </w:tcPr>
          <w:p w14:paraId="732BFE9A" w14:textId="77777777" w:rsidR="00A31FB8" w:rsidRPr="00F74CBC" w:rsidRDefault="000C42FC">
            <w:pPr>
              <w:spacing w:after="0" w:line="252" w:lineRule="auto"/>
              <w:rPr>
                <w:rFonts w:ascii="Times New Roman" w:hAnsi="Times New Roman" w:cs="Times New Roman"/>
                <w:color w:val="000000" w:themeColor="text1"/>
                <w:sz w:val="24"/>
                <w:szCs w:val="24"/>
              </w:rPr>
            </w:pPr>
            <w:proofErr w:type="spellStart"/>
            <w:r w:rsidRPr="00F74CBC">
              <w:rPr>
                <w:rFonts w:ascii="Times New Roman" w:hAnsi="Times New Roman" w:cs="Times New Roman"/>
                <w:b/>
                <w:color w:val="000000" w:themeColor="text1"/>
                <w:sz w:val="24"/>
                <w:szCs w:val="24"/>
              </w:rPr>
              <w:t>Actuación</w:t>
            </w:r>
            <w:proofErr w:type="spellEnd"/>
          </w:p>
        </w:tc>
        <w:tc>
          <w:tcPr>
            <w:tcW w:w="0" w:type="auto"/>
          </w:tcPr>
          <w:p w14:paraId="79D35965"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b/>
                <w:color w:val="000000" w:themeColor="text1"/>
                <w:sz w:val="24"/>
                <w:szCs w:val="24"/>
              </w:rPr>
              <w:t>Referencia y plazo publicado</w:t>
            </w:r>
          </w:p>
        </w:tc>
        <w:tc>
          <w:tcPr>
            <w:tcW w:w="0" w:type="auto"/>
          </w:tcPr>
          <w:p w14:paraId="3C1976D8"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b/>
                <w:color w:val="000000" w:themeColor="text1"/>
                <w:sz w:val="24"/>
                <w:szCs w:val="24"/>
              </w:rPr>
              <w:t>Precisión</w:t>
            </w:r>
          </w:p>
        </w:tc>
      </w:tr>
      <w:tr w:rsidR="00A31FB8" w:rsidRPr="00F74CBC" w14:paraId="68AB4EAF" w14:textId="77777777" w:rsidTr="00F74CBC">
        <w:tc>
          <w:tcPr>
            <w:tcW w:w="0" w:type="auto"/>
          </w:tcPr>
          <w:p w14:paraId="385BD614"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Solicitud de revisión de evaluación</w:t>
            </w:r>
          </w:p>
        </w:tc>
        <w:tc>
          <w:tcPr>
            <w:tcW w:w="0" w:type="auto"/>
          </w:tcPr>
          <w:p w14:paraId="36308220"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RGEPA, art. 49: tres días hábiles siguientes a publicación o notificación</w:t>
            </w:r>
          </w:p>
        </w:tc>
        <w:tc>
          <w:tcPr>
            <w:tcW w:w="0" w:type="auto"/>
          </w:tcPr>
          <w:p w14:paraId="7DFCDCB0" w14:textId="77777777" w:rsidR="00A31FB8" w:rsidRPr="00F74CBC" w:rsidRDefault="000C42FC">
            <w:pPr>
              <w:spacing w:after="0" w:line="252" w:lineRule="auto"/>
              <w:rPr>
                <w:rFonts w:ascii="Times New Roman" w:hAnsi="Times New Roman" w:cs="Times New Roman"/>
                <w:color w:val="000000" w:themeColor="text1"/>
                <w:sz w:val="24"/>
                <w:szCs w:val="24"/>
              </w:rPr>
            </w:pPr>
            <w:proofErr w:type="spellStart"/>
            <w:r w:rsidRPr="00F74CBC">
              <w:rPr>
                <w:rFonts w:ascii="Times New Roman" w:hAnsi="Times New Roman" w:cs="Times New Roman"/>
                <w:color w:val="000000" w:themeColor="text1"/>
                <w:sz w:val="24"/>
                <w:szCs w:val="24"/>
              </w:rPr>
              <w:t>Procedimiento</w:t>
            </w:r>
            <w:proofErr w:type="spellEnd"/>
            <w:r w:rsidRPr="00F74CBC">
              <w:rPr>
                <w:rFonts w:ascii="Times New Roman" w:hAnsi="Times New Roman" w:cs="Times New Roman"/>
                <w:color w:val="000000" w:themeColor="text1"/>
                <w:sz w:val="24"/>
                <w:szCs w:val="24"/>
              </w:rPr>
              <w:t xml:space="preserve"> </w:t>
            </w:r>
            <w:proofErr w:type="spellStart"/>
            <w:r w:rsidRPr="00F74CBC">
              <w:rPr>
                <w:rFonts w:ascii="Times New Roman" w:hAnsi="Times New Roman" w:cs="Times New Roman"/>
                <w:color w:val="000000" w:themeColor="text1"/>
                <w:sz w:val="24"/>
                <w:szCs w:val="24"/>
              </w:rPr>
              <w:t>académico</w:t>
            </w:r>
            <w:proofErr w:type="spellEnd"/>
            <w:r w:rsidRPr="00F74CBC">
              <w:rPr>
                <w:rFonts w:ascii="Times New Roman" w:hAnsi="Times New Roman" w:cs="Times New Roman"/>
                <w:color w:val="000000" w:themeColor="text1"/>
                <w:sz w:val="24"/>
                <w:szCs w:val="24"/>
              </w:rPr>
              <w:t xml:space="preserve"> </w:t>
            </w:r>
            <w:proofErr w:type="spellStart"/>
            <w:r w:rsidRPr="00F74CBC">
              <w:rPr>
                <w:rFonts w:ascii="Times New Roman" w:hAnsi="Times New Roman" w:cs="Times New Roman"/>
                <w:color w:val="000000" w:themeColor="text1"/>
                <w:sz w:val="24"/>
                <w:szCs w:val="24"/>
              </w:rPr>
              <w:t>separado</w:t>
            </w:r>
            <w:proofErr w:type="spellEnd"/>
          </w:p>
        </w:tc>
      </w:tr>
      <w:tr w:rsidR="00A31FB8" w:rsidRPr="00F74CBC" w14:paraId="5AF8DED6" w14:textId="77777777" w:rsidTr="00F74CBC">
        <w:tc>
          <w:tcPr>
            <w:tcW w:w="0" w:type="auto"/>
          </w:tcPr>
          <w:p w14:paraId="0EF68E6E"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color w:val="000000" w:themeColor="text1"/>
                <w:sz w:val="24"/>
                <w:szCs w:val="24"/>
              </w:rPr>
              <w:t>Aclaración de denuncia universitaria</w:t>
            </w:r>
          </w:p>
        </w:tc>
        <w:tc>
          <w:tcPr>
            <w:tcW w:w="0" w:type="auto"/>
          </w:tcPr>
          <w:p w14:paraId="23C2D94B"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RRVFNU, art. 55: cinco días hábiles desde el día siguiente a la notificación</w:t>
            </w:r>
          </w:p>
        </w:tc>
        <w:tc>
          <w:tcPr>
            <w:tcW w:w="0" w:type="auto"/>
          </w:tcPr>
          <w:p w14:paraId="0516E918"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No es un plazo para resolver el caso</w:t>
            </w:r>
          </w:p>
        </w:tc>
      </w:tr>
      <w:tr w:rsidR="00A31FB8" w:rsidRPr="00F74CBC" w14:paraId="25EE3931" w14:textId="77777777" w:rsidTr="00F74CBC">
        <w:tc>
          <w:tcPr>
            <w:tcW w:w="0" w:type="auto"/>
          </w:tcPr>
          <w:p w14:paraId="18899C86" w14:textId="77777777" w:rsidR="00A31FB8" w:rsidRPr="00F74CBC" w:rsidRDefault="000C42FC">
            <w:pPr>
              <w:spacing w:after="0" w:line="252" w:lineRule="auto"/>
              <w:rPr>
                <w:rFonts w:ascii="Times New Roman" w:hAnsi="Times New Roman" w:cs="Times New Roman"/>
                <w:color w:val="000000" w:themeColor="text1"/>
                <w:sz w:val="24"/>
                <w:szCs w:val="24"/>
              </w:rPr>
            </w:pPr>
            <w:proofErr w:type="spellStart"/>
            <w:r w:rsidRPr="00F74CBC">
              <w:rPr>
                <w:rFonts w:ascii="Times New Roman" w:hAnsi="Times New Roman" w:cs="Times New Roman"/>
                <w:color w:val="000000" w:themeColor="text1"/>
                <w:sz w:val="24"/>
                <w:szCs w:val="24"/>
              </w:rPr>
              <w:t>Remisión</w:t>
            </w:r>
            <w:proofErr w:type="spellEnd"/>
            <w:r w:rsidRPr="00F74CBC">
              <w:rPr>
                <w:rFonts w:ascii="Times New Roman" w:hAnsi="Times New Roman" w:cs="Times New Roman"/>
                <w:color w:val="000000" w:themeColor="text1"/>
                <w:sz w:val="24"/>
                <w:szCs w:val="24"/>
              </w:rPr>
              <w:t xml:space="preserve"> </w:t>
            </w:r>
            <w:proofErr w:type="spellStart"/>
            <w:r w:rsidRPr="00F74CBC">
              <w:rPr>
                <w:rFonts w:ascii="Times New Roman" w:hAnsi="Times New Roman" w:cs="Times New Roman"/>
                <w:color w:val="000000" w:themeColor="text1"/>
                <w:sz w:val="24"/>
                <w:szCs w:val="24"/>
              </w:rPr>
              <w:t>por</w:t>
            </w:r>
            <w:proofErr w:type="spellEnd"/>
            <w:r w:rsidRPr="00F74CBC">
              <w:rPr>
                <w:rFonts w:ascii="Times New Roman" w:hAnsi="Times New Roman" w:cs="Times New Roman"/>
                <w:color w:val="000000" w:themeColor="text1"/>
                <w:sz w:val="24"/>
                <w:szCs w:val="24"/>
              </w:rPr>
              <w:t xml:space="preserve"> Primer Contacto</w:t>
            </w:r>
          </w:p>
        </w:tc>
        <w:tc>
          <w:tcPr>
            <w:tcW w:w="0" w:type="auto"/>
          </w:tcPr>
          <w:p w14:paraId="72467FEB"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RRVFNU, art. 33, fr. XII: cuatro días hábiles</w:t>
            </w:r>
          </w:p>
        </w:tc>
        <w:tc>
          <w:tcPr>
            <w:tcW w:w="0" w:type="auto"/>
          </w:tcPr>
          <w:p w14:paraId="15A63FE7"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Dentro del supuesto y funciones que regula el artículo</w:t>
            </w:r>
          </w:p>
        </w:tc>
      </w:tr>
      <w:tr w:rsidR="00A31FB8" w:rsidRPr="00F74CBC" w14:paraId="4E378FC5" w14:textId="77777777" w:rsidTr="00F74CBC">
        <w:tc>
          <w:tcPr>
            <w:tcW w:w="0" w:type="auto"/>
          </w:tcPr>
          <w:p w14:paraId="3F14D016" w14:textId="77777777" w:rsidR="00A31FB8" w:rsidRPr="00F74CBC" w:rsidRDefault="000C42FC">
            <w:pPr>
              <w:spacing w:after="0" w:line="252" w:lineRule="auto"/>
              <w:rPr>
                <w:rFonts w:ascii="Times New Roman" w:hAnsi="Times New Roman" w:cs="Times New Roman"/>
                <w:color w:val="000000" w:themeColor="text1"/>
                <w:sz w:val="24"/>
                <w:szCs w:val="24"/>
              </w:rPr>
            </w:pPr>
            <w:proofErr w:type="spellStart"/>
            <w:r w:rsidRPr="00F74CBC">
              <w:rPr>
                <w:rFonts w:ascii="Times New Roman" w:hAnsi="Times New Roman" w:cs="Times New Roman"/>
                <w:color w:val="000000" w:themeColor="text1"/>
                <w:sz w:val="24"/>
                <w:szCs w:val="24"/>
              </w:rPr>
              <w:t>Denuncia</w:t>
            </w:r>
            <w:proofErr w:type="spellEnd"/>
            <w:r w:rsidRPr="00F74CBC">
              <w:rPr>
                <w:rFonts w:ascii="Times New Roman" w:hAnsi="Times New Roman" w:cs="Times New Roman"/>
                <w:color w:val="000000" w:themeColor="text1"/>
                <w:sz w:val="24"/>
                <w:szCs w:val="24"/>
              </w:rPr>
              <w:t xml:space="preserve"> contra </w:t>
            </w:r>
            <w:proofErr w:type="spellStart"/>
            <w:r w:rsidRPr="00F74CBC">
              <w:rPr>
                <w:rFonts w:ascii="Times New Roman" w:hAnsi="Times New Roman" w:cs="Times New Roman"/>
                <w:color w:val="000000" w:themeColor="text1"/>
                <w:sz w:val="24"/>
                <w:szCs w:val="24"/>
              </w:rPr>
              <w:t>determinadas</w:t>
            </w:r>
            <w:proofErr w:type="spellEnd"/>
            <w:r w:rsidRPr="00F74CBC">
              <w:rPr>
                <w:rFonts w:ascii="Times New Roman" w:hAnsi="Times New Roman" w:cs="Times New Roman"/>
                <w:color w:val="000000" w:themeColor="text1"/>
                <w:sz w:val="24"/>
                <w:szCs w:val="24"/>
              </w:rPr>
              <w:t xml:space="preserve"> </w:t>
            </w:r>
            <w:proofErr w:type="spellStart"/>
            <w:r w:rsidRPr="00F74CBC">
              <w:rPr>
                <w:rFonts w:ascii="Times New Roman" w:hAnsi="Times New Roman" w:cs="Times New Roman"/>
                <w:color w:val="000000" w:themeColor="text1"/>
                <w:sz w:val="24"/>
                <w:szCs w:val="24"/>
              </w:rPr>
              <w:t>autoridades</w:t>
            </w:r>
            <w:proofErr w:type="spellEnd"/>
            <w:r w:rsidRPr="00F74CBC">
              <w:rPr>
                <w:rFonts w:ascii="Times New Roman" w:hAnsi="Times New Roman" w:cs="Times New Roman"/>
                <w:color w:val="000000" w:themeColor="text1"/>
                <w:sz w:val="24"/>
                <w:szCs w:val="24"/>
              </w:rPr>
              <w:t xml:space="preserve"> receptoras</w:t>
            </w:r>
          </w:p>
        </w:tc>
        <w:tc>
          <w:tcPr>
            <w:tcW w:w="0" w:type="auto"/>
          </w:tcPr>
          <w:p w14:paraId="1C7FBA2E" w14:textId="77777777" w:rsidR="00A31FB8" w:rsidRPr="00F74CBC" w:rsidRDefault="000C42FC">
            <w:pPr>
              <w:spacing w:after="0" w:line="252" w:lineRule="auto"/>
              <w:rPr>
                <w:rFonts w:ascii="Times New Roman" w:hAnsi="Times New Roman" w:cs="Times New Roman"/>
                <w:color w:val="000000" w:themeColor="text1"/>
                <w:sz w:val="24"/>
                <w:szCs w:val="24"/>
              </w:rPr>
            </w:pPr>
            <w:r w:rsidRPr="00F74CBC">
              <w:rPr>
                <w:rFonts w:ascii="Times New Roman" w:hAnsi="Times New Roman" w:cs="Times New Roman"/>
                <w:color w:val="000000" w:themeColor="text1"/>
                <w:sz w:val="24"/>
                <w:szCs w:val="24"/>
              </w:rPr>
              <w:t>RRVFNU, art. 54: convocatoria dentro de 48 horas</w:t>
            </w:r>
          </w:p>
        </w:tc>
        <w:tc>
          <w:tcPr>
            <w:tcW w:w="0" w:type="auto"/>
          </w:tcPr>
          <w:p w14:paraId="6B16368C"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No equivale a resolución en 48 horas</w:t>
            </w:r>
          </w:p>
        </w:tc>
      </w:tr>
      <w:tr w:rsidR="00A31FB8" w:rsidRPr="00F74CBC" w14:paraId="51B1B335" w14:textId="77777777" w:rsidTr="00F74CBC">
        <w:tc>
          <w:tcPr>
            <w:tcW w:w="0" w:type="auto"/>
          </w:tcPr>
          <w:p w14:paraId="44935C99" w14:textId="77777777" w:rsidR="00A31FB8" w:rsidRPr="00F74CBC" w:rsidRDefault="000C42FC">
            <w:pPr>
              <w:spacing w:after="0" w:line="252" w:lineRule="auto"/>
              <w:rPr>
                <w:rFonts w:ascii="Times New Roman" w:hAnsi="Times New Roman" w:cs="Times New Roman"/>
                <w:color w:val="000000" w:themeColor="text1"/>
                <w:sz w:val="24"/>
                <w:szCs w:val="24"/>
              </w:rPr>
            </w:pPr>
            <w:proofErr w:type="spellStart"/>
            <w:r w:rsidRPr="00F74CBC">
              <w:rPr>
                <w:rFonts w:ascii="Times New Roman" w:hAnsi="Times New Roman" w:cs="Times New Roman"/>
                <w:color w:val="000000" w:themeColor="text1"/>
                <w:sz w:val="24"/>
                <w:szCs w:val="24"/>
              </w:rPr>
              <w:t>Medida</w:t>
            </w:r>
            <w:proofErr w:type="spellEnd"/>
            <w:r w:rsidRPr="00F74CBC">
              <w:rPr>
                <w:rFonts w:ascii="Times New Roman" w:hAnsi="Times New Roman" w:cs="Times New Roman"/>
                <w:color w:val="000000" w:themeColor="text1"/>
                <w:sz w:val="24"/>
                <w:szCs w:val="24"/>
              </w:rPr>
              <w:t xml:space="preserve"> provisional de </w:t>
            </w:r>
            <w:r w:rsidRPr="00F74CBC">
              <w:rPr>
                <w:rFonts w:ascii="Times New Roman" w:hAnsi="Times New Roman" w:cs="Times New Roman"/>
                <w:color w:val="000000" w:themeColor="text1"/>
                <w:sz w:val="24"/>
                <w:szCs w:val="24"/>
              </w:rPr>
              <w:lastRenderedPageBreak/>
              <w:t>titular</w:t>
            </w:r>
          </w:p>
        </w:tc>
        <w:tc>
          <w:tcPr>
            <w:tcW w:w="0" w:type="auto"/>
          </w:tcPr>
          <w:p w14:paraId="64541FDD"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lastRenderedPageBreak/>
              <w:t xml:space="preserve">RRVFNU, art. 39: hasta cinco días </w:t>
            </w:r>
            <w:r w:rsidRPr="00F74CBC">
              <w:rPr>
                <w:rFonts w:ascii="Times New Roman" w:hAnsi="Times New Roman" w:cs="Times New Roman"/>
                <w:color w:val="000000" w:themeColor="text1"/>
                <w:sz w:val="24"/>
                <w:szCs w:val="24"/>
                <w:lang w:val="es-MX"/>
              </w:rPr>
              <w:lastRenderedPageBreak/>
              <w:t>naturales bajo sus condiciones</w:t>
            </w:r>
          </w:p>
        </w:tc>
        <w:tc>
          <w:tcPr>
            <w:tcW w:w="0" w:type="auto"/>
          </w:tcPr>
          <w:p w14:paraId="0A5749AA"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lastRenderedPageBreak/>
              <w:t xml:space="preserve">Debe comunicarse a la </w:t>
            </w:r>
            <w:r w:rsidRPr="00F74CBC">
              <w:rPr>
                <w:rFonts w:ascii="Times New Roman" w:hAnsi="Times New Roman" w:cs="Times New Roman"/>
                <w:color w:val="000000" w:themeColor="text1"/>
                <w:sz w:val="24"/>
                <w:szCs w:val="24"/>
                <w:lang w:val="es-MX"/>
              </w:rPr>
              <w:lastRenderedPageBreak/>
              <w:t>instancia competente</w:t>
            </w:r>
          </w:p>
        </w:tc>
      </w:tr>
      <w:tr w:rsidR="00A31FB8" w:rsidRPr="00F74CBC" w14:paraId="2CC7E58E" w14:textId="77777777" w:rsidTr="00F74CBC">
        <w:tc>
          <w:tcPr>
            <w:tcW w:w="0" w:type="auto"/>
          </w:tcPr>
          <w:p w14:paraId="2934D7CA"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lastRenderedPageBreak/>
              <w:t>Aviso de posible delito a Abogacía General</w:t>
            </w:r>
          </w:p>
        </w:tc>
        <w:tc>
          <w:tcPr>
            <w:tcW w:w="0" w:type="auto"/>
          </w:tcPr>
          <w:p w14:paraId="6B472A8F"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RRVFNU, art. 60: copia dentro de cinco días hábiles desde conocimiento</w:t>
            </w:r>
          </w:p>
        </w:tc>
        <w:tc>
          <w:tcPr>
            <w:tcW w:w="0" w:type="auto"/>
          </w:tcPr>
          <w:p w14:paraId="2438A969" w14:textId="77777777" w:rsidR="00A31FB8" w:rsidRPr="00F74CBC" w:rsidRDefault="000C42FC">
            <w:pPr>
              <w:spacing w:after="0" w:line="252" w:lineRule="auto"/>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Obligación interna; no impide acudir directamente al MP</w:t>
            </w:r>
          </w:p>
        </w:tc>
      </w:tr>
    </w:tbl>
    <w:p w14:paraId="0BBE4C36" w14:textId="77777777" w:rsidR="00A31FB8" w:rsidRPr="00F74CBC" w:rsidRDefault="00A31FB8">
      <w:pPr>
        <w:spacing w:after="40" w:line="240" w:lineRule="auto"/>
        <w:rPr>
          <w:rFonts w:ascii="Times New Roman" w:hAnsi="Times New Roman" w:cs="Times New Roman"/>
          <w:color w:val="000000" w:themeColor="text1"/>
          <w:sz w:val="24"/>
          <w:szCs w:val="24"/>
          <w:lang w:val="es-MX"/>
        </w:rPr>
      </w:pPr>
    </w:p>
    <w:p w14:paraId="1E7E5C02"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Los días hábiles requieren identificar calendario y fecha inicial aplicables. La ratificación del artículo 56 tiene reglas propias y no se resume como cinco días desde cualquier notificación. Las actuaciones deben confirmarse con la autoridad y la versión normativa pertinente.</w:t>
      </w:r>
    </w:p>
    <w:p w14:paraId="709C6887" w14:textId="77777777" w:rsidR="00A31FB8" w:rsidRPr="00F74CBC" w:rsidRDefault="000C42FC">
      <w:pPr>
        <w:pStyle w:val="Ttulo2"/>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14.4 Registro abreviado de la búsqueda</w:t>
      </w:r>
    </w:p>
    <w:p w14:paraId="3B62FEE6"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Las consultas se realizaron con variantes de los siguientes grupos, además de navegación directa a páginas oficiales. La lista describe la cobertura temática; no constituye un experimento de usabilidad ni un registro de todos los resultados devueltos por el buscador.</w:t>
      </w:r>
    </w:p>
    <w:p w14:paraId="5FD9A122" w14:textId="77777777" w:rsidR="00A31FB8" w:rsidRPr="00F74CBC" w:rsidRDefault="000C42FC">
      <w:pPr>
        <w:pStyle w:val="Listaconvietas"/>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Conducta: soborno académico UDG, dinero por calificaciones, ventajas académicas, cohecho Jalisco y regalos por acreditación.</w:t>
      </w:r>
    </w:p>
    <w:p w14:paraId="3B077E8D" w14:textId="77777777" w:rsidR="00A31FB8" w:rsidRPr="00F74CBC" w:rsidRDefault="000C42FC">
      <w:pPr>
        <w:pStyle w:val="Listaconvietas"/>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Procedimiento: responsabilidades normatividad universitaria, </w:t>
      </w:r>
      <w:proofErr w:type="gramStart"/>
      <w:r w:rsidRPr="00F74CBC">
        <w:rPr>
          <w:rFonts w:ascii="Times New Roman" w:hAnsi="Times New Roman" w:cs="Times New Roman"/>
          <w:color w:val="000000" w:themeColor="text1"/>
          <w:sz w:val="24"/>
          <w:szCs w:val="24"/>
          <w:lang w:val="es-MX"/>
        </w:rPr>
        <w:t>denuncia formulario</w:t>
      </w:r>
      <w:proofErr w:type="gramEnd"/>
      <w:r w:rsidRPr="00F74CBC">
        <w:rPr>
          <w:rFonts w:ascii="Times New Roman" w:hAnsi="Times New Roman" w:cs="Times New Roman"/>
          <w:color w:val="000000" w:themeColor="text1"/>
          <w:sz w:val="24"/>
          <w:szCs w:val="24"/>
          <w:lang w:val="es-MX"/>
        </w:rPr>
        <w:t xml:space="preserve"> </w:t>
      </w:r>
      <w:proofErr w:type="spellStart"/>
      <w:r w:rsidRPr="00F74CBC">
        <w:rPr>
          <w:rFonts w:ascii="Times New Roman" w:hAnsi="Times New Roman" w:cs="Times New Roman"/>
          <w:color w:val="000000" w:themeColor="text1"/>
          <w:sz w:val="24"/>
          <w:szCs w:val="24"/>
          <w:lang w:val="es-MX"/>
        </w:rPr>
        <w:t>CUTonalá</w:t>
      </w:r>
      <w:proofErr w:type="spellEnd"/>
      <w:r w:rsidRPr="00F74CBC">
        <w:rPr>
          <w:rFonts w:ascii="Times New Roman" w:hAnsi="Times New Roman" w:cs="Times New Roman"/>
          <w:color w:val="000000" w:themeColor="text1"/>
          <w:sz w:val="24"/>
          <w:szCs w:val="24"/>
          <w:lang w:val="es-MX"/>
        </w:rPr>
        <w:t>, medidas cautelares, confidencialidad y revisión de evaluación.</w:t>
      </w:r>
    </w:p>
    <w:p w14:paraId="298EC1F6" w14:textId="77777777" w:rsidR="00A31FB8" w:rsidRPr="00F74CBC" w:rsidRDefault="000C42FC">
      <w:pPr>
        <w:pStyle w:val="Listaconvietas"/>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Servicios: Primer Contacto </w:t>
      </w:r>
      <w:proofErr w:type="spellStart"/>
      <w:r w:rsidRPr="00F74CBC">
        <w:rPr>
          <w:rFonts w:ascii="Times New Roman" w:hAnsi="Times New Roman" w:cs="Times New Roman"/>
          <w:color w:val="000000" w:themeColor="text1"/>
          <w:sz w:val="24"/>
          <w:szCs w:val="24"/>
          <w:lang w:val="es-MX"/>
        </w:rPr>
        <w:t>CUTonalá</w:t>
      </w:r>
      <w:proofErr w:type="spellEnd"/>
      <w:r w:rsidRPr="00F74CBC">
        <w:rPr>
          <w:rFonts w:ascii="Times New Roman" w:hAnsi="Times New Roman" w:cs="Times New Roman"/>
          <w:color w:val="000000" w:themeColor="text1"/>
          <w:sz w:val="24"/>
          <w:szCs w:val="24"/>
          <w:lang w:val="es-MX"/>
        </w:rPr>
        <w:t>, directorio Secretaría Académica, coordinación Ciencias Computacionales, Defensoría y orientación psicológica.</w:t>
      </w:r>
    </w:p>
    <w:p w14:paraId="64B3D2EE" w14:textId="77777777" w:rsidR="00A31FB8" w:rsidRPr="00F74CBC" w:rsidRDefault="000C42FC">
      <w:pPr>
        <w:pStyle w:val="Listaconvietas"/>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Normativa externa: Código Penal Jalisco artículo 147, Constitución artículo 92, LGRA artículos 52 y 66 y denuncia CNPP.</w:t>
      </w:r>
    </w:p>
    <w:p w14:paraId="61AFE91F" w14:textId="77777777" w:rsidR="00A31FB8" w:rsidRPr="00F74CBC" w:rsidRDefault="000C42FC">
      <w:pPr>
        <w:pStyle w:val="Listaconvietas"/>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Evidencia: informes </w:t>
      </w:r>
      <w:proofErr w:type="spellStart"/>
      <w:r w:rsidRPr="00F74CBC">
        <w:rPr>
          <w:rFonts w:ascii="Times New Roman" w:hAnsi="Times New Roman" w:cs="Times New Roman"/>
          <w:color w:val="000000" w:themeColor="text1"/>
          <w:sz w:val="24"/>
          <w:szCs w:val="24"/>
          <w:lang w:val="es-MX"/>
        </w:rPr>
        <w:t>CUTonalá</w:t>
      </w:r>
      <w:proofErr w:type="spellEnd"/>
      <w:r w:rsidRPr="00F74CBC">
        <w:rPr>
          <w:rFonts w:ascii="Times New Roman" w:hAnsi="Times New Roman" w:cs="Times New Roman"/>
          <w:color w:val="000000" w:themeColor="text1"/>
          <w:sz w:val="24"/>
          <w:szCs w:val="24"/>
          <w:lang w:val="es-MX"/>
        </w:rPr>
        <w:t xml:space="preserve"> 2024 y 2025, procesos de responsabilidades y comunicados de Fiscalía sobre cohecho y sector educativo.</w:t>
      </w:r>
    </w:p>
    <w:p w14:paraId="348F4359" w14:textId="77777777" w:rsidR="00A31FB8" w:rsidRPr="00F74CBC" w:rsidRDefault="000C42FC">
      <w:pPr>
        <w:pStyle w:val="Listaconvietas"/>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Apoyo externo: Fiscalía Anticorrupción denuncia anónima, ubicación y contacto; Procuraduría Social asesoría jurídica gratuita.</w:t>
      </w:r>
    </w:p>
    <w:p w14:paraId="7717752F"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El contraste final incluyó textos normativos completos en los artículos pertinentes, páginas de servicio, directorios y apartados específicos de informes. No se investigaron nombres de docentes asociados a rumores ni se usaron redes sociales como comprobación de culpabilidad.</w:t>
      </w:r>
    </w:p>
    <w:p w14:paraId="59F793B1" w14:textId="77777777" w:rsidR="00A31FB8" w:rsidRPr="00F74CBC" w:rsidRDefault="000C42FC">
      <w:pPr>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br w:type="page"/>
      </w:r>
    </w:p>
    <w:p w14:paraId="09E9E4D1" w14:textId="77777777" w:rsidR="00A31FB8" w:rsidRPr="00F74CBC" w:rsidRDefault="000C42FC">
      <w:pPr>
        <w:pStyle w:val="Ttulo1"/>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lastRenderedPageBreak/>
        <w:t>15 Fuentes y referencias</w:t>
      </w:r>
    </w:p>
    <w:p w14:paraId="6CFBCE89" w14:textId="77777777" w:rsidR="00A31FB8" w:rsidRPr="00F74CBC" w:rsidRDefault="000C42FC">
      <w:pPr>
        <w:jc w:val="both"/>
        <w:rPr>
          <w:rFonts w:ascii="Times New Roman" w:hAnsi="Times New Roman" w:cs="Times New Roman"/>
          <w:color w:val="000000" w:themeColor="text1"/>
          <w:sz w:val="24"/>
          <w:szCs w:val="24"/>
          <w:lang w:val="es-MX"/>
        </w:rPr>
      </w:pPr>
      <w:r w:rsidRPr="00F74CBC">
        <w:rPr>
          <w:rFonts w:ascii="Times New Roman" w:hAnsi="Times New Roman" w:cs="Times New Roman"/>
          <w:color w:val="000000" w:themeColor="text1"/>
          <w:sz w:val="24"/>
          <w:szCs w:val="24"/>
          <w:lang w:val="es-MX"/>
        </w:rPr>
        <w:t xml:space="preserve">Las referencias </w:t>
      </w:r>
      <w:hyperlink w:anchor="S01">
        <w:r w:rsidRPr="00F74CBC">
          <w:rPr>
            <w:rFonts w:ascii="Times New Roman" w:hAnsi="Times New Roman" w:cs="Times New Roman"/>
            <w:color w:val="000000" w:themeColor="text1"/>
            <w:sz w:val="24"/>
            <w:szCs w:val="24"/>
            <w:u w:val="single"/>
            <w:lang w:val="es-MX"/>
          </w:rPr>
          <w:t>S01</w:t>
        </w:r>
      </w:hyperlink>
      <w:r w:rsidRPr="00F74CBC">
        <w:rPr>
          <w:rFonts w:ascii="Times New Roman" w:hAnsi="Times New Roman" w:cs="Times New Roman"/>
          <w:color w:val="000000" w:themeColor="text1"/>
          <w:sz w:val="24"/>
          <w:szCs w:val="24"/>
          <w:lang w:val="es-MX"/>
        </w:rPr>
        <w:t>–</w:t>
      </w:r>
      <w:hyperlink w:anchor="S23">
        <w:r w:rsidRPr="00F74CBC">
          <w:rPr>
            <w:rFonts w:ascii="Times New Roman" w:hAnsi="Times New Roman" w:cs="Times New Roman"/>
            <w:color w:val="000000" w:themeColor="text1"/>
            <w:sz w:val="24"/>
            <w:szCs w:val="24"/>
            <w:u w:val="single"/>
            <w:lang w:val="es-MX"/>
          </w:rPr>
          <w:t>S23</w:t>
        </w:r>
      </w:hyperlink>
      <w:r w:rsidRPr="00F74CBC">
        <w:rPr>
          <w:rFonts w:ascii="Times New Roman" w:hAnsi="Times New Roman" w:cs="Times New Roman"/>
          <w:color w:val="000000" w:themeColor="text1"/>
          <w:sz w:val="24"/>
          <w:szCs w:val="24"/>
          <w:lang w:val="es-MX"/>
        </w:rPr>
        <w:t xml:space="preserve"> identifican las fuentes citadas en el texto. Todos los recursos se consultaron el 8 de octubre de 2026 o se cotejaron en la revisión que culminó en esa fecha. Cuando no se identifica una fecha editorial, se indica sin fecha. Las versiones de reglamentos corresponden a los documentos oficiales localizados, no a una certificación de vigencia emitida por la autoridad.</w:t>
      </w:r>
    </w:p>
    <w:p w14:paraId="132F48D8" w14:textId="77777777" w:rsidR="00A31FB8" w:rsidRPr="00F74CBC" w:rsidRDefault="000C42FC">
      <w:pPr>
        <w:keepNext/>
        <w:spacing w:before="160" w:after="60"/>
        <w:rPr>
          <w:rFonts w:ascii="Times New Roman" w:hAnsi="Times New Roman" w:cs="Times New Roman"/>
          <w:color w:val="000000" w:themeColor="text1"/>
          <w:sz w:val="24"/>
          <w:szCs w:val="24"/>
          <w:lang w:val="es-MX"/>
        </w:rPr>
      </w:pPr>
      <w:bookmarkStart w:id="0" w:name="S01"/>
      <w:r w:rsidRPr="00F74CBC">
        <w:rPr>
          <w:rFonts w:ascii="Times New Roman" w:hAnsi="Times New Roman" w:cs="Times New Roman"/>
          <w:b/>
          <w:color w:val="000000" w:themeColor="text1"/>
          <w:sz w:val="24"/>
          <w:szCs w:val="24"/>
          <w:lang w:val="es-MX"/>
        </w:rPr>
        <w:t>S</w:t>
      </w:r>
      <w:proofErr w:type="gramStart"/>
      <w:r w:rsidRPr="00F74CBC">
        <w:rPr>
          <w:rFonts w:ascii="Times New Roman" w:hAnsi="Times New Roman" w:cs="Times New Roman"/>
          <w:b/>
          <w:color w:val="000000" w:themeColor="text1"/>
          <w:sz w:val="24"/>
          <w:szCs w:val="24"/>
          <w:lang w:val="es-MX"/>
        </w:rPr>
        <w:t xml:space="preserve">01  </w:t>
      </w:r>
      <w:r w:rsidRPr="00F74CBC">
        <w:rPr>
          <w:rFonts w:ascii="Times New Roman" w:hAnsi="Times New Roman" w:cs="Times New Roman"/>
          <w:color w:val="000000" w:themeColor="text1"/>
          <w:sz w:val="24"/>
          <w:szCs w:val="24"/>
          <w:lang w:val="es-MX"/>
        </w:rPr>
        <w:t>Universidad</w:t>
      </w:r>
      <w:proofErr w:type="gramEnd"/>
      <w:r w:rsidRPr="00F74CBC">
        <w:rPr>
          <w:rFonts w:ascii="Times New Roman" w:hAnsi="Times New Roman" w:cs="Times New Roman"/>
          <w:color w:val="000000" w:themeColor="text1"/>
          <w:sz w:val="24"/>
          <w:szCs w:val="24"/>
          <w:lang w:val="es-MX"/>
        </w:rPr>
        <w:t xml:space="preserve"> de Guadalajara. Reglamento de Responsabilidades Vinculadas con Faltas a la Normatividad Universitaria. Versión oficial enlazada de junio de 2022. Especialmente arts. 21, 23–24, 30–60 y 64–66.</w:t>
      </w:r>
      <w:bookmarkEnd w:id="0"/>
    </w:p>
    <w:p w14:paraId="180A4FAD" w14:textId="77777777" w:rsidR="00A31FB8" w:rsidRPr="00F74CBC" w:rsidRDefault="000C42FC">
      <w:pPr>
        <w:spacing w:after="100"/>
        <w:rPr>
          <w:rFonts w:ascii="Times New Roman" w:hAnsi="Times New Roman" w:cs="Times New Roman"/>
          <w:color w:val="000000" w:themeColor="text1"/>
          <w:sz w:val="24"/>
          <w:szCs w:val="24"/>
          <w:lang w:val="es-MX"/>
        </w:rPr>
      </w:pPr>
      <w:hyperlink r:id="rId8">
        <w:r w:rsidRPr="00F74CBC">
          <w:rPr>
            <w:rFonts w:ascii="Times New Roman" w:hAnsi="Times New Roman" w:cs="Times New Roman"/>
            <w:color w:val="000000" w:themeColor="text1"/>
            <w:sz w:val="24"/>
            <w:szCs w:val="24"/>
            <w:u w:val="single"/>
            <w:lang w:val="es-MX"/>
          </w:rPr>
          <w:t>Reglamento completo</w:t>
        </w:r>
      </w:hyperlink>
      <w:r w:rsidRPr="00F74CBC">
        <w:rPr>
          <w:rFonts w:ascii="Times New Roman" w:hAnsi="Times New Roman" w:cs="Times New Roman"/>
          <w:color w:val="000000" w:themeColor="text1"/>
          <w:sz w:val="24"/>
          <w:szCs w:val="24"/>
          <w:lang w:val="es-MX"/>
        </w:rPr>
        <w:t xml:space="preserve">  ·  </w:t>
      </w:r>
      <w:hyperlink r:id="rId9">
        <w:r w:rsidRPr="00F74CBC">
          <w:rPr>
            <w:rFonts w:ascii="Times New Roman" w:hAnsi="Times New Roman" w:cs="Times New Roman"/>
            <w:color w:val="000000" w:themeColor="text1"/>
            <w:sz w:val="24"/>
            <w:szCs w:val="24"/>
            <w:u w:val="single"/>
            <w:lang w:val="es-MX"/>
          </w:rPr>
          <w:t>Ficha normativa institucional</w:t>
        </w:r>
      </w:hyperlink>
    </w:p>
    <w:p w14:paraId="5E9F6514" w14:textId="77777777" w:rsidR="00A31FB8" w:rsidRPr="00F74CBC" w:rsidRDefault="000C42FC">
      <w:pPr>
        <w:keepNext/>
        <w:spacing w:before="160" w:after="60"/>
        <w:rPr>
          <w:rFonts w:ascii="Times New Roman" w:hAnsi="Times New Roman" w:cs="Times New Roman"/>
          <w:color w:val="000000" w:themeColor="text1"/>
          <w:sz w:val="24"/>
          <w:szCs w:val="24"/>
          <w:lang w:val="es-MX"/>
        </w:rPr>
      </w:pPr>
      <w:bookmarkStart w:id="1" w:name="S02"/>
      <w:r w:rsidRPr="00F74CBC">
        <w:rPr>
          <w:rFonts w:ascii="Times New Roman" w:hAnsi="Times New Roman" w:cs="Times New Roman"/>
          <w:b/>
          <w:color w:val="000000" w:themeColor="text1"/>
          <w:sz w:val="24"/>
          <w:szCs w:val="24"/>
          <w:lang w:val="es-MX"/>
        </w:rPr>
        <w:t>S</w:t>
      </w:r>
      <w:proofErr w:type="gramStart"/>
      <w:r w:rsidRPr="00F74CBC">
        <w:rPr>
          <w:rFonts w:ascii="Times New Roman" w:hAnsi="Times New Roman" w:cs="Times New Roman"/>
          <w:b/>
          <w:color w:val="000000" w:themeColor="text1"/>
          <w:sz w:val="24"/>
          <w:szCs w:val="24"/>
          <w:lang w:val="es-MX"/>
        </w:rPr>
        <w:t xml:space="preserve">02  </w:t>
      </w:r>
      <w:r w:rsidRPr="00F74CBC">
        <w:rPr>
          <w:rFonts w:ascii="Times New Roman" w:hAnsi="Times New Roman" w:cs="Times New Roman"/>
          <w:color w:val="000000" w:themeColor="text1"/>
          <w:sz w:val="24"/>
          <w:szCs w:val="24"/>
          <w:lang w:val="es-MX"/>
        </w:rPr>
        <w:t>Universidad</w:t>
      </w:r>
      <w:proofErr w:type="gramEnd"/>
      <w:r w:rsidRPr="00F74CBC">
        <w:rPr>
          <w:rFonts w:ascii="Times New Roman" w:hAnsi="Times New Roman" w:cs="Times New Roman"/>
          <w:color w:val="000000" w:themeColor="text1"/>
          <w:sz w:val="24"/>
          <w:szCs w:val="24"/>
          <w:lang w:val="es-MX"/>
        </w:rPr>
        <w:t xml:space="preserve"> de Guadalajara. Reglamento de Responsabilidades Vinculadas con el Ejercicio de los Recursos de la Universidad de Guadalajara. Versión de marzo de 2022. Ámbito y competencias, arts. 1–3.</w:t>
      </w:r>
      <w:bookmarkEnd w:id="1"/>
    </w:p>
    <w:p w14:paraId="23F5AA2D" w14:textId="77777777" w:rsidR="00A31FB8" w:rsidRPr="00F74CBC" w:rsidRDefault="000C42FC">
      <w:pPr>
        <w:spacing w:after="100"/>
        <w:rPr>
          <w:rFonts w:ascii="Times New Roman" w:hAnsi="Times New Roman" w:cs="Times New Roman"/>
          <w:color w:val="000000" w:themeColor="text1"/>
          <w:sz w:val="24"/>
          <w:szCs w:val="24"/>
          <w:lang w:val="es-MX"/>
        </w:rPr>
      </w:pPr>
      <w:hyperlink r:id="rId10">
        <w:r w:rsidRPr="00F74CBC">
          <w:rPr>
            <w:rFonts w:ascii="Times New Roman" w:hAnsi="Times New Roman" w:cs="Times New Roman"/>
            <w:color w:val="000000" w:themeColor="text1"/>
            <w:sz w:val="24"/>
            <w:szCs w:val="24"/>
            <w:u w:val="single"/>
            <w:lang w:val="es-MX"/>
          </w:rPr>
          <w:t>Reglamento sobre recursos universitarios</w:t>
        </w:r>
      </w:hyperlink>
    </w:p>
    <w:p w14:paraId="228E4822" w14:textId="77777777" w:rsidR="00A31FB8" w:rsidRPr="00F74CBC" w:rsidRDefault="000C42FC">
      <w:pPr>
        <w:keepNext/>
        <w:spacing w:before="160" w:after="60"/>
        <w:rPr>
          <w:rFonts w:ascii="Times New Roman" w:hAnsi="Times New Roman" w:cs="Times New Roman"/>
          <w:color w:val="000000" w:themeColor="text1"/>
          <w:sz w:val="24"/>
          <w:szCs w:val="24"/>
          <w:lang w:val="es-MX"/>
        </w:rPr>
      </w:pPr>
      <w:bookmarkStart w:id="2" w:name="S03"/>
      <w:r w:rsidRPr="00F74CBC">
        <w:rPr>
          <w:rFonts w:ascii="Times New Roman" w:hAnsi="Times New Roman" w:cs="Times New Roman"/>
          <w:b/>
          <w:color w:val="000000" w:themeColor="text1"/>
          <w:sz w:val="24"/>
          <w:szCs w:val="24"/>
          <w:lang w:val="es-MX"/>
        </w:rPr>
        <w:t>S</w:t>
      </w:r>
      <w:proofErr w:type="gramStart"/>
      <w:r w:rsidRPr="00F74CBC">
        <w:rPr>
          <w:rFonts w:ascii="Times New Roman" w:hAnsi="Times New Roman" w:cs="Times New Roman"/>
          <w:b/>
          <w:color w:val="000000" w:themeColor="text1"/>
          <w:sz w:val="24"/>
          <w:szCs w:val="24"/>
          <w:lang w:val="es-MX"/>
        </w:rPr>
        <w:t xml:space="preserve">03  </w:t>
      </w:r>
      <w:r w:rsidRPr="00F74CBC">
        <w:rPr>
          <w:rFonts w:ascii="Times New Roman" w:hAnsi="Times New Roman" w:cs="Times New Roman"/>
          <w:color w:val="000000" w:themeColor="text1"/>
          <w:sz w:val="24"/>
          <w:szCs w:val="24"/>
          <w:lang w:val="es-MX"/>
        </w:rPr>
        <w:t>Contraloría</w:t>
      </w:r>
      <w:proofErr w:type="gramEnd"/>
      <w:r w:rsidRPr="00F74CBC">
        <w:rPr>
          <w:rFonts w:ascii="Times New Roman" w:hAnsi="Times New Roman" w:cs="Times New Roman"/>
          <w:color w:val="000000" w:themeColor="text1"/>
          <w:sz w:val="24"/>
          <w:szCs w:val="24"/>
          <w:lang w:val="es-MX"/>
        </w:rPr>
        <w:t xml:space="preserve"> General de la Universidad de Guadalajara. Denuncias. Sin fecha. Canal de recursos universitarios y remisión de otras faltas a Primer Contacto.</w:t>
      </w:r>
      <w:bookmarkEnd w:id="2"/>
    </w:p>
    <w:p w14:paraId="4771F447" w14:textId="77777777" w:rsidR="00A31FB8" w:rsidRPr="00F74CBC" w:rsidRDefault="000C42FC">
      <w:pPr>
        <w:spacing w:after="100"/>
        <w:rPr>
          <w:rFonts w:ascii="Times New Roman" w:hAnsi="Times New Roman" w:cs="Times New Roman"/>
          <w:color w:val="000000" w:themeColor="text1"/>
          <w:sz w:val="24"/>
          <w:szCs w:val="24"/>
          <w:lang w:val="es-MX"/>
        </w:rPr>
      </w:pPr>
      <w:hyperlink r:id="rId11">
        <w:r w:rsidRPr="00F74CBC">
          <w:rPr>
            <w:rFonts w:ascii="Times New Roman" w:hAnsi="Times New Roman" w:cs="Times New Roman"/>
            <w:color w:val="000000" w:themeColor="text1"/>
            <w:sz w:val="24"/>
            <w:szCs w:val="24"/>
            <w:u w:val="single"/>
            <w:lang w:val="es-MX"/>
          </w:rPr>
          <w:t>Página de denuncias</w:t>
        </w:r>
      </w:hyperlink>
    </w:p>
    <w:p w14:paraId="79B51CE9" w14:textId="77777777" w:rsidR="00A31FB8" w:rsidRPr="00F74CBC" w:rsidRDefault="000C42FC">
      <w:pPr>
        <w:keepNext/>
        <w:spacing w:before="160" w:after="60"/>
        <w:rPr>
          <w:rFonts w:ascii="Times New Roman" w:hAnsi="Times New Roman" w:cs="Times New Roman"/>
          <w:color w:val="000000" w:themeColor="text1"/>
          <w:sz w:val="24"/>
          <w:szCs w:val="24"/>
          <w:lang w:val="es-MX"/>
        </w:rPr>
      </w:pPr>
      <w:bookmarkStart w:id="3" w:name="S04"/>
      <w:r w:rsidRPr="00F74CBC">
        <w:rPr>
          <w:rFonts w:ascii="Times New Roman" w:hAnsi="Times New Roman" w:cs="Times New Roman"/>
          <w:b/>
          <w:color w:val="000000" w:themeColor="text1"/>
          <w:sz w:val="24"/>
          <w:szCs w:val="24"/>
          <w:lang w:val="es-MX"/>
        </w:rPr>
        <w:t>S</w:t>
      </w:r>
      <w:proofErr w:type="gramStart"/>
      <w:r w:rsidRPr="00F74CBC">
        <w:rPr>
          <w:rFonts w:ascii="Times New Roman" w:hAnsi="Times New Roman" w:cs="Times New Roman"/>
          <w:b/>
          <w:color w:val="000000" w:themeColor="text1"/>
          <w:sz w:val="24"/>
          <w:szCs w:val="24"/>
          <w:lang w:val="es-MX"/>
        </w:rPr>
        <w:t xml:space="preserve">04  </w:t>
      </w:r>
      <w:r w:rsidRPr="00F74CBC">
        <w:rPr>
          <w:rFonts w:ascii="Times New Roman" w:hAnsi="Times New Roman" w:cs="Times New Roman"/>
          <w:color w:val="000000" w:themeColor="text1"/>
          <w:sz w:val="24"/>
          <w:szCs w:val="24"/>
          <w:lang w:val="es-MX"/>
        </w:rPr>
        <w:t>Universidad</w:t>
      </w:r>
      <w:proofErr w:type="gramEnd"/>
      <w:r w:rsidRPr="00F74CBC">
        <w:rPr>
          <w:rFonts w:ascii="Times New Roman" w:hAnsi="Times New Roman" w:cs="Times New Roman"/>
          <w:color w:val="000000" w:themeColor="text1"/>
          <w:sz w:val="24"/>
          <w:szCs w:val="24"/>
          <w:lang w:val="es-MX"/>
        </w:rPr>
        <w:t xml:space="preserve"> de Guadalajara. Reglamento General de Evaluación y Promoción de Alumnos. Versión oficial de octubre de 2017. Revisión de evaluación, arts. 49–52.</w:t>
      </w:r>
      <w:bookmarkEnd w:id="3"/>
    </w:p>
    <w:p w14:paraId="3422FDAC" w14:textId="77777777" w:rsidR="00A31FB8" w:rsidRPr="00F74CBC" w:rsidRDefault="000C42FC">
      <w:pPr>
        <w:spacing w:after="100"/>
        <w:rPr>
          <w:rFonts w:ascii="Times New Roman" w:hAnsi="Times New Roman" w:cs="Times New Roman"/>
          <w:color w:val="000000" w:themeColor="text1"/>
          <w:sz w:val="24"/>
          <w:szCs w:val="24"/>
          <w:lang w:val="es-MX"/>
        </w:rPr>
      </w:pPr>
      <w:hyperlink r:id="rId12">
        <w:r w:rsidRPr="00F74CBC">
          <w:rPr>
            <w:rFonts w:ascii="Times New Roman" w:hAnsi="Times New Roman" w:cs="Times New Roman"/>
            <w:color w:val="000000" w:themeColor="text1"/>
            <w:sz w:val="24"/>
            <w:szCs w:val="24"/>
            <w:u w:val="single"/>
            <w:lang w:val="es-MX"/>
          </w:rPr>
          <w:t>Reglamento de evaluación</w:t>
        </w:r>
      </w:hyperlink>
    </w:p>
    <w:p w14:paraId="3D6A8008" w14:textId="77777777" w:rsidR="00A31FB8" w:rsidRPr="00F74CBC" w:rsidRDefault="000C42FC">
      <w:pPr>
        <w:keepNext/>
        <w:spacing w:before="160" w:after="60"/>
        <w:rPr>
          <w:rFonts w:ascii="Times New Roman" w:hAnsi="Times New Roman" w:cs="Times New Roman"/>
          <w:color w:val="000000" w:themeColor="text1"/>
          <w:sz w:val="24"/>
          <w:szCs w:val="24"/>
          <w:lang w:val="es-MX"/>
        </w:rPr>
      </w:pPr>
      <w:bookmarkStart w:id="4" w:name="S05"/>
      <w:r w:rsidRPr="00F74CBC">
        <w:rPr>
          <w:rFonts w:ascii="Times New Roman" w:hAnsi="Times New Roman" w:cs="Times New Roman"/>
          <w:b/>
          <w:color w:val="000000" w:themeColor="text1"/>
          <w:sz w:val="24"/>
          <w:szCs w:val="24"/>
          <w:lang w:val="es-MX"/>
        </w:rPr>
        <w:t>S</w:t>
      </w:r>
      <w:proofErr w:type="gramStart"/>
      <w:r w:rsidRPr="00F74CBC">
        <w:rPr>
          <w:rFonts w:ascii="Times New Roman" w:hAnsi="Times New Roman" w:cs="Times New Roman"/>
          <w:b/>
          <w:color w:val="000000" w:themeColor="text1"/>
          <w:sz w:val="24"/>
          <w:szCs w:val="24"/>
          <w:lang w:val="es-MX"/>
        </w:rPr>
        <w:t xml:space="preserve">05  </w:t>
      </w:r>
      <w:r w:rsidRPr="00F74CBC">
        <w:rPr>
          <w:rFonts w:ascii="Times New Roman" w:hAnsi="Times New Roman" w:cs="Times New Roman"/>
          <w:color w:val="000000" w:themeColor="text1"/>
          <w:sz w:val="24"/>
          <w:szCs w:val="24"/>
          <w:lang w:val="es-MX"/>
        </w:rPr>
        <w:t>Centro</w:t>
      </w:r>
      <w:proofErr w:type="gramEnd"/>
      <w:r w:rsidRPr="00F74CBC">
        <w:rPr>
          <w:rFonts w:ascii="Times New Roman" w:hAnsi="Times New Roman" w:cs="Times New Roman"/>
          <w:color w:val="000000" w:themeColor="text1"/>
          <w:sz w:val="24"/>
          <w:szCs w:val="24"/>
          <w:lang w:val="es-MX"/>
        </w:rPr>
        <w:t xml:space="preserve"> Universitario de Tonalá. Unidad de Primer Contacto. Sin fecha. Presentación, funciones y atención presencial.</w:t>
      </w:r>
      <w:bookmarkEnd w:id="4"/>
    </w:p>
    <w:p w14:paraId="39BE96DC" w14:textId="77777777" w:rsidR="00A31FB8" w:rsidRPr="00F74CBC" w:rsidRDefault="000C42FC">
      <w:pPr>
        <w:spacing w:after="100"/>
        <w:rPr>
          <w:rFonts w:ascii="Times New Roman" w:hAnsi="Times New Roman" w:cs="Times New Roman"/>
          <w:color w:val="000000" w:themeColor="text1"/>
          <w:sz w:val="24"/>
          <w:szCs w:val="24"/>
          <w:lang w:val="es-MX"/>
        </w:rPr>
      </w:pPr>
      <w:hyperlink r:id="rId13">
        <w:r w:rsidRPr="00F74CBC">
          <w:rPr>
            <w:rFonts w:ascii="Times New Roman" w:hAnsi="Times New Roman" w:cs="Times New Roman"/>
            <w:color w:val="000000" w:themeColor="text1"/>
            <w:sz w:val="24"/>
            <w:szCs w:val="24"/>
            <w:u w:val="single"/>
            <w:lang w:val="es-MX"/>
          </w:rPr>
          <w:t xml:space="preserve">Primer Contacto </w:t>
        </w:r>
        <w:proofErr w:type="spellStart"/>
        <w:r w:rsidRPr="00F74CBC">
          <w:rPr>
            <w:rFonts w:ascii="Times New Roman" w:hAnsi="Times New Roman" w:cs="Times New Roman"/>
            <w:color w:val="000000" w:themeColor="text1"/>
            <w:sz w:val="24"/>
            <w:szCs w:val="24"/>
            <w:u w:val="single"/>
            <w:lang w:val="es-MX"/>
          </w:rPr>
          <w:t>CUTonalá</w:t>
        </w:r>
        <w:proofErr w:type="spellEnd"/>
      </w:hyperlink>
    </w:p>
    <w:p w14:paraId="5FAE5B99" w14:textId="77777777" w:rsidR="00A31FB8" w:rsidRPr="00F74CBC" w:rsidRDefault="000C42FC">
      <w:pPr>
        <w:keepNext/>
        <w:spacing w:before="160" w:after="60"/>
        <w:rPr>
          <w:rFonts w:ascii="Times New Roman" w:hAnsi="Times New Roman" w:cs="Times New Roman"/>
          <w:color w:val="000000" w:themeColor="text1"/>
          <w:sz w:val="24"/>
          <w:szCs w:val="24"/>
          <w:lang w:val="es-MX"/>
        </w:rPr>
      </w:pPr>
      <w:bookmarkStart w:id="5" w:name="S06"/>
      <w:r w:rsidRPr="00F74CBC">
        <w:rPr>
          <w:rFonts w:ascii="Times New Roman" w:hAnsi="Times New Roman" w:cs="Times New Roman"/>
          <w:b/>
          <w:color w:val="000000" w:themeColor="text1"/>
          <w:sz w:val="24"/>
          <w:szCs w:val="24"/>
          <w:lang w:val="es-MX"/>
        </w:rPr>
        <w:t>S</w:t>
      </w:r>
      <w:proofErr w:type="gramStart"/>
      <w:r w:rsidRPr="00F74CBC">
        <w:rPr>
          <w:rFonts w:ascii="Times New Roman" w:hAnsi="Times New Roman" w:cs="Times New Roman"/>
          <w:b/>
          <w:color w:val="000000" w:themeColor="text1"/>
          <w:sz w:val="24"/>
          <w:szCs w:val="24"/>
          <w:lang w:val="es-MX"/>
        </w:rPr>
        <w:t xml:space="preserve">06  </w:t>
      </w:r>
      <w:r w:rsidRPr="00F74CBC">
        <w:rPr>
          <w:rFonts w:ascii="Times New Roman" w:hAnsi="Times New Roman" w:cs="Times New Roman"/>
          <w:color w:val="000000" w:themeColor="text1"/>
          <w:sz w:val="24"/>
          <w:szCs w:val="24"/>
          <w:lang w:val="es-MX"/>
        </w:rPr>
        <w:t>Centro</w:t>
      </w:r>
      <w:proofErr w:type="gramEnd"/>
      <w:r w:rsidRPr="00F74CBC">
        <w:rPr>
          <w:rFonts w:ascii="Times New Roman" w:hAnsi="Times New Roman" w:cs="Times New Roman"/>
          <w:color w:val="000000" w:themeColor="text1"/>
          <w:sz w:val="24"/>
          <w:szCs w:val="24"/>
          <w:lang w:val="es-MX"/>
        </w:rPr>
        <w:t xml:space="preserve"> Universitario de Tonalá. Directorio de Secretaría Académica. Sin fecha. Secretaría Académica y persona encargada de Primer Contacto.</w:t>
      </w:r>
      <w:bookmarkEnd w:id="5"/>
    </w:p>
    <w:p w14:paraId="3EFCE914" w14:textId="77777777" w:rsidR="00A31FB8" w:rsidRPr="00F74CBC" w:rsidRDefault="000C42FC">
      <w:pPr>
        <w:spacing w:after="100"/>
        <w:rPr>
          <w:rFonts w:ascii="Times New Roman" w:hAnsi="Times New Roman" w:cs="Times New Roman"/>
          <w:color w:val="000000" w:themeColor="text1"/>
          <w:sz w:val="24"/>
          <w:szCs w:val="24"/>
          <w:lang w:val="es-MX"/>
        </w:rPr>
      </w:pPr>
      <w:hyperlink r:id="rId14">
        <w:r w:rsidRPr="00F74CBC">
          <w:rPr>
            <w:rFonts w:ascii="Times New Roman" w:hAnsi="Times New Roman" w:cs="Times New Roman"/>
            <w:color w:val="000000" w:themeColor="text1"/>
            <w:sz w:val="24"/>
            <w:szCs w:val="24"/>
            <w:u w:val="single"/>
            <w:lang w:val="es-MX"/>
          </w:rPr>
          <w:t>Directorio de Secretaría Académica</w:t>
        </w:r>
      </w:hyperlink>
    </w:p>
    <w:p w14:paraId="07867EB5" w14:textId="77777777" w:rsidR="00A31FB8" w:rsidRPr="00F74CBC" w:rsidRDefault="000C42FC">
      <w:pPr>
        <w:keepNext/>
        <w:spacing w:before="160" w:after="60"/>
        <w:rPr>
          <w:rFonts w:ascii="Times New Roman" w:hAnsi="Times New Roman" w:cs="Times New Roman"/>
          <w:color w:val="000000" w:themeColor="text1"/>
          <w:sz w:val="24"/>
          <w:szCs w:val="24"/>
          <w:lang w:val="es-MX"/>
        </w:rPr>
      </w:pPr>
      <w:bookmarkStart w:id="6" w:name="S07"/>
      <w:r w:rsidRPr="00F74CBC">
        <w:rPr>
          <w:rFonts w:ascii="Times New Roman" w:hAnsi="Times New Roman" w:cs="Times New Roman"/>
          <w:b/>
          <w:color w:val="000000" w:themeColor="text1"/>
          <w:sz w:val="24"/>
          <w:szCs w:val="24"/>
          <w:lang w:val="es-MX"/>
        </w:rPr>
        <w:t>S</w:t>
      </w:r>
      <w:proofErr w:type="gramStart"/>
      <w:r w:rsidRPr="00F74CBC">
        <w:rPr>
          <w:rFonts w:ascii="Times New Roman" w:hAnsi="Times New Roman" w:cs="Times New Roman"/>
          <w:b/>
          <w:color w:val="000000" w:themeColor="text1"/>
          <w:sz w:val="24"/>
          <w:szCs w:val="24"/>
          <w:lang w:val="es-MX"/>
        </w:rPr>
        <w:t xml:space="preserve">07  </w:t>
      </w:r>
      <w:r w:rsidRPr="00F74CBC">
        <w:rPr>
          <w:rFonts w:ascii="Times New Roman" w:hAnsi="Times New Roman" w:cs="Times New Roman"/>
          <w:color w:val="000000" w:themeColor="text1"/>
          <w:sz w:val="24"/>
          <w:szCs w:val="24"/>
          <w:lang w:val="es-MX"/>
        </w:rPr>
        <w:t>Centro</w:t>
      </w:r>
      <w:proofErr w:type="gramEnd"/>
      <w:r w:rsidRPr="00F74CBC">
        <w:rPr>
          <w:rFonts w:ascii="Times New Roman" w:hAnsi="Times New Roman" w:cs="Times New Roman"/>
          <w:color w:val="000000" w:themeColor="text1"/>
          <w:sz w:val="24"/>
          <w:szCs w:val="24"/>
          <w:lang w:val="es-MX"/>
        </w:rPr>
        <w:t xml:space="preserve"> Universitario de Tonalá. Directorios institucionales. Sin fecha. Se contrastaron los datos del enlace de la Defensoría y teléfonos; se conservaron las discrepancias.</w:t>
      </w:r>
      <w:bookmarkEnd w:id="6"/>
    </w:p>
    <w:p w14:paraId="4DB7A272" w14:textId="77777777" w:rsidR="00A31FB8" w:rsidRPr="00F74CBC" w:rsidRDefault="000C42FC">
      <w:pPr>
        <w:spacing w:after="100"/>
        <w:rPr>
          <w:rFonts w:ascii="Times New Roman" w:hAnsi="Times New Roman" w:cs="Times New Roman"/>
          <w:color w:val="000000" w:themeColor="text1"/>
          <w:sz w:val="24"/>
          <w:szCs w:val="24"/>
          <w:lang w:val="es-MX"/>
        </w:rPr>
      </w:pPr>
      <w:hyperlink r:id="rId15">
        <w:r w:rsidRPr="00F74CBC">
          <w:rPr>
            <w:rFonts w:ascii="Times New Roman" w:hAnsi="Times New Roman" w:cs="Times New Roman"/>
            <w:color w:val="000000" w:themeColor="text1"/>
            <w:sz w:val="24"/>
            <w:szCs w:val="24"/>
            <w:u w:val="single"/>
            <w:lang w:val="es-MX"/>
          </w:rPr>
          <w:t>Directorio CUT</w:t>
        </w:r>
      </w:hyperlink>
      <w:r w:rsidRPr="00F74CBC">
        <w:rPr>
          <w:rFonts w:ascii="Times New Roman" w:hAnsi="Times New Roman" w:cs="Times New Roman"/>
          <w:color w:val="000000" w:themeColor="text1"/>
          <w:sz w:val="24"/>
          <w:szCs w:val="24"/>
          <w:lang w:val="es-MX"/>
        </w:rPr>
        <w:t xml:space="preserve">  ·  </w:t>
      </w:r>
      <w:hyperlink r:id="rId16">
        <w:r w:rsidRPr="00F74CBC">
          <w:rPr>
            <w:rFonts w:ascii="Times New Roman" w:hAnsi="Times New Roman" w:cs="Times New Roman"/>
            <w:color w:val="000000" w:themeColor="text1"/>
            <w:sz w:val="24"/>
            <w:szCs w:val="24"/>
            <w:u w:val="single"/>
            <w:lang w:val="es-MX"/>
          </w:rPr>
          <w:t>Directorio por áreas</w:t>
        </w:r>
      </w:hyperlink>
    </w:p>
    <w:p w14:paraId="18DFCE33" w14:textId="77777777" w:rsidR="00A31FB8" w:rsidRPr="00F74CBC" w:rsidRDefault="000C42FC">
      <w:pPr>
        <w:keepNext/>
        <w:spacing w:before="160" w:after="60"/>
        <w:rPr>
          <w:rFonts w:ascii="Times New Roman" w:hAnsi="Times New Roman" w:cs="Times New Roman"/>
          <w:color w:val="000000" w:themeColor="text1"/>
          <w:sz w:val="24"/>
          <w:szCs w:val="24"/>
          <w:lang w:val="es-MX"/>
        </w:rPr>
      </w:pPr>
      <w:bookmarkStart w:id="7" w:name="S08"/>
      <w:r w:rsidRPr="00F74CBC">
        <w:rPr>
          <w:rFonts w:ascii="Times New Roman" w:hAnsi="Times New Roman" w:cs="Times New Roman"/>
          <w:b/>
          <w:color w:val="000000" w:themeColor="text1"/>
          <w:sz w:val="24"/>
          <w:szCs w:val="24"/>
          <w:lang w:val="es-MX"/>
        </w:rPr>
        <w:t>S</w:t>
      </w:r>
      <w:proofErr w:type="gramStart"/>
      <w:r w:rsidRPr="00F74CBC">
        <w:rPr>
          <w:rFonts w:ascii="Times New Roman" w:hAnsi="Times New Roman" w:cs="Times New Roman"/>
          <w:b/>
          <w:color w:val="000000" w:themeColor="text1"/>
          <w:sz w:val="24"/>
          <w:szCs w:val="24"/>
          <w:lang w:val="es-MX"/>
        </w:rPr>
        <w:t xml:space="preserve">08  </w:t>
      </w:r>
      <w:r w:rsidRPr="00F74CBC">
        <w:rPr>
          <w:rFonts w:ascii="Times New Roman" w:hAnsi="Times New Roman" w:cs="Times New Roman"/>
          <w:color w:val="000000" w:themeColor="text1"/>
          <w:sz w:val="24"/>
          <w:szCs w:val="24"/>
          <w:lang w:val="es-MX"/>
        </w:rPr>
        <w:t>Unidad</w:t>
      </w:r>
      <w:proofErr w:type="gramEnd"/>
      <w:r w:rsidRPr="00F74CBC">
        <w:rPr>
          <w:rFonts w:ascii="Times New Roman" w:hAnsi="Times New Roman" w:cs="Times New Roman"/>
          <w:color w:val="000000" w:themeColor="text1"/>
          <w:sz w:val="24"/>
          <w:szCs w:val="24"/>
          <w:lang w:val="es-MX"/>
        </w:rPr>
        <w:t xml:space="preserve"> para la Igualdad de la UDG. Directorio de primeros contactos. Sin fecha. Sección </w:t>
      </w:r>
      <w:proofErr w:type="spellStart"/>
      <w:r w:rsidRPr="00F74CBC">
        <w:rPr>
          <w:rFonts w:ascii="Times New Roman" w:hAnsi="Times New Roman" w:cs="Times New Roman"/>
          <w:color w:val="000000" w:themeColor="text1"/>
          <w:sz w:val="24"/>
          <w:szCs w:val="24"/>
          <w:lang w:val="es-MX"/>
        </w:rPr>
        <w:t>CUTonalá</w:t>
      </w:r>
      <w:proofErr w:type="spellEnd"/>
      <w:r w:rsidRPr="00F74CBC">
        <w:rPr>
          <w:rFonts w:ascii="Times New Roman" w:hAnsi="Times New Roman" w:cs="Times New Roman"/>
          <w:color w:val="000000" w:themeColor="text1"/>
          <w:sz w:val="24"/>
          <w:szCs w:val="24"/>
          <w:lang w:val="es-MX"/>
        </w:rPr>
        <w:t>: personas, horarios, ubicación y teléfono publicado.</w:t>
      </w:r>
      <w:bookmarkEnd w:id="7"/>
    </w:p>
    <w:p w14:paraId="5CF64BC0" w14:textId="77777777" w:rsidR="00A31FB8" w:rsidRPr="00F74CBC" w:rsidRDefault="000C42FC">
      <w:pPr>
        <w:spacing w:after="100"/>
        <w:rPr>
          <w:rFonts w:ascii="Times New Roman" w:hAnsi="Times New Roman" w:cs="Times New Roman"/>
          <w:color w:val="000000" w:themeColor="text1"/>
          <w:sz w:val="24"/>
          <w:szCs w:val="24"/>
          <w:lang w:val="es-MX"/>
        </w:rPr>
      </w:pPr>
      <w:hyperlink r:id="rId17">
        <w:r w:rsidRPr="00F74CBC">
          <w:rPr>
            <w:rFonts w:ascii="Times New Roman" w:hAnsi="Times New Roman" w:cs="Times New Roman"/>
            <w:color w:val="000000" w:themeColor="text1"/>
            <w:sz w:val="24"/>
            <w:szCs w:val="24"/>
            <w:u w:val="single"/>
            <w:lang w:val="es-MX"/>
          </w:rPr>
          <w:t>Directorio central de primeros contactos</w:t>
        </w:r>
      </w:hyperlink>
    </w:p>
    <w:p w14:paraId="6FC4DAB1" w14:textId="77777777" w:rsidR="00A31FB8" w:rsidRPr="00F74CBC" w:rsidRDefault="000C42FC">
      <w:pPr>
        <w:keepNext/>
        <w:spacing w:before="160" w:after="60"/>
        <w:rPr>
          <w:rFonts w:ascii="Times New Roman" w:hAnsi="Times New Roman" w:cs="Times New Roman"/>
          <w:color w:val="000000" w:themeColor="text1"/>
          <w:sz w:val="24"/>
          <w:szCs w:val="24"/>
          <w:lang w:val="es-MX"/>
        </w:rPr>
      </w:pPr>
      <w:bookmarkStart w:id="8" w:name="S09"/>
      <w:r w:rsidRPr="00F74CBC">
        <w:rPr>
          <w:rFonts w:ascii="Times New Roman" w:hAnsi="Times New Roman" w:cs="Times New Roman"/>
          <w:b/>
          <w:color w:val="000000" w:themeColor="text1"/>
          <w:sz w:val="24"/>
          <w:szCs w:val="24"/>
          <w:lang w:val="es-MX"/>
        </w:rPr>
        <w:t>S</w:t>
      </w:r>
      <w:proofErr w:type="gramStart"/>
      <w:r w:rsidRPr="00F74CBC">
        <w:rPr>
          <w:rFonts w:ascii="Times New Roman" w:hAnsi="Times New Roman" w:cs="Times New Roman"/>
          <w:b/>
          <w:color w:val="000000" w:themeColor="text1"/>
          <w:sz w:val="24"/>
          <w:szCs w:val="24"/>
          <w:lang w:val="es-MX"/>
        </w:rPr>
        <w:t xml:space="preserve">09  </w:t>
      </w:r>
      <w:r w:rsidRPr="00F74CBC">
        <w:rPr>
          <w:rFonts w:ascii="Times New Roman" w:hAnsi="Times New Roman" w:cs="Times New Roman"/>
          <w:color w:val="000000" w:themeColor="text1"/>
          <w:sz w:val="24"/>
          <w:szCs w:val="24"/>
          <w:lang w:val="es-MX"/>
        </w:rPr>
        <w:t>Defensoría</w:t>
      </w:r>
      <w:proofErr w:type="gramEnd"/>
      <w:r w:rsidRPr="00F74CBC">
        <w:rPr>
          <w:rFonts w:ascii="Times New Roman" w:hAnsi="Times New Roman" w:cs="Times New Roman"/>
          <w:color w:val="000000" w:themeColor="text1"/>
          <w:sz w:val="24"/>
          <w:szCs w:val="24"/>
          <w:lang w:val="es-MX"/>
        </w:rPr>
        <w:t xml:space="preserve"> de los Derechos Universitarios de la UDG. Presentar una queja. Sin fecha. Alcance del servicio, recomendaciones y contacto central.</w:t>
      </w:r>
      <w:bookmarkEnd w:id="8"/>
    </w:p>
    <w:p w14:paraId="6E069F40" w14:textId="77777777" w:rsidR="00A31FB8" w:rsidRPr="00F74CBC" w:rsidRDefault="000C42FC">
      <w:pPr>
        <w:spacing w:after="100"/>
        <w:rPr>
          <w:rFonts w:ascii="Times New Roman" w:hAnsi="Times New Roman" w:cs="Times New Roman"/>
          <w:color w:val="000000" w:themeColor="text1"/>
          <w:sz w:val="24"/>
          <w:szCs w:val="24"/>
          <w:lang w:val="es-MX"/>
        </w:rPr>
      </w:pPr>
      <w:hyperlink r:id="rId18">
        <w:r w:rsidRPr="00F74CBC">
          <w:rPr>
            <w:rFonts w:ascii="Times New Roman" w:hAnsi="Times New Roman" w:cs="Times New Roman"/>
            <w:color w:val="000000" w:themeColor="text1"/>
            <w:sz w:val="24"/>
            <w:szCs w:val="24"/>
            <w:u w:val="single"/>
            <w:lang w:val="es-MX"/>
          </w:rPr>
          <w:t>Quejas ante la Defensoría</w:t>
        </w:r>
      </w:hyperlink>
    </w:p>
    <w:p w14:paraId="0F184A45" w14:textId="77777777" w:rsidR="00A31FB8" w:rsidRPr="00F74CBC" w:rsidRDefault="000C42FC">
      <w:pPr>
        <w:keepNext/>
        <w:spacing w:before="160" w:after="60"/>
        <w:rPr>
          <w:rFonts w:ascii="Times New Roman" w:hAnsi="Times New Roman" w:cs="Times New Roman"/>
          <w:color w:val="000000" w:themeColor="text1"/>
          <w:sz w:val="24"/>
          <w:szCs w:val="24"/>
          <w:lang w:val="es-MX"/>
        </w:rPr>
      </w:pPr>
      <w:bookmarkStart w:id="9" w:name="S10"/>
      <w:r w:rsidRPr="00F74CBC">
        <w:rPr>
          <w:rFonts w:ascii="Times New Roman" w:hAnsi="Times New Roman" w:cs="Times New Roman"/>
          <w:b/>
          <w:color w:val="000000" w:themeColor="text1"/>
          <w:sz w:val="24"/>
          <w:szCs w:val="24"/>
          <w:lang w:val="es-MX"/>
        </w:rPr>
        <w:lastRenderedPageBreak/>
        <w:t>S</w:t>
      </w:r>
      <w:proofErr w:type="gramStart"/>
      <w:r w:rsidRPr="00F74CBC">
        <w:rPr>
          <w:rFonts w:ascii="Times New Roman" w:hAnsi="Times New Roman" w:cs="Times New Roman"/>
          <w:b/>
          <w:color w:val="000000" w:themeColor="text1"/>
          <w:sz w:val="24"/>
          <w:szCs w:val="24"/>
          <w:lang w:val="es-MX"/>
        </w:rPr>
        <w:t xml:space="preserve">10  </w:t>
      </w:r>
      <w:r w:rsidRPr="00F74CBC">
        <w:rPr>
          <w:rFonts w:ascii="Times New Roman" w:hAnsi="Times New Roman" w:cs="Times New Roman"/>
          <w:color w:val="000000" w:themeColor="text1"/>
          <w:sz w:val="24"/>
          <w:szCs w:val="24"/>
          <w:lang w:val="es-MX"/>
        </w:rPr>
        <w:t>Centro</w:t>
      </w:r>
      <w:proofErr w:type="gramEnd"/>
      <w:r w:rsidRPr="00F74CBC">
        <w:rPr>
          <w:rFonts w:ascii="Times New Roman" w:hAnsi="Times New Roman" w:cs="Times New Roman"/>
          <w:color w:val="000000" w:themeColor="text1"/>
          <w:sz w:val="24"/>
          <w:szCs w:val="24"/>
          <w:lang w:val="es-MX"/>
        </w:rPr>
        <w:t xml:space="preserve"> Universitario de Tonalá. ¿Qué es la Unidad de Orientación Educativa? Sin fecha. Orientación psicológica, solicitud e intervención presencial en crisis.</w:t>
      </w:r>
      <w:bookmarkEnd w:id="9"/>
    </w:p>
    <w:p w14:paraId="31E601D3" w14:textId="77777777" w:rsidR="00A31FB8" w:rsidRPr="00F74CBC" w:rsidRDefault="000C42FC">
      <w:pPr>
        <w:spacing w:after="100"/>
        <w:rPr>
          <w:rFonts w:ascii="Times New Roman" w:hAnsi="Times New Roman" w:cs="Times New Roman"/>
          <w:color w:val="000000" w:themeColor="text1"/>
          <w:sz w:val="24"/>
          <w:szCs w:val="24"/>
          <w:lang w:val="es-MX"/>
        </w:rPr>
      </w:pPr>
      <w:hyperlink r:id="rId19">
        <w:r w:rsidRPr="00F74CBC">
          <w:rPr>
            <w:rFonts w:ascii="Times New Roman" w:hAnsi="Times New Roman" w:cs="Times New Roman"/>
            <w:color w:val="000000" w:themeColor="text1"/>
            <w:sz w:val="24"/>
            <w:szCs w:val="24"/>
            <w:u w:val="single"/>
            <w:lang w:val="es-MX"/>
          </w:rPr>
          <w:t>Servicios de Orientación Educativa</w:t>
        </w:r>
      </w:hyperlink>
    </w:p>
    <w:p w14:paraId="5FE0BD70" w14:textId="77777777" w:rsidR="00A31FB8" w:rsidRPr="00F74CBC" w:rsidRDefault="000C42FC">
      <w:pPr>
        <w:keepNext/>
        <w:spacing w:before="160" w:after="60"/>
        <w:rPr>
          <w:rFonts w:ascii="Times New Roman" w:hAnsi="Times New Roman" w:cs="Times New Roman"/>
          <w:color w:val="000000" w:themeColor="text1"/>
          <w:sz w:val="24"/>
          <w:szCs w:val="24"/>
          <w:lang w:val="es-MX"/>
        </w:rPr>
      </w:pPr>
      <w:bookmarkStart w:id="10" w:name="S11"/>
      <w:r w:rsidRPr="00F74CBC">
        <w:rPr>
          <w:rFonts w:ascii="Times New Roman" w:hAnsi="Times New Roman" w:cs="Times New Roman"/>
          <w:b/>
          <w:color w:val="000000" w:themeColor="text1"/>
          <w:sz w:val="24"/>
          <w:szCs w:val="24"/>
          <w:lang w:val="es-MX"/>
        </w:rPr>
        <w:t>S</w:t>
      </w:r>
      <w:proofErr w:type="gramStart"/>
      <w:r w:rsidRPr="00F74CBC">
        <w:rPr>
          <w:rFonts w:ascii="Times New Roman" w:hAnsi="Times New Roman" w:cs="Times New Roman"/>
          <w:b/>
          <w:color w:val="000000" w:themeColor="text1"/>
          <w:sz w:val="24"/>
          <w:szCs w:val="24"/>
          <w:lang w:val="es-MX"/>
        </w:rPr>
        <w:t xml:space="preserve">11  </w:t>
      </w:r>
      <w:r w:rsidRPr="00F74CBC">
        <w:rPr>
          <w:rFonts w:ascii="Times New Roman" w:hAnsi="Times New Roman" w:cs="Times New Roman"/>
          <w:color w:val="000000" w:themeColor="text1"/>
          <w:sz w:val="24"/>
          <w:szCs w:val="24"/>
          <w:lang w:val="es-MX"/>
        </w:rPr>
        <w:t>Centro</w:t>
      </w:r>
      <w:proofErr w:type="gramEnd"/>
      <w:r w:rsidRPr="00F74CBC">
        <w:rPr>
          <w:rFonts w:ascii="Times New Roman" w:hAnsi="Times New Roman" w:cs="Times New Roman"/>
          <w:color w:val="000000" w:themeColor="text1"/>
          <w:sz w:val="24"/>
          <w:szCs w:val="24"/>
          <w:lang w:val="es-MX"/>
        </w:rPr>
        <w:t xml:space="preserve"> Universitario de Tonalá. Directorios de coordinaciones de carrera y de la División de Ingenierías e Innovación Tecnológica. Sin fecha. Contactos de ICC, división y departamento.</w:t>
      </w:r>
      <w:bookmarkEnd w:id="10"/>
    </w:p>
    <w:p w14:paraId="4BD05DF5" w14:textId="77777777" w:rsidR="00A31FB8" w:rsidRPr="00F74CBC" w:rsidRDefault="000C42FC">
      <w:pPr>
        <w:spacing w:after="100"/>
        <w:rPr>
          <w:rFonts w:ascii="Times New Roman" w:hAnsi="Times New Roman" w:cs="Times New Roman"/>
          <w:color w:val="000000" w:themeColor="text1"/>
          <w:sz w:val="24"/>
          <w:szCs w:val="24"/>
          <w:lang w:val="es-MX"/>
        </w:rPr>
      </w:pPr>
      <w:hyperlink r:id="rId20">
        <w:r w:rsidRPr="00F74CBC">
          <w:rPr>
            <w:rFonts w:ascii="Times New Roman" w:hAnsi="Times New Roman" w:cs="Times New Roman"/>
            <w:color w:val="000000" w:themeColor="text1"/>
            <w:sz w:val="24"/>
            <w:szCs w:val="24"/>
            <w:u w:val="single"/>
            <w:lang w:val="es-MX"/>
          </w:rPr>
          <w:t>Coordinaciones de carrera</w:t>
        </w:r>
      </w:hyperlink>
      <w:r w:rsidRPr="00F74CBC">
        <w:rPr>
          <w:rFonts w:ascii="Times New Roman" w:hAnsi="Times New Roman" w:cs="Times New Roman"/>
          <w:color w:val="000000" w:themeColor="text1"/>
          <w:sz w:val="24"/>
          <w:szCs w:val="24"/>
          <w:lang w:val="es-MX"/>
        </w:rPr>
        <w:t xml:space="preserve">  ·  </w:t>
      </w:r>
      <w:hyperlink r:id="rId21">
        <w:r w:rsidRPr="00F74CBC">
          <w:rPr>
            <w:rFonts w:ascii="Times New Roman" w:hAnsi="Times New Roman" w:cs="Times New Roman"/>
            <w:color w:val="000000" w:themeColor="text1"/>
            <w:sz w:val="24"/>
            <w:szCs w:val="24"/>
            <w:u w:val="single"/>
            <w:lang w:val="es-MX"/>
          </w:rPr>
          <w:t>División y departamentos</w:t>
        </w:r>
      </w:hyperlink>
    </w:p>
    <w:p w14:paraId="13B16BE7" w14:textId="77777777" w:rsidR="00A31FB8" w:rsidRPr="00F74CBC" w:rsidRDefault="000C42FC">
      <w:pPr>
        <w:keepNext/>
        <w:spacing w:before="160" w:after="60"/>
        <w:rPr>
          <w:rFonts w:ascii="Times New Roman" w:hAnsi="Times New Roman" w:cs="Times New Roman"/>
          <w:color w:val="000000" w:themeColor="text1"/>
          <w:sz w:val="24"/>
          <w:szCs w:val="24"/>
          <w:lang w:val="es-MX"/>
        </w:rPr>
      </w:pPr>
      <w:bookmarkStart w:id="11" w:name="S12"/>
      <w:r w:rsidRPr="00F74CBC">
        <w:rPr>
          <w:rFonts w:ascii="Times New Roman" w:hAnsi="Times New Roman" w:cs="Times New Roman"/>
          <w:b/>
          <w:color w:val="000000" w:themeColor="text1"/>
          <w:sz w:val="24"/>
          <w:szCs w:val="24"/>
          <w:lang w:val="es-MX"/>
        </w:rPr>
        <w:t>S</w:t>
      </w:r>
      <w:proofErr w:type="gramStart"/>
      <w:r w:rsidRPr="00F74CBC">
        <w:rPr>
          <w:rFonts w:ascii="Times New Roman" w:hAnsi="Times New Roman" w:cs="Times New Roman"/>
          <w:b/>
          <w:color w:val="000000" w:themeColor="text1"/>
          <w:sz w:val="24"/>
          <w:szCs w:val="24"/>
          <w:lang w:val="es-MX"/>
        </w:rPr>
        <w:t xml:space="preserve">12  </w:t>
      </w:r>
      <w:r w:rsidRPr="00F74CBC">
        <w:rPr>
          <w:rFonts w:ascii="Times New Roman" w:hAnsi="Times New Roman" w:cs="Times New Roman"/>
          <w:color w:val="000000" w:themeColor="text1"/>
          <w:sz w:val="24"/>
          <w:szCs w:val="24"/>
          <w:lang w:val="es-MX"/>
        </w:rPr>
        <w:t>Cámara</w:t>
      </w:r>
      <w:proofErr w:type="gramEnd"/>
      <w:r w:rsidRPr="00F74CBC">
        <w:rPr>
          <w:rFonts w:ascii="Times New Roman" w:hAnsi="Times New Roman" w:cs="Times New Roman"/>
          <w:color w:val="000000" w:themeColor="text1"/>
          <w:sz w:val="24"/>
          <w:szCs w:val="24"/>
          <w:lang w:val="es-MX"/>
        </w:rPr>
        <w:t xml:space="preserve"> de Diputados del H. Congreso de la Unión. Ley General de Responsabilidades Administrativas. Texto consultado con última reforma publicada el 15 de diciembre de 2025. Arts. 9–12, 52 y 66.</w:t>
      </w:r>
      <w:bookmarkEnd w:id="11"/>
    </w:p>
    <w:p w14:paraId="188545FA" w14:textId="77777777" w:rsidR="00A31FB8" w:rsidRPr="00F74CBC" w:rsidRDefault="000C42FC">
      <w:pPr>
        <w:spacing w:after="100"/>
        <w:rPr>
          <w:rFonts w:ascii="Times New Roman" w:hAnsi="Times New Roman" w:cs="Times New Roman"/>
          <w:color w:val="000000" w:themeColor="text1"/>
          <w:sz w:val="24"/>
          <w:szCs w:val="24"/>
          <w:lang w:val="es-MX"/>
        </w:rPr>
      </w:pPr>
      <w:hyperlink r:id="rId22">
        <w:r w:rsidRPr="00F74CBC">
          <w:rPr>
            <w:rFonts w:ascii="Times New Roman" w:hAnsi="Times New Roman" w:cs="Times New Roman"/>
            <w:color w:val="000000" w:themeColor="text1"/>
            <w:sz w:val="24"/>
            <w:szCs w:val="24"/>
            <w:u w:val="single"/>
            <w:lang w:val="es-MX"/>
          </w:rPr>
          <w:t>Ley General de Responsabilidades Administrativas</w:t>
        </w:r>
      </w:hyperlink>
    </w:p>
    <w:p w14:paraId="4BDA3F1E" w14:textId="77777777" w:rsidR="00A31FB8" w:rsidRPr="00F74CBC" w:rsidRDefault="000C42FC">
      <w:pPr>
        <w:keepNext/>
        <w:spacing w:before="160" w:after="60"/>
        <w:rPr>
          <w:rFonts w:ascii="Times New Roman" w:hAnsi="Times New Roman" w:cs="Times New Roman"/>
          <w:color w:val="000000" w:themeColor="text1"/>
          <w:sz w:val="24"/>
          <w:szCs w:val="24"/>
          <w:lang w:val="es-MX"/>
        </w:rPr>
      </w:pPr>
      <w:bookmarkStart w:id="12" w:name="S13"/>
      <w:r w:rsidRPr="00F74CBC">
        <w:rPr>
          <w:rFonts w:ascii="Times New Roman" w:hAnsi="Times New Roman" w:cs="Times New Roman"/>
          <w:b/>
          <w:color w:val="000000" w:themeColor="text1"/>
          <w:sz w:val="24"/>
          <w:szCs w:val="24"/>
          <w:lang w:val="es-MX"/>
        </w:rPr>
        <w:t>S</w:t>
      </w:r>
      <w:proofErr w:type="gramStart"/>
      <w:r w:rsidRPr="00F74CBC">
        <w:rPr>
          <w:rFonts w:ascii="Times New Roman" w:hAnsi="Times New Roman" w:cs="Times New Roman"/>
          <w:b/>
          <w:color w:val="000000" w:themeColor="text1"/>
          <w:sz w:val="24"/>
          <w:szCs w:val="24"/>
          <w:lang w:val="es-MX"/>
        </w:rPr>
        <w:t xml:space="preserve">13  </w:t>
      </w:r>
      <w:r w:rsidRPr="00F74CBC">
        <w:rPr>
          <w:rFonts w:ascii="Times New Roman" w:hAnsi="Times New Roman" w:cs="Times New Roman"/>
          <w:color w:val="000000" w:themeColor="text1"/>
          <w:sz w:val="24"/>
          <w:szCs w:val="24"/>
          <w:lang w:val="es-MX"/>
        </w:rPr>
        <w:t>Congreso</w:t>
      </w:r>
      <w:proofErr w:type="gramEnd"/>
      <w:r w:rsidRPr="00F74CBC">
        <w:rPr>
          <w:rFonts w:ascii="Times New Roman" w:hAnsi="Times New Roman" w:cs="Times New Roman"/>
          <w:color w:val="000000" w:themeColor="text1"/>
          <w:sz w:val="24"/>
          <w:szCs w:val="24"/>
          <w:lang w:val="es-MX"/>
        </w:rPr>
        <w:t xml:space="preserve"> del Estado de Jalisco. Código Penal para el Estado Libre y Soberano de Jalisco. Archivo enlazado en el catálogo oficial con terminación 240926; el catálogo registra modificación del 8 de septiembre de 2026. Arts. 144 y 147, páginas 40 y 44 del PDF consultado. El nombre del archivo no se toma como fecha de entrada en vigor.</w:t>
      </w:r>
      <w:bookmarkEnd w:id="12"/>
    </w:p>
    <w:p w14:paraId="0EB43DB0" w14:textId="77777777" w:rsidR="00A31FB8" w:rsidRPr="00F74CBC" w:rsidRDefault="000C42FC">
      <w:pPr>
        <w:spacing w:after="100"/>
        <w:rPr>
          <w:rFonts w:ascii="Times New Roman" w:hAnsi="Times New Roman" w:cs="Times New Roman"/>
          <w:color w:val="000000" w:themeColor="text1"/>
          <w:sz w:val="24"/>
          <w:szCs w:val="24"/>
          <w:lang w:val="es-MX"/>
        </w:rPr>
      </w:pPr>
      <w:hyperlink r:id="rId23">
        <w:r w:rsidRPr="00F74CBC">
          <w:rPr>
            <w:rFonts w:ascii="Times New Roman" w:hAnsi="Times New Roman" w:cs="Times New Roman"/>
            <w:color w:val="000000" w:themeColor="text1"/>
            <w:sz w:val="24"/>
            <w:szCs w:val="24"/>
            <w:u w:val="single"/>
            <w:lang w:val="es-MX"/>
          </w:rPr>
          <w:t>Código Penal en PDF</w:t>
        </w:r>
      </w:hyperlink>
      <w:r w:rsidRPr="00F74CBC">
        <w:rPr>
          <w:rFonts w:ascii="Times New Roman" w:hAnsi="Times New Roman" w:cs="Times New Roman"/>
          <w:color w:val="000000" w:themeColor="text1"/>
          <w:sz w:val="24"/>
          <w:szCs w:val="24"/>
          <w:lang w:val="es-MX"/>
        </w:rPr>
        <w:t xml:space="preserve">  ·  </w:t>
      </w:r>
      <w:hyperlink r:id="rId24">
        <w:r w:rsidRPr="00F74CBC">
          <w:rPr>
            <w:rFonts w:ascii="Times New Roman" w:hAnsi="Times New Roman" w:cs="Times New Roman"/>
            <w:color w:val="000000" w:themeColor="text1"/>
            <w:sz w:val="24"/>
            <w:szCs w:val="24"/>
            <w:u w:val="single"/>
            <w:lang w:val="es-MX"/>
          </w:rPr>
          <w:t>Catálogo oficial de legislación</w:t>
        </w:r>
      </w:hyperlink>
    </w:p>
    <w:p w14:paraId="33AF4FF8" w14:textId="77777777" w:rsidR="00A31FB8" w:rsidRPr="00F74CBC" w:rsidRDefault="000C42FC">
      <w:pPr>
        <w:keepNext/>
        <w:spacing w:before="160" w:after="60"/>
        <w:rPr>
          <w:rFonts w:ascii="Times New Roman" w:hAnsi="Times New Roman" w:cs="Times New Roman"/>
          <w:color w:val="000000" w:themeColor="text1"/>
          <w:sz w:val="24"/>
          <w:szCs w:val="24"/>
          <w:lang w:val="es-MX"/>
        </w:rPr>
      </w:pPr>
      <w:bookmarkStart w:id="13" w:name="S14"/>
      <w:r w:rsidRPr="00F74CBC">
        <w:rPr>
          <w:rFonts w:ascii="Times New Roman" w:hAnsi="Times New Roman" w:cs="Times New Roman"/>
          <w:b/>
          <w:color w:val="000000" w:themeColor="text1"/>
          <w:sz w:val="24"/>
          <w:szCs w:val="24"/>
          <w:lang w:val="es-MX"/>
        </w:rPr>
        <w:t>S</w:t>
      </w:r>
      <w:proofErr w:type="gramStart"/>
      <w:r w:rsidRPr="00F74CBC">
        <w:rPr>
          <w:rFonts w:ascii="Times New Roman" w:hAnsi="Times New Roman" w:cs="Times New Roman"/>
          <w:b/>
          <w:color w:val="000000" w:themeColor="text1"/>
          <w:sz w:val="24"/>
          <w:szCs w:val="24"/>
          <w:lang w:val="es-MX"/>
        </w:rPr>
        <w:t xml:space="preserve">14  </w:t>
      </w:r>
      <w:r w:rsidRPr="00F74CBC">
        <w:rPr>
          <w:rFonts w:ascii="Times New Roman" w:hAnsi="Times New Roman" w:cs="Times New Roman"/>
          <w:color w:val="000000" w:themeColor="text1"/>
          <w:sz w:val="24"/>
          <w:szCs w:val="24"/>
          <w:lang w:val="es-MX"/>
        </w:rPr>
        <w:t>Congreso</w:t>
      </w:r>
      <w:proofErr w:type="gramEnd"/>
      <w:r w:rsidRPr="00F74CBC">
        <w:rPr>
          <w:rFonts w:ascii="Times New Roman" w:hAnsi="Times New Roman" w:cs="Times New Roman"/>
          <w:color w:val="000000" w:themeColor="text1"/>
          <w:sz w:val="24"/>
          <w:szCs w:val="24"/>
          <w:lang w:val="es-MX"/>
        </w:rPr>
        <w:t xml:space="preserve"> del Estado de Jalisco. Ley de Responsabilidades Políticas y Administrativas del Estado de Jalisco. Archivo oficial con terminación 170323. Arts. 1, 2 y 4.</w:t>
      </w:r>
      <w:bookmarkEnd w:id="13"/>
    </w:p>
    <w:p w14:paraId="679BBE6C" w14:textId="77777777" w:rsidR="00A31FB8" w:rsidRPr="00F74CBC" w:rsidRDefault="000C42FC">
      <w:pPr>
        <w:spacing w:after="100"/>
        <w:rPr>
          <w:rFonts w:ascii="Times New Roman" w:hAnsi="Times New Roman" w:cs="Times New Roman"/>
          <w:color w:val="000000" w:themeColor="text1"/>
          <w:sz w:val="24"/>
          <w:szCs w:val="24"/>
          <w:lang w:val="es-MX"/>
        </w:rPr>
      </w:pPr>
      <w:hyperlink r:id="rId25">
        <w:r w:rsidRPr="00F74CBC">
          <w:rPr>
            <w:rFonts w:ascii="Times New Roman" w:hAnsi="Times New Roman" w:cs="Times New Roman"/>
            <w:color w:val="000000" w:themeColor="text1"/>
            <w:sz w:val="24"/>
            <w:szCs w:val="24"/>
            <w:u w:val="single"/>
            <w:lang w:val="es-MX"/>
          </w:rPr>
          <w:t>Ley estatal de responsabilidades</w:t>
        </w:r>
      </w:hyperlink>
    </w:p>
    <w:p w14:paraId="5CE53390" w14:textId="77777777" w:rsidR="00A31FB8" w:rsidRPr="00F74CBC" w:rsidRDefault="000C42FC">
      <w:pPr>
        <w:keepNext/>
        <w:spacing w:before="160" w:after="60"/>
        <w:rPr>
          <w:rFonts w:ascii="Times New Roman" w:hAnsi="Times New Roman" w:cs="Times New Roman"/>
          <w:color w:val="000000" w:themeColor="text1"/>
          <w:sz w:val="24"/>
          <w:szCs w:val="24"/>
          <w:lang w:val="es-MX"/>
        </w:rPr>
      </w:pPr>
      <w:bookmarkStart w:id="14" w:name="S15"/>
      <w:r w:rsidRPr="00F74CBC">
        <w:rPr>
          <w:rFonts w:ascii="Times New Roman" w:hAnsi="Times New Roman" w:cs="Times New Roman"/>
          <w:b/>
          <w:color w:val="000000" w:themeColor="text1"/>
          <w:sz w:val="24"/>
          <w:szCs w:val="24"/>
          <w:lang w:val="es-MX"/>
        </w:rPr>
        <w:t>S</w:t>
      </w:r>
      <w:proofErr w:type="gramStart"/>
      <w:r w:rsidRPr="00F74CBC">
        <w:rPr>
          <w:rFonts w:ascii="Times New Roman" w:hAnsi="Times New Roman" w:cs="Times New Roman"/>
          <w:b/>
          <w:color w:val="000000" w:themeColor="text1"/>
          <w:sz w:val="24"/>
          <w:szCs w:val="24"/>
          <w:lang w:val="es-MX"/>
        </w:rPr>
        <w:t xml:space="preserve">15  </w:t>
      </w:r>
      <w:r w:rsidRPr="00F74CBC">
        <w:rPr>
          <w:rFonts w:ascii="Times New Roman" w:hAnsi="Times New Roman" w:cs="Times New Roman"/>
          <w:color w:val="000000" w:themeColor="text1"/>
          <w:sz w:val="24"/>
          <w:szCs w:val="24"/>
          <w:lang w:val="es-MX"/>
        </w:rPr>
        <w:t>Congreso</w:t>
      </w:r>
      <w:proofErr w:type="gramEnd"/>
      <w:r w:rsidRPr="00F74CBC">
        <w:rPr>
          <w:rFonts w:ascii="Times New Roman" w:hAnsi="Times New Roman" w:cs="Times New Roman"/>
          <w:color w:val="000000" w:themeColor="text1"/>
          <w:sz w:val="24"/>
          <w:szCs w:val="24"/>
          <w:lang w:val="es-MX"/>
        </w:rPr>
        <w:t xml:space="preserve"> del Estado de Jalisco. Constitución Política del Estado de Jalisco. Archivo oficial con terminación 230926, consultado a través del catálogo legislativo. Arts. 90–92, página 57 del PDF.</w:t>
      </w:r>
      <w:bookmarkEnd w:id="14"/>
    </w:p>
    <w:p w14:paraId="5FF7FE97" w14:textId="77777777" w:rsidR="00A31FB8" w:rsidRPr="00F74CBC" w:rsidRDefault="000C42FC">
      <w:pPr>
        <w:spacing w:after="100"/>
        <w:rPr>
          <w:rFonts w:ascii="Times New Roman" w:hAnsi="Times New Roman" w:cs="Times New Roman"/>
          <w:color w:val="000000" w:themeColor="text1"/>
          <w:sz w:val="24"/>
          <w:szCs w:val="24"/>
          <w:lang w:val="es-MX"/>
        </w:rPr>
      </w:pPr>
      <w:hyperlink r:id="rId26">
        <w:r w:rsidRPr="00F74CBC">
          <w:rPr>
            <w:rFonts w:ascii="Times New Roman" w:hAnsi="Times New Roman" w:cs="Times New Roman"/>
            <w:color w:val="000000" w:themeColor="text1"/>
            <w:sz w:val="24"/>
            <w:szCs w:val="24"/>
            <w:u w:val="single"/>
            <w:lang w:val="es-MX"/>
          </w:rPr>
          <w:t>Constitución de Jalisco</w:t>
        </w:r>
      </w:hyperlink>
    </w:p>
    <w:p w14:paraId="47EEDA8B" w14:textId="77777777" w:rsidR="00A31FB8" w:rsidRPr="00F74CBC" w:rsidRDefault="000C42FC">
      <w:pPr>
        <w:keepNext/>
        <w:spacing w:before="160" w:after="60"/>
        <w:rPr>
          <w:rFonts w:ascii="Times New Roman" w:hAnsi="Times New Roman" w:cs="Times New Roman"/>
          <w:color w:val="000000" w:themeColor="text1"/>
          <w:sz w:val="24"/>
          <w:szCs w:val="24"/>
          <w:lang w:val="es-MX"/>
        </w:rPr>
      </w:pPr>
      <w:bookmarkStart w:id="15" w:name="S16"/>
      <w:r w:rsidRPr="00F74CBC">
        <w:rPr>
          <w:rFonts w:ascii="Times New Roman" w:hAnsi="Times New Roman" w:cs="Times New Roman"/>
          <w:b/>
          <w:color w:val="000000" w:themeColor="text1"/>
          <w:sz w:val="24"/>
          <w:szCs w:val="24"/>
          <w:lang w:val="es-MX"/>
        </w:rPr>
        <w:t>S</w:t>
      </w:r>
      <w:proofErr w:type="gramStart"/>
      <w:r w:rsidRPr="00F74CBC">
        <w:rPr>
          <w:rFonts w:ascii="Times New Roman" w:hAnsi="Times New Roman" w:cs="Times New Roman"/>
          <w:b/>
          <w:color w:val="000000" w:themeColor="text1"/>
          <w:sz w:val="24"/>
          <w:szCs w:val="24"/>
          <w:lang w:val="es-MX"/>
        </w:rPr>
        <w:t xml:space="preserve">16  </w:t>
      </w:r>
      <w:r w:rsidRPr="00F74CBC">
        <w:rPr>
          <w:rFonts w:ascii="Times New Roman" w:hAnsi="Times New Roman" w:cs="Times New Roman"/>
          <w:color w:val="000000" w:themeColor="text1"/>
          <w:sz w:val="24"/>
          <w:szCs w:val="24"/>
          <w:lang w:val="es-MX"/>
        </w:rPr>
        <w:t>Cámara</w:t>
      </w:r>
      <w:proofErr w:type="gramEnd"/>
      <w:r w:rsidRPr="00F74CBC">
        <w:rPr>
          <w:rFonts w:ascii="Times New Roman" w:hAnsi="Times New Roman" w:cs="Times New Roman"/>
          <w:color w:val="000000" w:themeColor="text1"/>
          <w:sz w:val="24"/>
          <w:szCs w:val="24"/>
          <w:lang w:val="es-MX"/>
        </w:rPr>
        <w:t xml:space="preserve"> de Diputados del H. Congreso de la Unión. Código Nacional de Procedimientos Penales. Texto consultado con última reforma publicada el 28 de noviembre de 2025. Arts. 109–110, 137 y 221–224.</w:t>
      </w:r>
      <w:bookmarkEnd w:id="15"/>
    </w:p>
    <w:p w14:paraId="3142F1B8" w14:textId="77777777" w:rsidR="00A31FB8" w:rsidRPr="00F74CBC" w:rsidRDefault="000C42FC">
      <w:pPr>
        <w:spacing w:after="100"/>
        <w:rPr>
          <w:rFonts w:ascii="Times New Roman" w:hAnsi="Times New Roman" w:cs="Times New Roman"/>
          <w:color w:val="000000" w:themeColor="text1"/>
          <w:sz w:val="24"/>
          <w:szCs w:val="24"/>
          <w:lang w:val="es-MX"/>
        </w:rPr>
      </w:pPr>
      <w:hyperlink r:id="rId27">
        <w:r w:rsidRPr="00F74CBC">
          <w:rPr>
            <w:rFonts w:ascii="Times New Roman" w:hAnsi="Times New Roman" w:cs="Times New Roman"/>
            <w:color w:val="000000" w:themeColor="text1"/>
            <w:sz w:val="24"/>
            <w:szCs w:val="24"/>
            <w:u w:val="single"/>
            <w:lang w:val="es-MX"/>
          </w:rPr>
          <w:t>Código Nacional de Procedimientos Penales</w:t>
        </w:r>
      </w:hyperlink>
    </w:p>
    <w:p w14:paraId="703FF6E8" w14:textId="77777777" w:rsidR="00A31FB8" w:rsidRPr="00F74CBC" w:rsidRDefault="000C42FC">
      <w:pPr>
        <w:keepNext/>
        <w:spacing w:before="160" w:after="60"/>
        <w:rPr>
          <w:rFonts w:ascii="Times New Roman" w:hAnsi="Times New Roman" w:cs="Times New Roman"/>
          <w:color w:val="000000" w:themeColor="text1"/>
          <w:sz w:val="24"/>
          <w:szCs w:val="24"/>
          <w:lang w:val="es-MX"/>
        </w:rPr>
      </w:pPr>
      <w:bookmarkStart w:id="16" w:name="S17"/>
      <w:r w:rsidRPr="00F74CBC">
        <w:rPr>
          <w:rFonts w:ascii="Times New Roman" w:hAnsi="Times New Roman" w:cs="Times New Roman"/>
          <w:b/>
          <w:color w:val="000000" w:themeColor="text1"/>
          <w:sz w:val="24"/>
          <w:szCs w:val="24"/>
          <w:lang w:val="es-MX"/>
        </w:rPr>
        <w:t>S</w:t>
      </w:r>
      <w:proofErr w:type="gramStart"/>
      <w:r w:rsidRPr="00F74CBC">
        <w:rPr>
          <w:rFonts w:ascii="Times New Roman" w:hAnsi="Times New Roman" w:cs="Times New Roman"/>
          <w:b/>
          <w:color w:val="000000" w:themeColor="text1"/>
          <w:sz w:val="24"/>
          <w:szCs w:val="24"/>
          <w:lang w:val="es-MX"/>
        </w:rPr>
        <w:t xml:space="preserve">17  </w:t>
      </w:r>
      <w:r w:rsidRPr="00F74CBC">
        <w:rPr>
          <w:rFonts w:ascii="Times New Roman" w:hAnsi="Times New Roman" w:cs="Times New Roman"/>
          <w:color w:val="000000" w:themeColor="text1"/>
          <w:sz w:val="24"/>
          <w:szCs w:val="24"/>
          <w:lang w:val="es-MX"/>
        </w:rPr>
        <w:t>Fiscalía</w:t>
      </w:r>
      <w:proofErr w:type="gramEnd"/>
      <w:r w:rsidRPr="00F74CBC">
        <w:rPr>
          <w:rFonts w:ascii="Times New Roman" w:hAnsi="Times New Roman" w:cs="Times New Roman"/>
          <w:color w:val="000000" w:themeColor="text1"/>
          <w:sz w:val="24"/>
          <w:szCs w:val="24"/>
          <w:lang w:val="es-MX"/>
        </w:rPr>
        <w:t xml:space="preserve"> Especializada en Combate a la Corrupción del Estado de Jalisco. Denuncia y portal institucional. Sin fecha editorial. Se inspeccionaron formulario, opciones de anonimato, seguimiento, límite de adjuntos y datos del pie de página. No se realizó envío.</w:t>
      </w:r>
      <w:bookmarkEnd w:id="16"/>
    </w:p>
    <w:p w14:paraId="60F02508" w14:textId="77777777" w:rsidR="00A31FB8" w:rsidRPr="00F74CBC" w:rsidRDefault="000C42FC">
      <w:pPr>
        <w:spacing w:after="100"/>
        <w:rPr>
          <w:rFonts w:ascii="Times New Roman" w:hAnsi="Times New Roman" w:cs="Times New Roman"/>
          <w:color w:val="000000" w:themeColor="text1"/>
          <w:sz w:val="24"/>
          <w:szCs w:val="24"/>
          <w:lang w:val="es-MX"/>
        </w:rPr>
      </w:pPr>
      <w:hyperlink r:id="rId28">
        <w:r w:rsidRPr="00F74CBC">
          <w:rPr>
            <w:rFonts w:ascii="Times New Roman" w:hAnsi="Times New Roman" w:cs="Times New Roman"/>
            <w:color w:val="000000" w:themeColor="text1"/>
            <w:sz w:val="24"/>
            <w:szCs w:val="24"/>
            <w:u w:val="single"/>
            <w:lang w:val="es-MX"/>
          </w:rPr>
          <w:t>Formulario y formatos de denuncia</w:t>
        </w:r>
      </w:hyperlink>
      <w:r w:rsidRPr="00F74CBC">
        <w:rPr>
          <w:rFonts w:ascii="Times New Roman" w:hAnsi="Times New Roman" w:cs="Times New Roman"/>
          <w:color w:val="000000" w:themeColor="text1"/>
          <w:sz w:val="24"/>
          <w:szCs w:val="24"/>
          <w:lang w:val="es-MX"/>
        </w:rPr>
        <w:t xml:space="preserve">  ·  </w:t>
      </w:r>
      <w:hyperlink r:id="rId29">
        <w:r w:rsidRPr="00F74CBC">
          <w:rPr>
            <w:rFonts w:ascii="Times New Roman" w:hAnsi="Times New Roman" w:cs="Times New Roman"/>
            <w:color w:val="000000" w:themeColor="text1"/>
            <w:sz w:val="24"/>
            <w:szCs w:val="24"/>
            <w:u w:val="single"/>
            <w:lang w:val="es-MX"/>
          </w:rPr>
          <w:t>Ubicación y contacto</w:t>
        </w:r>
      </w:hyperlink>
    </w:p>
    <w:p w14:paraId="77C97C65" w14:textId="77777777" w:rsidR="00A31FB8" w:rsidRPr="00F74CBC" w:rsidRDefault="000C42FC">
      <w:pPr>
        <w:keepNext/>
        <w:spacing w:before="160" w:after="60"/>
        <w:rPr>
          <w:rFonts w:ascii="Times New Roman" w:hAnsi="Times New Roman" w:cs="Times New Roman"/>
          <w:color w:val="000000" w:themeColor="text1"/>
          <w:sz w:val="24"/>
          <w:szCs w:val="24"/>
          <w:lang w:val="es-MX"/>
        </w:rPr>
      </w:pPr>
      <w:bookmarkStart w:id="17" w:name="S18"/>
      <w:r w:rsidRPr="00F74CBC">
        <w:rPr>
          <w:rFonts w:ascii="Times New Roman" w:hAnsi="Times New Roman" w:cs="Times New Roman"/>
          <w:b/>
          <w:color w:val="000000" w:themeColor="text1"/>
          <w:sz w:val="24"/>
          <w:szCs w:val="24"/>
          <w:lang w:val="es-MX"/>
        </w:rPr>
        <w:t>S</w:t>
      </w:r>
      <w:proofErr w:type="gramStart"/>
      <w:r w:rsidRPr="00F74CBC">
        <w:rPr>
          <w:rFonts w:ascii="Times New Roman" w:hAnsi="Times New Roman" w:cs="Times New Roman"/>
          <w:b/>
          <w:color w:val="000000" w:themeColor="text1"/>
          <w:sz w:val="24"/>
          <w:szCs w:val="24"/>
          <w:lang w:val="es-MX"/>
        </w:rPr>
        <w:t xml:space="preserve">18  </w:t>
      </w:r>
      <w:r w:rsidRPr="00F74CBC">
        <w:rPr>
          <w:rFonts w:ascii="Times New Roman" w:hAnsi="Times New Roman" w:cs="Times New Roman"/>
          <w:color w:val="000000" w:themeColor="text1"/>
          <w:sz w:val="24"/>
          <w:szCs w:val="24"/>
          <w:lang w:val="es-MX"/>
        </w:rPr>
        <w:t>Gobierno</w:t>
      </w:r>
      <w:proofErr w:type="gramEnd"/>
      <w:r w:rsidRPr="00F74CBC">
        <w:rPr>
          <w:rFonts w:ascii="Times New Roman" w:hAnsi="Times New Roman" w:cs="Times New Roman"/>
          <w:color w:val="000000" w:themeColor="text1"/>
          <w:sz w:val="24"/>
          <w:szCs w:val="24"/>
          <w:lang w:val="es-MX"/>
        </w:rPr>
        <w:t xml:space="preserve"> de Jalisco. Servicios Jurídicos Asistenciales e Identidad y Justicia, Procuraduría Social. Fichas de programas con distintas fechas de actualización. Describen asesoría gratuita; la disponibilidad y patrocinio específicos deben confirmarse.</w:t>
      </w:r>
      <w:bookmarkEnd w:id="17"/>
    </w:p>
    <w:p w14:paraId="07B61C64" w14:textId="77777777" w:rsidR="00A31FB8" w:rsidRPr="00F74CBC" w:rsidRDefault="000C42FC">
      <w:pPr>
        <w:spacing w:after="100"/>
        <w:rPr>
          <w:rFonts w:ascii="Times New Roman" w:hAnsi="Times New Roman" w:cs="Times New Roman"/>
          <w:color w:val="000000" w:themeColor="text1"/>
          <w:sz w:val="24"/>
          <w:szCs w:val="24"/>
          <w:lang w:val="es-MX"/>
        </w:rPr>
      </w:pPr>
      <w:hyperlink r:id="rId30">
        <w:r w:rsidRPr="00F74CBC">
          <w:rPr>
            <w:rFonts w:ascii="Times New Roman" w:hAnsi="Times New Roman" w:cs="Times New Roman"/>
            <w:color w:val="000000" w:themeColor="text1"/>
            <w:sz w:val="24"/>
            <w:szCs w:val="24"/>
            <w:u w:val="single"/>
            <w:lang w:val="es-MX"/>
          </w:rPr>
          <w:t>Servicios Jurídicos Asistenciales</w:t>
        </w:r>
      </w:hyperlink>
      <w:r w:rsidRPr="00F74CBC">
        <w:rPr>
          <w:rFonts w:ascii="Times New Roman" w:hAnsi="Times New Roman" w:cs="Times New Roman"/>
          <w:color w:val="000000" w:themeColor="text1"/>
          <w:sz w:val="24"/>
          <w:szCs w:val="24"/>
          <w:lang w:val="es-MX"/>
        </w:rPr>
        <w:t xml:space="preserve">  ·  </w:t>
      </w:r>
      <w:hyperlink r:id="rId31">
        <w:r w:rsidRPr="00F74CBC">
          <w:rPr>
            <w:rFonts w:ascii="Times New Roman" w:hAnsi="Times New Roman" w:cs="Times New Roman"/>
            <w:color w:val="000000" w:themeColor="text1"/>
            <w:sz w:val="24"/>
            <w:szCs w:val="24"/>
            <w:u w:val="single"/>
            <w:lang w:val="es-MX"/>
          </w:rPr>
          <w:t>Ficha del programa Identidad y Justicia</w:t>
        </w:r>
      </w:hyperlink>
    </w:p>
    <w:p w14:paraId="706BD8CE" w14:textId="77777777" w:rsidR="00A31FB8" w:rsidRPr="00F74CBC" w:rsidRDefault="000C42FC">
      <w:pPr>
        <w:keepNext/>
        <w:spacing w:before="160" w:after="60"/>
        <w:rPr>
          <w:rFonts w:ascii="Times New Roman" w:hAnsi="Times New Roman" w:cs="Times New Roman"/>
          <w:color w:val="000000" w:themeColor="text1"/>
          <w:sz w:val="24"/>
          <w:szCs w:val="24"/>
          <w:lang w:val="es-MX"/>
        </w:rPr>
      </w:pPr>
      <w:bookmarkStart w:id="18" w:name="S19"/>
      <w:r w:rsidRPr="00F74CBC">
        <w:rPr>
          <w:rFonts w:ascii="Times New Roman" w:hAnsi="Times New Roman" w:cs="Times New Roman"/>
          <w:b/>
          <w:color w:val="000000" w:themeColor="text1"/>
          <w:sz w:val="24"/>
          <w:szCs w:val="24"/>
          <w:lang w:val="es-MX"/>
        </w:rPr>
        <w:t>S</w:t>
      </w:r>
      <w:proofErr w:type="gramStart"/>
      <w:r w:rsidRPr="00F74CBC">
        <w:rPr>
          <w:rFonts w:ascii="Times New Roman" w:hAnsi="Times New Roman" w:cs="Times New Roman"/>
          <w:b/>
          <w:color w:val="000000" w:themeColor="text1"/>
          <w:sz w:val="24"/>
          <w:szCs w:val="24"/>
          <w:lang w:val="es-MX"/>
        </w:rPr>
        <w:t xml:space="preserve">19  </w:t>
      </w:r>
      <w:r w:rsidRPr="00F74CBC">
        <w:rPr>
          <w:rFonts w:ascii="Times New Roman" w:hAnsi="Times New Roman" w:cs="Times New Roman"/>
          <w:color w:val="000000" w:themeColor="text1"/>
          <w:sz w:val="24"/>
          <w:szCs w:val="24"/>
          <w:lang w:val="es-MX"/>
        </w:rPr>
        <w:t>Universidad</w:t>
      </w:r>
      <w:proofErr w:type="gramEnd"/>
      <w:r w:rsidRPr="00F74CBC">
        <w:rPr>
          <w:rFonts w:ascii="Times New Roman" w:hAnsi="Times New Roman" w:cs="Times New Roman"/>
          <w:color w:val="000000" w:themeColor="text1"/>
          <w:sz w:val="24"/>
          <w:szCs w:val="24"/>
          <w:lang w:val="es-MX"/>
        </w:rPr>
        <w:t xml:space="preserve"> de Guadalajara, Consejo Social. Ley Orgánica de la Universidad de Guadalajara, extracto institucional. Arts. 1–2 sobre naturaleza y régimen jurídico.</w:t>
      </w:r>
      <w:bookmarkEnd w:id="18"/>
    </w:p>
    <w:p w14:paraId="746944AE" w14:textId="77777777" w:rsidR="00A31FB8" w:rsidRPr="00F74CBC" w:rsidRDefault="000C42FC">
      <w:pPr>
        <w:spacing w:after="100"/>
        <w:rPr>
          <w:rFonts w:ascii="Times New Roman" w:hAnsi="Times New Roman" w:cs="Times New Roman"/>
          <w:color w:val="000000" w:themeColor="text1"/>
          <w:sz w:val="24"/>
          <w:szCs w:val="24"/>
          <w:lang w:val="es-MX"/>
        </w:rPr>
      </w:pPr>
      <w:hyperlink r:id="rId32">
        <w:r w:rsidRPr="00F74CBC">
          <w:rPr>
            <w:rFonts w:ascii="Times New Roman" w:hAnsi="Times New Roman" w:cs="Times New Roman"/>
            <w:color w:val="000000" w:themeColor="text1"/>
            <w:sz w:val="24"/>
            <w:szCs w:val="24"/>
            <w:u w:val="single"/>
            <w:lang w:val="es-MX"/>
          </w:rPr>
          <w:t>Ley Orgánica en el sitio del Consejo Social</w:t>
        </w:r>
      </w:hyperlink>
    </w:p>
    <w:p w14:paraId="057CAC25" w14:textId="77777777" w:rsidR="00A31FB8" w:rsidRPr="00F74CBC" w:rsidRDefault="000C42FC">
      <w:pPr>
        <w:keepNext/>
        <w:spacing w:before="160" w:after="60"/>
        <w:rPr>
          <w:rFonts w:ascii="Times New Roman" w:hAnsi="Times New Roman" w:cs="Times New Roman"/>
          <w:color w:val="000000" w:themeColor="text1"/>
          <w:sz w:val="24"/>
          <w:szCs w:val="24"/>
          <w:lang w:val="es-MX"/>
        </w:rPr>
      </w:pPr>
      <w:bookmarkStart w:id="19" w:name="S20"/>
      <w:r w:rsidRPr="00F74CBC">
        <w:rPr>
          <w:rFonts w:ascii="Times New Roman" w:hAnsi="Times New Roman" w:cs="Times New Roman"/>
          <w:b/>
          <w:color w:val="000000" w:themeColor="text1"/>
          <w:sz w:val="24"/>
          <w:szCs w:val="24"/>
          <w:lang w:val="es-MX"/>
        </w:rPr>
        <w:lastRenderedPageBreak/>
        <w:t>S</w:t>
      </w:r>
      <w:proofErr w:type="gramStart"/>
      <w:r w:rsidRPr="00F74CBC">
        <w:rPr>
          <w:rFonts w:ascii="Times New Roman" w:hAnsi="Times New Roman" w:cs="Times New Roman"/>
          <w:b/>
          <w:color w:val="000000" w:themeColor="text1"/>
          <w:sz w:val="24"/>
          <w:szCs w:val="24"/>
          <w:lang w:val="es-MX"/>
        </w:rPr>
        <w:t xml:space="preserve">20  </w:t>
      </w:r>
      <w:r w:rsidRPr="00F74CBC">
        <w:rPr>
          <w:rFonts w:ascii="Times New Roman" w:hAnsi="Times New Roman" w:cs="Times New Roman"/>
          <w:color w:val="000000" w:themeColor="text1"/>
          <w:sz w:val="24"/>
          <w:szCs w:val="24"/>
          <w:lang w:val="es-MX"/>
        </w:rPr>
        <w:t>Centro</w:t>
      </w:r>
      <w:proofErr w:type="gramEnd"/>
      <w:r w:rsidRPr="00F74CBC">
        <w:rPr>
          <w:rFonts w:ascii="Times New Roman" w:hAnsi="Times New Roman" w:cs="Times New Roman"/>
          <w:color w:val="000000" w:themeColor="text1"/>
          <w:sz w:val="24"/>
          <w:szCs w:val="24"/>
          <w:lang w:val="es-MX"/>
        </w:rPr>
        <w:t xml:space="preserve"> Universitario de Tonalá. Informe de Actividades </w:t>
      </w:r>
      <w:proofErr w:type="spellStart"/>
      <w:r w:rsidRPr="00F74CBC">
        <w:rPr>
          <w:rFonts w:ascii="Times New Roman" w:hAnsi="Times New Roman" w:cs="Times New Roman"/>
          <w:color w:val="000000" w:themeColor="text1"/>
          <w:sz w:val="24"/>
          <w:szCs w:val="24"/>
          <w:lang w:val="es-MX"/>
        </w:rPr>
        <w:t>CUTonalá</w:t>
      </w:r>
      <w:proofErr w:type="spellEnd"/>
      <w:r w:rsidRPr="00F74CBC">
        <w:rPr>
          <w:rFonts w:ascii="Times New Roman" w:hAnsi="Times New Roman" w:cs="Times New Roman"/>
          <w:color w:val="000000" w:themeColor="text1"/>
          <w:sz w:val="24"/>
          <w:szCs w:val="24"/>
          <w:lang w:val="es-MX"/>
        </w:rPr>
        <w:t xml:space="preserve"> 2024. Apartado 2.3.2.1.3 y tabla 106, pp. 287–288. Datos de procesos de responsabilidades publicados por la institución.</w:t>
      </w:r>
      <w:bookmarkEnd w:id="19"/>
    </w:p>
    <w:p w14:paraId="1AE4AE55" w14:textId="77777777" w:rsidR="00A31FB8" w:rsidRPr="00F74CBC" w:rsidRDefault="000C42FC">
      <w:pPr>
        <w:spacing w:after="100"/>
        <w:rPr>
          <w:rFonts w:ascii="Times New Roman" w:hAnsi="Times New Roman" w:cs="Times New Roman"/>
          <w:color w:val="000000" w:themeColor="text1"/>
          <w:sz w:val="24"/>
          <w:szCs w:val="24"/>
          <w:lang w:val="es-MX"/>
        </w:rPr>
      </w:pPr>
      <w:hyperlink r:id="rId33">
        <w:r w:rsidRPr="00F74CBC">
          <w:rPr>
            <w:rFonts w:ascii="Times New Roman" w:hAnsi="Times New Roman" w:cs="Times New Roman"/>
            <w:color w:val="000000" w:themeColor="text1"/>
            <w:sz w:val="24"/>
            <w:szCs w:val="24"/>
            <w:u w:val="single"/>
            <w:lang w:val="es-MX"/>
          </w:rPr>
          <w:t>Informe de actividades 2024</w:t>
        </w:r>
      </w:hyperlink>
    </w:p>
    <w:p w14:paraId="5200B0C5" w14:textId="77777777" w:rsidR="00A31FB8" w:rsidRPr="00F74CBC" w:rsidRDefault="000C42FC">
      <w:pPr>
        <w:keepNext/>
        <w:spacing w:before="160" w:after="60"/>
        <w:rPr>
          <w:rFonts w:ascii="Times New Roman" w:hAnsi="Times New Roman" w:cs="Times New Roman"/>
          <w:color w:val="000000" w:themeColor="text1"/>
          <w:sz w:val="24"/>
          <w:szCs w:val="24"/>
          <w:lang w:val="es-MX"/>
        </w:rPr>
      </w:pPr>
      <w:bookmarkStart w:id="20" w:name="S21"/>
      <w:r w:rsidRPr="00F74CBC">
        <w:rPr>
          <w:rFonts w:ascii="Times New Roman" w:hAnsi="Times New Roman" w:cs="Times New Roman"/>
          <w:b/>
          <w:color w:val="000000" w:themeColor="text1"/>
          <w:sz w:val="24"/>
          <w:szCs w:val="24"/>
          <w:lang w:val="es-MX"/>
        </w:rPr>
        <w:t>S</w:t>
      </w:r>
      <w:proofErr w:type="gramStart"/>
      <w:r w:rsidRPr="00F74CBC">
        <w:rPr>
          <w:rFonts w:ascii="Times New Roman" w:hAnsi="Times New Roman" w:cs="Times New Roman"/>
          <w:b/>
          <w:color w:val="000000" w:themeColor="text1"/>
          <w:sz w:val="24"/>
          <w:szCs w:val="24"/>
          <w:lang w:val="es-MX"/>
        </w:rPr>
        <w:t xml:space="preserve">21  </w:t>
      </w:r>
      <w:r w:rsidRPr="00F74CBC">
        <w:rPr>
          <w:rFonts w:ascii="Times New Roman" w:hAnsi="Times New Roman" w:cs="Times New Roman"/>
          <w:color w:val="000000" w:themeColor="text1"/>
          <w:sz w:val="24"/>
          <w:szCs w:val="24"/>
          <w:lang w:val="es-MX"/>
        </w:rPr>
        <w:t>Centro</w:t>
      </w:r>
      <w:proofErr w:type="gramEnd"/>
      <w:r w:rsidRPr="00F74CBC">
        <w:rPr>
          <w:rFonts w:ascii="Times New Roman" w:hAnsi="Times New Roman" w:cs="Times New Roman"/>
          <w:color w:val="000000" w:themeColor="text1"/>
          <w:sz w:val="24"/>
          <w:szCs w:val="24"/>
          <w:lang w:val="es-MX"/>
        </w:rPr>
        <w:t xml:space="preserve"> Universitario de Tonalá. Informe Técnico de Actividades 2025. Apartado 4.1.2.4, Primer Contacto, pp. 258–259 y tablas 137–140. Se detectaron diferencias entre totales narrativos y tablas; no se calcularon tasas.</w:t>
      </w:r>
      <w:bookmarkEnd w:id="20"/>
    </w:p>
    <w:p w14:paraId="7F8A50C0" w14:textId="77777777" w:rsidR="00A31FB8" w:rsidRPr="00F74CBC" w:rsidRDefault="000C42FC">
      <w:pPr>
        <w:spacing w:after="100"/>
        <w:rPr>
          <w:rFonts w:ascii="Times New Roman" w:hAnsi="Times New Roman" w:cs="Times New Roman"/>
          <w:color w:val="000000" w:themeColor="text1"/>
          <w:sz w:val="24"/>
          <w:szCs w:val="24"/>
          <w:lang w:val="es-MX"/>
        </w:rPr>
      </w:pPr>
      <w:hyperlink r:id="rId34">
        <w:r w:rsidRPr="00F74CBC">
          <w:rPr>
            <w:rFonts w:ascii="Times New Roman" w:hAnsi="Times New Roman" w:cs="Times New Roman"/>
            <w:color w:val="000000" w:themeColor="text1"/>
            <w:sz w:val="24"/>
            <w:szCs w:val="24"/>
            <w:u w:val="single"/>
            <w:lang w:val="es-MX"/>
          </w:rPr>
          <w:t>Informe técnico 2025</w:t>
        </w:r>
      </w:hyperlink>
      <w:r w:rsidRPr="00F74CBC">
        <w:rPr>
          <w:rFonts w:ascii="Times New Roman" w:hAnsi="Times New Roman" w:cs="Times New Roman"/>
          <w:color w:val="000000" w:themeColor="text1"/>
          <w:sz w:val="24"/>
          <w:szCs w:val="24"/>
          <w:lang w:val="es-MX"/>
        </w:rPr>
        <w:t xml:space="preserve">  ·  </w:t>
      </w:r>
      <w:hyperlink r:id="rId35">
        <w:r w:rsidRPr="00F74CBC">
          <w:rPr>
            <w:rFonts w:ascii="Times New Roman" w:hAnsi="Times New Roman" w:cs="Times New Roman"/>
            <w:color w:val="000000" w:themeColor="text1"/>
            <w:sz w:val="24"/>
            <w:szCs w:val="24"/>
            <w:u w:val="single"/>
            <w:lang w:val="es-MX"/>
          </w:rPr>
          <w:t>Página de informes del centro</w:t>
        </w:r>
      </w:hyperlink>
    </w:p>
    <w:p w14:paraId="7848D81F" w14:textId="77777777" w:rsidR="00A31FB8" w:rsidRPr="00F74CBC" w:rsidRDefault="000C42FC">
      <w:pPr>
        <w:keepNext/>
        <w:spacing w:before="160" w:after="60"/>
        <w:rPr>
          <w:rFonts w:ascii="Times New Roman" w:hAnsi="Times New Roman" w:cs="Times New Roman"/>
          <w:color w:val="000000" w:themeColor="text1"/>
          <w:sz w:val="24"/>
          <w:szCs w:val="24"/>
          <w:lang w:val="es-MX"/>
        </w:rPr>
      </w:pPr>
      <w:bookmarkStart w:id="21" w:name="S22"/>
      <w:r w:rsidRPr="00F74CBC">
        <w:rPr>
          <w:rFonts w:ascii="Times New Roman" w:hAnsi="Times New Roman" w:cs="Times New Roman"/>
          <w:b/>
          <w:color w:val="000000" w:themeColor="text1"/>
          <w:sz w:val="24"/>
          <w:szCs w:val="24"/>
          <w:lang w:val="es-MX"/>
        </w:rPr>
        <w:t>S</w:t>
      </w:r>
      <w:proofErr w:type="gramStart"/>
      <w:r w:rsidRPr="00F74CBC">
        <w:rPr>
          <w:rFonts w:ascii="Times New Roman" w:hAnsi="Times New Roman" w:cs="Times New Roman"/>
          <w:b/>
          <w:color w:val="000000" w:themeColor="text1"/>
          <w:sz w:val="24"/>
          <w:szCs w:val="24"/>
          <w:lang w:val="es-MX"/>
        </w:rPr>
        <w:t xml:space="preserve">22  </w:t>
      </w:r>
      <w:r w:rsidRPr="00F74CBC">
        <w:rPr>
          <w:rFonts w:ascii="Times New Roman" w:hAnsi="Times New Roman" w:cs="Times New Roman"/>
          <w:color w:val="000000" w:themeColor="text1"/>
          <w:sz w:val="24"/>
          <w:szCs w:val="24"/>
          <w:lang w:val="es-MX"/>
        </w:rPr>
        <w:t>Fiscalía</w:t>
      </w:r>
      <w:proofErr w:type="gramEnd"/>
      <w:r w:rsidRPr="00F74CBC">
        <w:rPr>
          <w:rFonts w:ascii="Times New Roman" w:hAnsi="Times New Roman" w:cs="Times New Roman"/>
          <w:color w:val="000000" w:themeColor="text1"/>
          <w:sz w:val="24"/>
          <w:szCs w:val="24"/>
          <w:lang w:val="es-MX"/>
        </w:rPr>
        <w:t xml:space="preserve"> Especializada en Combate a la Corrupción del Estado de Jalisco. Logra FECC vinculación a proceso de exservidor público del IJA por presuntamente cobrar un trámite gratuito. 15 de septiembre de 2026. Comunicado sobre probable cohecho; no sentencia firme.</w:t>
      </w:r>
      <w:bookmarkEnd w:id="21"/>
    </w:p>
    <w:p w14:paraId="1D981F90" w14:textId="77777777" w:rsidR="00A31FB8" w:rsidRPr="00F74CBC" w:rsidRDefault="000C42FC">
      <w:pPr>
        <w:spacing w:after="100"/>
        <w:rPr>
          <w:rFonts w:ascii="Times New Roman" w:hAnsi="Times New Roman" w:cs="Times New Roman"/>
          <w:color w:val="000000" w:themeColor="text1"/>
          <w:sz w:val="24"/>
          <w:szCs w:val="24"/>
          <w:lang w:val="es-MX"/>
        </w:rPr>
      </w:pPr>
      <w:hyperlink r:id="rId36">
        <w:r w:rsidRPr="00F74CBC">
          <w:rPr>
            <w:rFonts w:ascii="Times New Roman" w:hAnsi="Times New Roman" w:cs="Times New Roman"/>
            <w:color w:val="000000" w:themeColor="text1"/>
            <w:sz w:val="24"/>
            <w:szCs w:val="24"/>
            <w:u w:val="single"/>
            <w:lang w:val="es-MX"/>
          </w:rPr>
          <w:t>Comunicado del caso IJA</w:t>
        </w:r>
      </w:hyperlink>
    </w:p>
    <w:p w14:paraId="6FFFAC5A" w14:textId="77777777" w:rsidR="00A31FB8" w:rsidRPr="00F74CBC" w:rsidRDefault="000C42FC">
      <w:pPr>
        <w:keepNext/>
        <w:spacing w:before="160" w:after="60"/>
        <w:rPr>
          <w:rFonts w:ascii="Times New Roman" w:hAnsi="Times New Roman" w:cs="Times New Roman"/>
          <w:color w:val="000000" w:themeColor="text1"/>
          <w:sz w:val="24"/>
          <w:szCs w:val="24"/>
          <w:lang w:val="es-MX"/>
        </w:rPr>
      </w:pPr>
      <w:bookmarkStart w:id="22" w:name="S23"/>
      <w:r w:rsidRPr="00F74CBC">
        <w:rPr>
          <w:rFonts w:ascii="Times New Roman" w:hAnsi="Times New Roman" w:cs="Times New Roman"/>
          <w:b/>
          <w:color w:val="000000" w:themeColor="text1"/>
          <w:sz w:val="24"/>
          <w:szCs w:val="24"/>
          <w:lang w:val="es-MX"/>
        </w:rPr>
        <w:t>S</w:t>
      </w:r>
      <w:proofErr w:type="gramStart"/>
      <w:r w:rsidRPr="00F74CBC">
        <w:rPr>
          <w:rFonts w:ascii="Times New Roman" w:hAnsi="Times New Roman" w:cs="Times New Roman"/>
          <w:b/>
          <w:color w:val="000000" w:themeColor="text1"/>
          <w:sz w:val="24"/>
          <w:szCs w:val="24"/>
          <w:lang w:val="es-MX"/>
        </w:rPr>
        <w:t xml:space="preserve">23  </w:t>
      </w:r>
      <w:r w:rsidRPr="00F74CBC">
        <w:rPr>
          <w:rFonts w:ascii="Times New Roman" w:hAnsi="Times New Roman" w:cs="Times New Roman"/>
          <w:color w:val="000000" w:themeColor="text1"/>
          <w:sz w:val="24"/>
          <w:szCs w:val="24"/>
          <w:lang w:val="es-MX"/>
        </w:rPr>
        <w:t>Fiscalía</w:t>
      </w:r>
      <w:proofErr w:type="gramEnd"/>
      <w:r w:rsidRPr="00F74CBC">
        <w:rPr>
          <w:rFonts w:ascii="Times New Roman" w:hAnsi="Times New Roman" w:cs="Times New Roman"/>
          <w:color w:val="000000" w:themeColor="text1"/>
          <w:sz w:val="24"/>
          <w:szCs w:val="24"/>
          <w:lang w:val="es-MX"/>
        </w:rPr>
        <w:t xml:space="preserve"> Especializada en Combate a la Corrupción del Estado de Jalisco. Vinculan a proceso a 2 personas por presuntas irregularidades en la nómina del </w:t>
      </w:r>
      <w:proofErr w:type="spellStart"/>
      <w:r w:rsidRPr="00F74CBC">
        <w:rPr>
          <w:rFonts w:ascii="Times New Roman" w:hAnsi="Times New Roman" w:cs="Times New Roman"/>
          <w:color w:val="000000" w:themeColor="text1"/>
          <w:sz w:val="24"/>
          <w:szCs w:val="24"/>
          <w:lang w:val="es-MX"/>
        </w:rPr>
        <w:t>CECyTEJ</w:t>
      </w:r>
      <w:proofErr w:type="spellEnd"/>
      <w:r w:rsidRPr="00F74CBC">
        <w:rPr>
          <w:rFonts w:ascii="Times New Roman" w:hAnsi="Times New Roman" w:cs="Times New Roman"/>
          <w:color w:val="000000" w:themeColor="text1"/>
          <w:sz w:val="24"/>
          <w:szCs w:val="24"/>
          <w:lang w:val="es-MX"/>
        </w:rPr>
        <w:t>. 17 de septiembre de 2026. Comunicado sobre peculado y abuso de autoridad; institución distinta de UDG.</w:t>
      </w:r>
      <w:bookmarkEnd w:id="22"/>
    </w:p>
    <w:p w14:paraId="3E83FF1E" w14:textId="77777777" w:rsidR="00A31FB8" w:rsidRPr="00F74CBC" w:rsidRDefault="000C42FC">
      <w:pPr>
        <w:spacing w:after="100"/>
        <w:rPr>
          <w:rFonts w:ascii="Times New Roman" w:hAnsi="Times New Roman" w:cs="Times New Roman"/>
          <w:color w:val="000000" w:themeColor="text1"/>
          <w:sz w:val="24"/>
          <w:szCs w:val="24"/>
        </w:rPr>
      </w:pPr>
      <w:hyperlink r:id="rId37">
        <w:proofErr w:type="spellStart"/>
        <w:r w:rsidRPr="00F74CBC">
          <w:rPr>
            <w:rFonts w:ascii="Times New Roman" w:hAnsi="Times New Roman" w:cs="Times New Roman"/>
            <w:color w:val="000000" w:themeColor="text1"/>
            <w:sz w:val="24"/>
            <w:szCs w:val="24"/>
            <w:u w:val="single"/>
          </w:rPr>
          <w:t>Comunicado</w:t>
        </w:r>
        <w:proofErr w:type="spellEnd"/>
        <w:r w:rsidRPr="00F74CBC">
          <w:rPr>
            <w:rFonts w:ascii="Times New Roman" w:hAnsi="Times New Roman" w:cs="Times New Roman"/>
            <w:color w:val="000000" w:themeColor="text1"/>
            <w:sz w:val="24"/>
            <w:szCs w:val="24"/>
            <w:u w:val="single"/>
          </w:rPr>
          <w:t xml:space="preserve"> del </w:t>
        </w:r>
        <w:proofErr w:type="spellStart"/>
        <w:r w:rsidRPr="00F74CBC">
          <w:rPr>
            <w:rFonts w:ascii="Times New Roman" w:hAnsi="Times New Roman" w:cs="Times New Roman"/>
            <w:color w:val="000000" w:themeColor="text1"/>
            <w:sz w:val="24"/>
            <w:szCs w:val="24"/>
            <w:u w:val="single"/>
          </w:rPr>
          <w:t>caso</w:t>
        </w:r>
        <w:proofErr w:type="spellEnd"/>
        <w:r w:rsidRPr="00F74CBC">
          <w:rPr>
            <w:rFonts w:ascii="Times New Roman" w:hAnsi="Times New Roman" w:cs="Times New Roman"/>
            <w:color w:val="000000" w:themeColor="text1"/>
            <w:sz w:val="24"/>
            <w:szCs w:val="24"/>
            <w:u w:val="single"/>
          </w:rPr>
          <w:t xml:space="preserve"> </w:t>
        </w:r>
        <w:proofErr w:type="spellStart"/>
        <w:r w:rsidRPr="00F74CBC">
          <w:rPr>
            <w:rFonts w:ascii="Times New Roman" w:hAnsi="Times New Roman" w:cs="Times New Roman"/>
            <w:color w:val="000000" w:themeColor="text1"/>
            <w:sz w:val="24"/>
            <w:szCs w:val="24"/>
            <w:u w:val="single"/>
          </w:rPr>
          <w:t>CECyTEJ</w:t>
        </w:r>
        <w:proofErr w:type="spellEnd"/>
      </w:hyperlink>
    </w:p>
    <w:sectPr w:rsidR="00A31FB8" w:rsidRPr="00F74CBC" w:rsidSect="00034616">
      <w:footerReference w:type="default" r:id="rId38"/>
      <w:pgSz w:w="12240" w:h="15840"/>
      <w:pgMar w:top="1152" w:right="1224" w:bottom="1080" w:left="1224" w:header="504" w:footer="50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86B65C" w14:textId="77777777" w:rsidR="000C42FC" w:rsidRDefault="000C42FC">
      <w:pPr>
        <w:spacing w:after="0" w:line="240" w:lineRule="auto"/>
      </w:pPr>
      <w:r>
        <w:separator/>
      </w:r>
    </w:p>
  </w:endnote>
  <w:endnote w:type="continuationSeparator" w:id="0">
    <w:p w14:paraId="4DEFF8ED" w14:textId="77777777" w:rsidR="000C42FC" w:rsidRDefault="000C42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6664A" w14:textId="1EE5260E" w:rsidR="00A31FB8" w:rsidRDefault="000C42FC">
    <w:pPr>
      <w:pStyle w:val="Piedepgina"/>
      <w:jc w:val="right"/>
    </w:pPr>
    <w:r>
      <w:fldChar w:fldCharType="begin"/>
    </w:r>
    <w:r>
      <w:instrText>PAGE</w:instrText>
    </w:r>
    <w:r>
      <w:fldChar w:fldCharType="separate"/>
    </w:r>
    <w:r w:rsidR="004E337F">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DE10A2" w14:textId="77777777" w:rsidR="000C42FC" w:rsidRDefault="000C42FC">
      <w:pPr>
        <w:spacing w:after="0" w:line="240" w:lineRule="auto"/>
      </w:pPr>
      <w:r>
        <w:separator/>
      </w:r>
    </w:p>
  </w:footnote>
  <w:footnote w:type="continuationSeparator" w:id="0">
    <w:p w14:paraId="018D0430" w14:textId="77777777" w:rsidR="000C42FC" w:rsidRDefault="000C42F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38065024">
    <w:abstractNumId w:val="8"/>
  </w:num>
  <w:num w:numId="2" w16cid:durableId="1416593131">
    <w:abstractNumId w:val="6"/>
  </w:num>
  <w:num w:numId="3" w16cid:durableId="1608123441">
    <w:abstractNumId w:val="5"/>
  </w:num>
  <w:num w:numId="4" w16cid:durableId="717431986">
    <w:abstractNumId w:val="4"/>
  </w:num>
  <w:num w:numId="5" w16cid:durableId="867137793">
    <w:abstractNumId w:val="7"/>
  </w:num>
  <w:num w:numId="6" w16cid:durableId="939606203">
    <w:abstractNumId w:val="3"/>
  </w:num>
  <w:num w:numId="7" w16cid:durableId="761339584">
    <w:abstractNumId w:val="2"/>
  </w:num>
  <w:num w:numId="8" w16cid:durableId="1950157937">
    <w:abstractNumId w:val="1"/>
  </w:num>
  <w:num w:numId="9" w16cid:durableId="10896241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42FC"/>
    <w:rsid w:val="0015074B"/>
    <w:rsid w:val="0029639D"/>
    <w:rsid w:val="00326F90"/>
    <w:rsid w:val="00411022"/>
    <w:rsid w:val="004E337F"/>
    <w:rsid w:val="006A1087"/>
    <w:rsid w:val="009A3272"/>
    <w:rsid w:val="00A31FB8"/>
    <w:rsid w:val="00AA1D8D"/>
    <w:rsid w:val="00B47730"/>
    <w:rsid w:val="00CB0664"/>
    <w:rsid w:val="00D45BD6"/>
    <w:rsid w:val="00F74C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3CA47ADF-10CF-4492-B14A-2BB3813E8A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9" w:lineRule="auto"/>
    </w:pPr>
    <w:rPr>
      <w:rFonts w:ascii="Calibri" w:eastAsia="Calibri" w:hAnsi="Calibri"/>
      <w:color w:val="000000"/>
    </w:rPr>
  </w:style>
  <w:style w:type="paragraph" w:styleId="Ttulo1">
    <w:name w:val="heading 1"/>
    <w:basedOn w:val="Normal"/>
    <w:next w:val="Normal"/>
    <w:link w:val="Ttulo1Car"/>
    <w:uiPriority w:val="9"/>
    <w:qFormat/>
    <w:rsid w:val="00FC693F"/>
    <w:pPr>
      <w:keepNext/>
      <w:keepLines/>
      <w:spacing w:before="360" w:after="200"/>
      <w:outlineLvl w:val="0"/>
    </w:pPr>
    <w:rPr>
      <w:rFonts w:asciiTheme="majorHAnsi" w:eastAsiaTheme="majorEastAsia" w:hAnsiTheme="majorHAnsi" w:cstheme="majorBidi"/>
      <w:b/>
      <w:bCs/>
      <w:sz w:val="32"/>
      <w:szCs w:val="28"/>
    </w:rPr>
  </w:style>
  <w:style w:type="paragraph" w:styleId="Ttulo2">
    <w:name w:val="heading 2"/>
    <w:basedOn w:val="Normal"/>
    <w:next w:val="Normal"/>
    <w:link w:val="Ttulo2Car"/>
    <w:uiPriority w:val="9"/>
    <w:unhideWhenUsed/>
    <w:qFormat/>
    <w:rsid w:val="00FC693F"/>
    <w:pPr>
      <w:keepNext/>
      <w:keepLines/>
      <w:spacing w:before="240" w:after="120"/>
      <w:outlineLvl w:val="1"/>
    </w:pPr>
    <w:rPr>
      <w:rFonts w:asciiTheme="majorHAnsi" w:eastAsiaTheme="majorEastAsia" w:hAnsiTheme="majorHAnsi" w:cstheme="majorBidi"/>
      <w:b/>
      <w:bCs/>
      <w:sz w:val="25"/>
      <w:szCs w:val="26"/>
    </w:rPr>
  </w:style>
  <w:style w:type="paragraph" w:styleId="Ttulo3">
    <w:name w:val="heading 3"/>
    <w:basedOn w:val="Normal"/>
    <w:next w:val="Normal"/>
    <w:link w:val="Ttulo3Car"/>
    <w:uiPriority w:val="9"/>
    <w:unhideWhenUsed/>
    <w:qFormat/>
    <w:rsid w:val="00FC693F"/>
    <w:pPr>
      <w:keepNext/>
      <w:keepLines/>
      <w:spacing w:before="200" w:after="100"/>
      <w:outlineLvl w:val="2"/>
    </w:pPr>
    <w:rPr>
      <w:rFonts w:asciiTheme="majorHAnsi" w:eastAsiaTheme="majorEastAsia" w:hAnsiTheme="majorHAnsi" w:cstheme="majorBidi"/>
      <w:b/>
      <w:bCs/>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rPr>
      <w:sz w:val="17"/>
    </w:r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rPr>
      <w:sz w:val="18"/>
    </w:r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keepNext/>
      <w:keepLines/>
      <w:pBdr>
        <w:bottom w:val="single" w:sz="8" w:space="4" w:color="4F81BD" w:themeColor="accent1"/>
      </w:pBdr>
      <w:spacing w:after="360" w:line="240" w:lineRule="auto"/>
      <w:contextualSpacing/>
    </w:pPr>
    <w:rPr>
      <w:rFonts w:asciiTheme="majorHAnsi" w:eastAsiaTheme="majorEastAsia" w:hAnsiTheme="majorHAnsi" w:cstheme="majorBidi"/>
      <w:b/>
      <w:spacing w:val="5"/>
      <w:kern w:val="28"/>
      <w:sz w:val="56"/>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spacing w:after="480"/>
    </w:pPr>
    <w:rPr>
      <w:rFonts w:asciiTheme="majorHAnsi" w:eastAsiaTheme="majorEastAsia" w:hAnsiTheme="majorHAnsi" w:cstheme="majorBidi"/>
      <w:i/>
      <w:iCs/>
      <w:spacing w:val="15"/>
      <w:sz w:val="30"/>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80" w:line="264" w:lineRule="auto"/>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80" w:line="264" w:lineRule="auto"/>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utonala.udg.mx/primercontacto" TargetMode="External"/><Relationship Id="rId18" Type="http://schemas.openxmlformats.org/officeDocument/2006/relationships/hyperlink" Target="https://ddu.udg.mx/presentar-una-queja" TargetMode="External"/><Relationship Id="rId26" Type="http://schemas.openxmlformats.org/officeDocument/2006/relationships/hyperlink" Target="https://congresoweb.congresojal.gob.mx/BibliotecaVirtual/legislacion/Constituci%C3%B3n/Documentos_PDF-Constituci%C3%B3n/Constituci%C3%B3n%20Pol%C3%ADtica%20del%20Estado%20de%20Jalisco-230926.pdf" TargetMode="External"/><Relationship Id="rId39" Type="http://schemas.openxmlformats.org/officeDocument/2006/relationships/fontTable" Target="fontTable.xml"/><Relationship Id="rId21" Type="http://schemas.openxmlformats.org/officeDocument/2006/relationships/hyperlink" Target="https://cutonala.udg.mx/node/2720" TargetMode="External"/><Relationship Id="rId34" Type="http://schemas.openxmlformats.org/officeDocument/2006/relationships/hyperlink" Target="https://cutonala.udg.mx/sites/default/files/adjuntos/Informe%20Te%CC%81cinco%20de%20Actividades%202025_CUTonala%CC%81%20%282%29.pdf" TargetMode="External"/><Relationship Id="rId7" Type="http://schemas.openxmlformats.org/officeDocument/2006/relationships/endnotes" Target="endnotes.xml"/><Relationship Id="rId12" Type="http://schemas.openxmlformats.org/officeDocument/2006/relationships/hyperlink" Target="https://secgral.udg.mx/sites/default/files/Normatividad_general/rgepa-oct-2017.pdf" TargetMode="External"/><Relationship Id="rId17" Type="http://schemas.openxmlformats.org/officeDocument/2006/relationships/hyperlink" Target="https://igualdad.udg.mx/primeroscontactos" TargetMode="External"/><Relationship Id="rId25" Type="http://schemas.openxmlformats.org/officeDocument/2006/relationships/hyperlink" Target="https://congresoweb.congresojal.gob.mx/BibliotecaVirtual/legislacion/Leyes/Documentos_PDF-Leyes/Ley%20de%20Responsabilidades%20Pol%C3%ADticas%20y%20Administrativas%20del%20Estado%20de%20Jalisco-170323.pdf" TargetMode="External"/><Relationship Id="rId33" Type="http://schemas.openxmlformats.org/officeDocument/2006/relationships/hyperlink" Target="https://cutonala.udg.mx/sites/default/files/adjuntos/informe_cutonala_2024vf_compressed_0.pdf" TargetMode="External"/><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cutonala.udg.mx/acerca/directorio" TargetMode="External"/><Relationship Id="rId20" Type="http://schemas.openxmlformats.org/officeDocument/2006/relationships/hyperlink" Target="https://cutonala.udg.mx/acerca/directorio/coordinadores-de-carrera" TargetMode="External"/><Relationship Id="rId29" Type="http://schemas.openxmlformats.org/officeDocument/2006/relationships/hyperlink" Target="https://fiscaliaanticorrupcion.jalisco.gob.mx/acerca-de/ubicacion-y-contact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ntraloriageneral.udg.mx/denuncias" TargetMode="External"/><Relationship Id="rId24" Type="http://schemas.openxmlformats.org/officeDocument/2006/relationships/hyperlink" Target="https://congresoweb.congresojal.gob.mx/BibliotecaVirtual/busquedasleyes/ListadoNvo.cfm" TargetMode="External"/><Relationship Id="rId32" Type="http://schemas.openxmlformats.org/officeDocument/2006/relationships/hyperlink" Target="https://cs.udg.mx/normatividad/ley-organica" TargetMode="External"/><Relationship Id="rId37" Type="http://schemas.openxmlformats.org/officeDocument/2006/relationships/hyperlink" Target="https://fiscaliaanticorrupcion.jalisco.gob.mx/prensa/noticias/vinculan-a-proceso-a-2-personas-por-presuntas-irr-709"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cutonala.udg.mx/directorio-cut" TargetMode="External"/><Relationship Id="rId23" Type="http://schemas.openxmlformats.org/officeDocument/2006/relationships/hyperlink" Target="https://congresoweb.congresojal.gob.mx/BibliotecaVirtual/legislacion/C%C3%B3digos/Documentos_PDF-C%C3%B3digos/C%C3%B3digo%20Penal%20para%20el%20Estado%20Libre%20y%20Soberano%20de%20Jalisco%20-240926.pdf" TargetMode="External"/><Relationship Id="rId28" Type="http://schemas.openxmlformats.org/officeDocument/2006/relationships/hyperlink" Target="https://fiscaliaanticorrupcion.jalisco.gob.mx/denuncia" TargetMode="External"/><Relationship Id="rId36" Type="http://schemas.openxmlformats.org/officeDocument/2006/relationships/hyperlink" Target="https://fiscaliaanticorrupcion.jalisco.gob.mx/prensa/noticias/logra-fecc-vinculacion-a-proceso-de-exservidor-pu-708" TargetMode="External"/><Relationship Id="rId10" Type="http://schemas.openxmlformats.org/officeDocument/2006/relationships/hyperlink" Target="https://secgral.udg.mx/sites/default/files/Normatividad_general/RRVRP%20%28Marzo%202022%29.pdf" TargetMode="External"/><Relationship Id="rId19" Type="http://schemas.openxmlformats.org/officeDocument/2006/relationships/hyperlink" Target="https://cutonala.udg.mx/serviciosalacomunidadcut/que-es-la-unidad-de-orientacion-educativa" TargetMode="External"/><Relationship Id="rId31" Type="http://schemas.openxmlformats.org/officeDocument/2006/relationships/hyperlink" Target="https://misprogramas.jalisco.gob.mx/programas/panel/programa/796" TargetMode="External"/><Relationship Id="rId4" Type="http://schemas.openxmlformats.org/officeDocument/2006/relationships/settings" Target="settings.xml"/><Relationship Id="rId9" Type="http://schemas.openxmlformats.org/officeDocument/2006/relationships/hyperlink" Target="https://secgral.udg.mx/normatividad/general/reglamento-de-responsabilidades-vinculadas-con-faltas-la-normatividad" TargetMode="External"/><Relationship Id="rId14" Type="http://schemas.openxmlformats.org/officeDocument/2006/relationships/hyperlink" Target="https://cutonala.udg.mx/acerca/directorio/secretaria-academica" TargetMode="External"/><Relationship Id="rId22" Type="http://schemas.openxmlformats.org/officeDocument/2006/relationships/hyperlink" Target="https://www.diputados.gob.mx/LeyesBiblio/pdf/LGRA.pdf" TargetMode="External"/><Relationship Id="rId27" Type="http://schemas.openxmlformats.org/officeDocument/2006/relationships/hyperlink" Target="https://www.diputados.gob.mx/LeyesBiblio/pdf/CNPP.pdf" TargetMode="External"/><Relationship Id="rId30" Type="http://schemas.openxmlformats.org/officeDocument/2006/relationships/hyperlink" Target="https://info.jalisco.gob.mx/gobierno/programas-apoyo/modalidad/21977" TargetMode="External"/><Relationship Id="rId35" Type="http://schemas.openxmlformats.org/officeDocument/2006/relationships/hyperlink" Target="https://cutonala.udg.mx/nuestrocentro/informe-de-actividades" TargetMode="External"/><Relationship Id="rId8" Type="http://schemas.openxmlformats.org/officeDocument/2006/relationships/hyperlink" Target="https://secgral.udg.mx/sites/default/files/Normatividad_general/RRVFNU%20%28Junio%202022%29.pdf"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30</Pages>
  <Words>13176</Words>
  <Characters>72468</Characters>
  <Application>Microsoft Office Word</Application>
  <DocSecurity>0</DocSecurity>
  <Lines>603</Lines>
  <Paragraphs>170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85474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Soborno académico en el Centro Universitario de Tonalá</dc:title>
  <dc:subject>Investigación en niveles personal, universitario y legal</dc:subject>
  <dc:creator>Oscar Alejandro Bermúdez Cota</dc:creator>
  <cp:keywords>soborno, CUTonalá, UDG, orientación, responsabilidades, Scrum</cp:keywords>
  <dc:description>Investigación documental académica con corte al 8 de octubre de 2026.</dc:description>
  <cp:lastModifiedBy>Oscar Bermúdez</cp:lastModifiedBy>
  <cp:revision>6</cp:revision>
  <dcterms:created xsi:type="dcterms:W3CDTF">2013-12-23T23:15:00Z</dcterms:created>
  <dcterms:modified xsi:type="dcterms:W3CDTF">2026-10-09T06:04:00Z</dcterms:modified>
  <cp:category/>
</cp:coreProperties>
</file>