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2. Conditional mediation effects for core mechanisms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233"/>
        <w:gridCol w:w="2636"/>
        <w:gridCol w:w="2685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Low-conspiracy ACME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High-conspiracy ACME</w:t>
            </w:r>
          </w:p>
        </w:tc>
      </w:tr>
      <w:tr>
        <w:trPr>
          <w:trHeight w:val="61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Undemocraticness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 [-0.61, -0.31]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[-0.26, -0.01]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 emotion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 [-0.40, -0.17]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[-0.20, -0.04]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Enthusiasm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[-0.17,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 [0.05, 0.30]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Trustworthiness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 [-0.54, -0.29]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[-0.18, 0.15]</w:t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 [-0.42, -0.17]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 [-0.30, -0.002]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Sincerity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 [-0.39,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 [-0.21, 0.06]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Undemocraticness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-0.45 [-0.59, -0.30]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[-0.27, 0.04]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Negative emotion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[-0.33, -0.13]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[-0.22, -0.05]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Enthusiasm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[-0.13,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[0.06, 0.33]</w:t>
            </w:r>
          </w:p>
        </w:tc>
      </w:tr>
      <w:tr>
        <w:trPr>
          <w:trHeight w:val="61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Trustworthiness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 [-0.47, -0.20]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[-0.18, 0.16]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Competence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 [-0.35, -0.11]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[-0.26, 0.07]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Sincerity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 [-0.23, 0.03]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[-0.17, 0.11]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2026-07-17T11:35:39Z</dcterms:modified>
  <cp:category/>
</cp:coreProperties>
</file>