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A10. Additive conspiracy-index robustness 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2049"/>
      </w:tblGrid>
      <w:tr>
        <w:trPr>
          <w:trHeight w:val="57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-0.840*** (0.206)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-0.187 (0.210)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-1.009*** (0.212)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Additive conspiracy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 (0.048)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Election*Additive conspiracy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0.134** (0.060)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Protests*Additive conspiracy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 (0.063)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Court*Additive conspiracy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0.169*** (0.062)</w:t>
            </w:r>
          </w:p>
        </w:tc>
      </w:tr>
      <w:tr>
        <w:trPr>
          <w:trHeight w:val="568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2026-07-17T11:31:13Z</dcterms:modified>
  <cp:category/>
</cp:coreProperties>
</file>