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A3b. Balance table by vignette condition, analytic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2"/>
        <w:gridCol w:w="1719"/>
        <w:gridCol w:w="1719"/>
        <w:gridCol w:w="1719"/>
        <w:gridCol w:w="1719"/>
        <w:gridCol w:w="1132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(0.48)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(0.50)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(0.49)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34.03 (17.42)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34.45 (17.60)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37.68 (17.09)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36.19 (17.99)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Ideology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(0.24)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(0.26)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(0.27)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2026-07-17T11:31:56Z</dcterms:modified>
  <cp:category/>
</cp:coreProperties>
</file>