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Screening counts and analytic samples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2"/>
        <w:gridCol w:w="961"/>
        <w:gridCol w:w="3296"/>
        <w:gridCol w:w="4739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Share of submitted cases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Use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Submitted cases with experimental fields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Broadest submitted sample</w:t>
            </w:r>
          </w:p>
        </w:tc>
      </w:tr>
      <w:tr>
        <w:trPr>
          <w:trHeight w:val="619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Passed post-vignette issue-identification check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analytic sample used in the manuscript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2026-07-17T11:31:11Z</dcterms:modified>
  <cp:category/>
</cp:coreProperties>
</file>