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A6. Covariate-adjusted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45"/>
        <w:gridCol w:w="2049"/>
        <w:gridCol w:w="2636"/>
        <w:gridCol w:w="3076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H1: Baseline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H2: Partisan alignment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H3: Conspiracy moderation</w:t>
            </w:r>
          </w:p>
        </w:tc>
      </w:tr>
      <w:tr>
        <w:trPr>
          <w:trHeight w:val="61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-0.457*** (0.116)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-0.736*** (0.246)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-0.465*** (0.114)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 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-0.079 (0.259)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 (0.117)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-0.549*** 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-0.842*** (0.242)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-0.547*** (0.115)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-0.611** (0.309)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-0.628*** (0.232)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Election*Out-group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0.394 (0.369)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Protests*Out-group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 (0.382)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Court*Out-group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0.525 (0.366)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Election*Independent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 (0.288)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Protests*Independent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0.173 (0.299)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Court*Independent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 (0.285)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-0.095 (0.116)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Election*Conspiracy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0.361*** (0.136)</w:t>
            </w:r>
          </w:p>
        </w:tc>
      </w:tr>
      <w:tr>
        <w:trPr>
          <w:trHeight w:val="6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Protests*Conspiracy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0.233* (0.139)</w:t>
            </w:r>
          </w:p>
        </w:tc>
      </w:tr>
      <w:tr>
        <w:trPr>
          <w:trHeight w:val="6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Court*Conspiracy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0.372*** (0.137)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-0.027 (0.075)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-0.057 (0.076)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-0.013 (0.074)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 (0.090)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 (0.090)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 (0.089)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 (0.155)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 (0.156)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 (0.153)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Ideology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0.603*** (0.142)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0.646*** (0.142)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0.513*** (0.142)</w:t>
            </w:r>
          </w:p>
        </w:tc>
      </w:tr>
      <w:tr>
        <w:trPr>
          <w:trHeight w:val="569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2026-07-17T11:31:13Z</dcterms:modified>
  <cp:category/>
</cp:coreProperties>
</file>