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A7. Treatment contrasts by detailed party identification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08"/>
        <w:gridCol w:w="778"/>
        <w:gridCol w:w="2098"/>
        <w:gridCol w:w="2122"/>
        <w:gridCol w:w="1853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Party identification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 - 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 - 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 - Control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Coalition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 (0.26)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 (0.27)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 (0.25)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-0.71*** (0.22)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 (0.23)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-0.70*** (0.22)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(0.50)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 (0.51)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(0.53)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One 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 (0.70)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(0.72)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 (0.73)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(0.76)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(0.76)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-1.25 (0.98)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party 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-0.50*** (0.13)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(0.13)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-0.52*** (0.13)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2026-07-17T11:30:58Z</dcterms:modified>
  <cp:category/>
</cp:coreProperties>
</file>