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A9. One-factor loadings for the conspiracy mentality scale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81"/>
        <w:gridCol w:w="1194"/>
        <w:gridCol w:w="1573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Loading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Uniqueness</w:t>
            </w:r>
          </w:p>
        </w:tc>
      </w:tr>
      <w:tr>
        <w:trPr>
          <w:trHeight w:val="61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Many very important things happen in the world, which the public is never informed about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Politicians usually do not tell us the true motives for their decisions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0.688</w:t>
            </w:r>
          </w:p>
        </w:tc>
      </w:tr>
      <w:tr>
        <w:trPr>
          <w:trHeight w:val="62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Government agencies closely monitor all citizens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0.581</w:t>
            </w:r>
          </w:p>
        </w:tc>
      </w:tr>
      <w:tr>
        <w:trPr>
          <w:trHeight w:val="57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 that seem unconnected are often the result of secret activities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0.411</w:t>
            </w:r>
          </w:p>
        </w:tc>
      </w:tr>
      <w:tr>
        <w:trPr>
          <w:trHeight w:val="62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Secret organisations greatly influence political decisions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</w:t>
            </w:r>
          </w:p>
        </w:tc>
      </w:tr>
      <w:tr>
        <w:trPr>
          <w:trHeight w:val="568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2026-07-17T11:31:13Z</dcterms:modified>
  <cp:category/>
</cp:coreProperties>
</file>