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9163" w14:textId="77777777" w:rsidR="0003089E" w:rsidRDefault="0003089E" w:rsidP="0003089E">
      <w:pPr>
        <w:rPr>
          <w:rFonts w:ascii="Times New Roman" w:hAnsi="Times New Roman" w:cs="Times New Roman"/>
          <w:kern w:val="0"/>
        </w:rPr>
      </w:pPr>
      <w:r w:rsidRPr="0003089E">
        <w:rPr>
          <w:rFonts w:ascii="Times New Roman" w:hAnsi="Times New Roman" w:cs="Times New Roman"/>
          <w:kern w:val="0"/>
        </w:rPr>
        <w:t>Neural preconditioners for real-time physics simulation offer promising data-driven priors, but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they often fail to capture long-range couplings efficiently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because they inherit local message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passing or sparse-operator access patterns. We introduce the Hierarchical Transformer </w:t>
      </w:r>
      <w:proofErr w:type="gramStart"/>
      <w:r w:rsidRPr="0003089E">
        <w:rPr>
          <w:rFonts w:ascii="Times New Roman" w:hAnsi="Times New Roman" w:cs="Times New Roman"/>
          <w:kern w:val="0"/>
        </w:rPr>
        <w:t>Preconditioner,</w:t>
      </w:r>
      <w:proofErr w:type="gramEnd"/>
      <w:r w:rsidRPr="0003089E">
        <w:rPr>
          <w:rFonts w:ascii="Times New Roman" w:hAnsi="Times New Roman" w:cs="Times New Roman"/>
          <w:kern w:val="0"/>
        </w:rPr>
        <w:t xml:space="preserve"> a neural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preconditioner anchored to a weak-admissibility H-matrix partition. The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partition provides a multiscale structural prior (dense diagonal leaves plus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coarsening off-diagonal tiles) that enables full-graph approximate-inverse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computation with </w:t>
      </w:r>
      <w:r w:rsidRPr="0003089E">
        <w:rPr>
          <w:rFonts w:ascii="Cambria Math" w:hAnsi="Cambria Math" w:cs="Cambria Math"/>
          <w:kern w:val="0"/>
        </w:rPr>
        <w:t>𝑂</w:t>
      </w:r>
      <w:r w:rsidRPr="0003089E">
        <w:rPr>
          <w:rFonts w:ascii="Times New Roman" w:hAnsi="Times New Roman" w:cs="Times New Roman"/>
          <w:kern w:val="0"/>
        </w:rPr>
        <w:t xml:space="preserve"> (</w:t>
      </w:r>
      <w:proofErr w:type="gramStart"/>
      <w:r w:rsidRPr="0003089E">
        <w:rPr>
          <w:rFonts w:ascii="Cambria Math" w:hAnsi="Cambria Math" w:cs="Cambria Math"/>
          <w:kern w:val="0"/>
        </w:rPr>
        <w:t>𝑁</w:t>
      </w:r>
      <w:r w:rsidRPr="0003089E">
        <w:rPr>
          <w:rFonts w:ascii="Times New Roman" w:hAnsi="Times New Roman" w:cs="Times New Roman"/>
          <w:kern w:val="0"/>
        </w:rPr>
        <w:t xml:space="preserve"> )</w:t>
      </w:r>
      <w:proofErr w:type="gramEnd"/>
      <w:r w:rsidRPr="0003089E">
        <w:rPr>
          <w:rFonts w:ascii="Times New Roman" w:hAnsi="Times New Roman" w:cs="Times New Roman"/>
          <w:kern w:val="0"/>
        </w:rPr>
        <w:t xml:space="preserve"> scaling at fixed block sizes. The network models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the inverse through low-rank far-field factors and uses highway connections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(axial buffers plus a global summary token) to propagate context across transformer depth. At each PCG iteration, preconditioner application reduces to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batched dense GEMMs with regular memory </w:t>
      </w:r>
      <w:proofErr w:type="spellStart"/>
      <w:r w:rsidRPr="0003089E">
        <w:rPr>
          <w:rFonts w:ascii="Times New Roman" w:hAnsi="Times New Roman" w:cs="Times New Roman"/>
          <w:kern w:val="0"/>
        </w:rPr>
        <w:t>access.</w:t>
      </w:r>
      <w:proofErr w:type="spellEnd"/>
    </w:p>
    <w:p w14:paraId="4F3045C0" w14:textId="77777777" w:rsidR="0003089E" w:rsidRDefault="0003089E" w:rsidP="0003089E">
      <w:pPr>
        <w:rPr>
          <w:rFonts w:ascii="Times New Roman" w:hAnsi="Times New Roman" w:cs="Times New Roman"/>
          <w:kern w:val="0"/>
        </w:rPr>
      </w:pPr>
      <w:r w:rsidRPr="0003089E">
        <w:rPr>
          <w:rFonts w:ascii="Times New Roman" w:hAnsi="Times New Roman" w:cs="Times New Roman"/>
          <w:kern w:val="0"/>
        </w:rPr>
        <w:t>The key training contribution is a cosine-Hutchinson probe objective that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learns the action of </w:t>
      </w:r>
      <w:r w:rsidRPr="0003089E">
        <w:rPr>
          <w:rFonts w:ascii="Cambria Math" w:hAnsi="Cambria Math" w:cs="Cambria Math"/>
          <w:kern w:val="0"/>
        </w:rPr>
        <w:t>𝑀𝐴</w:t>
      </w:r>
      <w:r w:rsidRPr="0003089E">
        <w:rPr>
          <w:rFonts w:ascii="Times New Roman" w:hAnsi="Times New Roman" w:cs="Times New Roman"/>
          <w:kern w:val="0"/>
        </w:rPr>
        <w:t xml:space="preserve"> on convergence-critical spectral subspaces, optimizing angular alignment of </w:t>
      </w:r>
      <w:r w:rsidRPr="0003089E">
        <w:rPr>
          <w:rFonts w:ascii="Cambria Math" w:hAnsi="Cambria Math" w:cs="Cambria Math"/>
          <w:kern w:val="0"/>
        </w:rPr>
        <w:t>𝑀𝐴</w:t>
      </w:r>
      <w:r w:rsidRPr="0003089E">
        <w:rPr>
          <w:rFonts w:ascii="Times New Roman" w:hAnsi="Times New Roman" w:cs="Times New Roman"/>
          <w:kern w:val="0"/>
        </w:rPr>
        <w:t>z with z rather than forcing eigenvalue clusters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to a prescribed location. This removes unnecessary spectral-placement constraints from SAI-style objectives and improves conditioning on irregular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spectra. Because both inference and apply are dense, dependency-free tensor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programs, the full solve loop is captured as a single CUDA </w:t>
      </w:r>
      <w:proofErr w:type="spellStart"/>
      <w:r w:rsidRPr="0003089E">
        <w:rPr>
          <w:rFonts w:ascii="Times New Roman" w:hAnsi="Times New Roman" w:cs="Times New Roman"/>
          <w:kern w:val="0"/>
        </w:rPr>
        <w:t>Graph.</w:t>
      </w:r>
      <w:proofErr w:type="spellEnd"/>
    </w:p>
    <w:p w14:paraId="02ACBB84" w14:textId="16D3BA5D" w:rsidR="00981F60" w:rsidRPr="0003089E" w:rsidRDefault="0003089E" w:rsidP="0003089E">
      <w:pPr>
        <w:rPr>
          <w:rFonts w:ascii="Times New Roman" w:hAnsi="Times New Roman" w:cs="Times New Roman"/>
          <w:kern w:val="0"/>
        </w:rPr>
      </w:pPr>
      <w:r w:rsidRPr="0003089E">
        <w:rPr>
          <w:rFonts w:ascii="Times New Roman" w:hAnsi="Times New Roman" w:cs="Times New Roman"/>
          <w:kern w:val="0"/>
        </w:rPr>
        <w:t xml:space="preserve">On stiff multiphase Poisson systems (up to </w:t>
      </w:r>
      <w:proofErr w:type="gramStart"/>
      <w:r w:rsidRPr="0003089E">
        <w:rPr>
          <w:rFonts w:ascii="Times New Roman" w:hAnsi="Times New Roman" w:cs="Times New Roman"/>
          <w:kern w:val="0"/>
        </w:rPr>
        <w:t>100 :</w:t>
      </w:r>
      <w:proofErr w:type="gramEnd"/>
      <w:r w:rsidRPr="0003089E">
        <w:rPr>
          <w:rFonts w:ascii="Times New Roman" w:hAnsi="Times New Roman" w:cs="Times New Roman"/>
          <w:kern w:val="0"/>
        </w:rPr>
        <w:t xml:space="preserve"> 1 density contrast, </w:t>
      </w:r>
      <w:r w:rsidRPr="0003089E">
        <w:rPr>
          <w:rFonts w:ascii="Cambria Math" w:hAnsi="Cambria Math" w:cs="Cambria Math"/>
          <w:kern w:val="0"/>
        </w:rPr>
        <w:t>𝑁</w:t>
      </w:r>
      <w:r w:rsidRPr="0003089E">
        <w:rPr>
          <w:rFonts w:ascii="Times New Roman" w:hAnsi="Times New Roman" w:cs="Times New Roman"/>
          <w:kern w:val="0"/>
        </w:rPr>
        <w:t xml:space="preserve"> =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1,024–16,384), the solver runs from </w:t>
      </w:r>
      <w:r w:rsidRPr="0003089E">
        <w:rPr>
          <w:rFonts w:ascii="Cambria Math" w:hAnsi="Cambria Math" w:cs="Cambria Math"/>
          <w:kern w:val="0"/>
        </w:rPr>
        <w:t>∼</w:t>
      </w:r>
      <w:r w:rsidRPr="0003089E">
        <w:rPr>
          <w:rFonts w:ascii="Times New Roman" w:hAnsi="Times New Roman" w:cs="Times New Roman"/>
          <w:kern w:val="0"/>
        </w:rPr>
        <w:t xml:space="preserve"> 143 to </w:t>
      </w:r>
      <w:r w:rsidRPr="0003089E">
        <w:rPr>
          <w:rFonts w:ascii="Cambria Math" w:hAnsi="Cambria Math" w:cs="Cambria Math"/>
          <w:kern w:val="0"/>
        </w:rPr>
        <w:t>∼</w:t>
      </w:r>
      <w:r w:rsidRPr="0003089E">
        <w:rPr>
          <w:rFonts w:ascii="Times New Roman" w:hAnsi="Times New Roman" w:cs="Times New Roman"/>
          <w:kern w:val="0"/>
        </w:rPr>
        <w:t xml:space="preserve"> 21 fps. At </w:t>
      </w:r>
      <w:r w:rsidRPr="0003089E">
        <w:rPr>
          <w:rFonts w:ascii="Cambria Math" w:hAnsi="Cambria Math" w:cs="Cambria Math"/>
          <w:kern w:val="0"/>
        </w:rPr>
        <w:t>𝑁</w:t>
      </w:r>
      <w:r w:rsidRPr="0003089E">
        <w:rPr>
          <w:rFonts w:ascii="Times New Roman" w:hAnsi="Times New Roman" w:cs="Times New Roman"/>
          <w:kern w:val="0"/>
        </w:rPr>
        <w:t xml:space="preserve"> =8,192, it reaches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17.9 </w:t>
      </w:r>
      <w:proofErr w:type="spellStart"/>
      <w:r w:rsidRPr="0003089E">
        <w:rPr>
          <w:rFonts w:ascii="Times New Roman" w:hAnsi="Times New Roman" w:cs="Times New Roman"/>
          <w:kern w:val="0"/>
        </w:rPr>
        <w:t>ms</w:t>
      </w:r>
      <w:proofErr w:type="spellEnd"/>
      <w:r w:rsidRPr="0003089E">
        <w:rPr>
          <w:rFonts w:ascii="Times New Roman" w:hAnsi="Times New Roman" w:cs="Times New Roman"/>
          <w:kern w:val="0"/>
        </w:rPr>
        <w:t xml:space="preserve">/frame, with 2.2× speedup over GPU Jacobi, </w:t>
      </w:r>
      <w:r w:rsidRPr="0003089E">
        <w:rPr>
          <w:rFonts w:ascii="Cambria Math" w:hAnsi="Cambria Math" w:cs="Cambria Math"/>
          <w:kern w:val="0"/>
        </w:rPr>
        <w:t>∼</w:t>
      </w:r>
      <w:r w:rsidRPr="0003089E">
        <w:rPr>
          <w:rFonts w:ascii="Times New Roman" w:hAnsi="Times New Roman" w:cs="Times New Roman"/>
          <w:kern w:val="0"/>
        </w:rPr>
        <w:t xml:space="preserve"> 28× over GPU IC/DILU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 xml:space="preserve">(AMGX </w:t>
      </w:r>
      <w:proofErr w:type="spellStart"/>
      <w:r w:rsidRPr="0003089E">
        <w:rPr>
          <w:rFonts w:ascii="Times New Roman" w:hAnsi="Times New Roman" w:cs="Times New Roman"/>
          <w:kern w:val="0"/>
        </w:rPr>
        <w:t>multicolor_dilu</w:t>
      </w:r>
      <w:proofErr w:type="spellEnd"/>
      <w:r w:rsidRPr="0003089E">
        <w:rPr>
          <w:rFonts w:ascii="Times New Roman" w:hAnsi="Times New Roman" w:cs="Times New Roman"/>
          <w:kern w:val="0"/>
        </w:rPr>
        <w:t>), and 2.7× over neural SPAI retrained per scale</w:t>
      </w:r>
      <w:r>
        <w:rPr>
          <w:rFonts w:ascii="Times New Roman" w:hAnsi="Times New Roman" w:cs="Times New Roman"/>
          <w:kern w:val="0"/>
        </w:rPr>
        <w:t xml:space="preserve"> </w:t>
      </w:r>
      <w:r w:rsidRPr="0003089E">
        <w:rPr>
          <w:rFonts w:ascii="Times New Roman" w:hAnsi="Times New Roman" w:cs="Times New Roman"/>
          <w:kern w:val="0"/>
        </w:rPr>
        <w:t>on the same benchmark.</w:t>
      </w:r>
    </w:p>
    <w:sectPr w:rsidR="00981F60" w:rsidRPr="00030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3D"/>
    <w:rsid w:val="00014E05"/>
    <w:rsid w:val="0003089E"/>
    <w:rsid w:val="000564DA"/>
    <w:rsid w:val="00086AE9"/>
    <w:rsid w:val="000A36A6"/>
    <w:rsid w:val="000C242E"/>
    <w:rsid w:val="00123C36"/>
    <w:rsid w:val="00131C0E"/>
    <w:rsid w:val="0016560D"/>
    <w:rsid w:val="00220679"/>
    <w:rsid w:val="002D1DE5"/>
    <w:rsid w:val="00301878"/>
    <w:rsid w:val="003651E5"/>
    <w:rsid w:val="00372E63"/>
    <w:rsid w:val="0037389B"/>
    <w:rsid w:val="0037565C"/>
    <w:rsid w:val="003D6D18"/>
    <w:rsid w:val="00434BF1"/>
    <w:rsid w:val="00500E3E"/>
    <w:rsid w:val="00522CC1"/>
    <w:rsid w:val="005716C2"/>
    <w:rsid w:val="005A083E"/>
    <w:rsid w:val="005A3A25"/>
    <w:rsid w:val="005B1D06"/>
    <w:rsid w:val="006054E7"/>
    <w:rsid w:val="00634FF6"/>
    <w:rsid w:val="006527AE"/>
    <w:rsid w:val="006C068B"/>
    <w:rsid w:val="006C0F42"/>
    <w:rsid w:val="006F1340"/>
    <w:rsid w:val="006F46F1"/>
    <w:rsid w:val="006F4A78"/>
    <w:rsid w:val="007143BA"/>
    <w:rsid w:val="00740780"/>
    <w:rsid w:val="007822CE"/>
    <w:rsid w:val="0079185C"/>
    <w:rsid w:val="007C0605"/>
    <w:rsid w:val="007D278C"/>
    <w:rsid w:val="007F3F06"/>
    <w:rsid w:val="00801058"/>
    <w:rsid w:val="0080592A"/>
    <w:rsid w:val="00863BBA"/>
    <w:rsid w:val="00865763"/>
    <w:rsid w:val="00890CE9"/>
    <w:rsid w:val="008A7C8B"/>
    <w:rsid w:val="00914248"/>
    <w:rsid w:val="00963C0E"/>
    <w:rsid w:val="00981F60"/>
    <w:rsid w:val="009E2663"/>
    <w:rsid w:val="00A55E62"/>
    <w:rsid w:val="00A9141F"/>
    <w:rsid w:val="00B60503"/>
    <w:rsid w:val="00B6412C"/>
    <w:rsid w:val="00B73A37"/>
    <w:rsid w:val="00B76FE7"/>
    <w:rsid w:val="00B85EE4"/>
    <w:rsid w:val="00C214F8"/>
    <w:rsid w:val="00C31DC9"/>
    <w:rsid w:val="00C65C10"/>
    <w:rsid w:val="00C6673E"/>
    <w:rsid w:val="00C73F96"/>
    <w:rsid w:val="00CB5324"/>
    <w:rsid w:val="00CC665B"/>
    <w:rsid w:val="00CF27AC"/>
    <w:rsid w:val="00D03952"/>
    <w:rsid w:val="00D21233"/>
    <w:rsid w:val="00DD2221"/>
    <w:rsid w:val="00DD39A1"/>
    <w:rsid w:val="00E83088"/>
    <w:rsid w:val="00E95232"/>
    <w:rsid w:val="00EB7C90"/>
    <w:rsid w:val="00F02EB6"/>
    <w:rsid w:val="00F21FBE"/>
    <w:rsid w:val="00F3268D"/>
    <w:rsid w:val="00F41F65"/>
    <w:rsid w:val="00F95D4E"/>
    <w:rsid w:val="00FC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D7781"/>
  <w15:chartTrackingRefBased/>
  <w15:docId w15:val="{BD93F3AE-8BD3-7144-B569-3FF91A4D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Osborne</dc:creator>
  <cp:keywords/>
  <dc:description/>
  <cp:lastModifiedBy>Carl Osborne</cp:lastModifiedBy>
  <cp:revision>59</cp:revision>
  <dcterms:created xsi:type="dcterms:W3CDTF">2026-05-04T01:36:00Z</dcterms:created>
  <dcterms:modified xsi:type="dcterms:W3CDTF">2026-05-13T09:40:00Z</dcterms:modified>
</cp:coreProperties>
</file>