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231A7" w14:textId="4A8768D1" w:rsidR="00AF56A2" w:rsidRDefault="007C7FCC">
      <w:r>
        <w:t xml:space="preserve">-  </w:t>
      </w:r>
      <w:hyperlink r:id="rId5" w:history="1">
        <w:r w:rsidRPr="00413A4D">
          <w:rPr>
            <w:rStyle w:val="Hipervnculo"/>
          </w:rPr>
          <w:t>https://incidentdata</w:t>
        </w:r>
        <w:r w:rsidRPr="00413A4D">
          <w:rPr>
            <w:rStyle w:val="Hipervnculo"/>
          </w:rPr>
          <w:t>b</w:t>
        </w:r>
        <w:r w:rsidRPr="00413A4D">
          <w:rPr>
            <w:rStyle w:val="Hipervnculo"/>
          </w:rPr>
          <w:t>ase.ai/taxonomies/</w:t>
        </w:r>
      </w:hyperlink>
    </w:p>
    <w:p w14:paraId="56E45C1B" w14:textId="03F69CD8" w:rsidR="000370BD" w:rsidRPr="007C7FCC" w:rsidRDefault="007C7FCC">
      <w:pPr>
        <w:rPr>
          <w:b/>
          <w:bCs/>
          <w:i/>
          <w:iCs/>
          <w:sz w:val="36"/>
          <w:szCs w:val="36"/>
          <w:u w:val="single"/>
        </w:rPr>
      </w:pPr>
      <w:r w:rsidRPr="007C7FCC">
        <w:rPr>
          <w:b/>
          <w:bCs/>
          <w:i/>
          <w:iCs/>
          <w:sz w:val="36"/>
          <w:szCs w:val="36"/>
          <w:u w:val="single"/>
        </w:rPr>
        <w:t>NIST, TAXONOMY OF AI RISK</w:t>
      </w:r>
    </w:p>
    <w:p w14:paraId="67C41BDF" w14:textId="06259789" w:rsidR="000370BD" w:rsidRDefault="00000000">
      <w:pPr>
        <w:rPr>
          <w:rStyle w:val="Hipervnculo"/>
        </w:rPr>
      </w:pPr>
      <w:hyperlink r:id="rId6" w:history="1">
        <w:r w:rsidR="000370BD" w:rsidRPr="000370BD">
          <w:rPr>
            <w:rStyle w:val="Hipervnculo"/>
          </w:rPr>
          <w:t>https://www.nist.gov/system/files/documents/2021/10/15/taxonomy_AI_risks.pdf</w:t>
        </w:r>
      </w:hyperlink>
    </w:p>
    <w:p w14:paraId="63891C1C" w14:textId="40600DB7" w:rsidR="007C7FCC" w:rsidRDefault="007C7FCC">
      <w:r>
        <w:t>This white paper focuses on the preconditions of trust in AI and aims to further engage the AI community in a collaborative process to encourage consensus regarding terminology related to risk so that these types of risk may be identified and managed.</w:t>
      </w:r>
    </w:p>
    <w:p w14:paraId="739E6AFA" w14:textId="247133E4" w:rsidR="00A8464A" w:rsidRDefault="00A8464A">
      <w:r>
        <w:t>OECD (Organisation for Economic Co-operation and Development):</w:t>
      </w:r>
    </w:p>
    <w:p w14:paraId="1BB177FF" w14:textId="77777777" w:rsidR="007C7FCC" w:rsidRDefault="007C7FCC"/>
    <w:p w14:paraId="7A2A4744" w14:textId="01E0189A" w:rsidR="007C7FCC" w:rsidRPr="007C7FCC" w:rsidRDefault="007C7FCC" w:rsidP="007C7FCC">
      <w:pPr>
        <w:pStyle w:val="Prrafodelista"/>
        <w:numPr>
          <w:ilvl w:val="0"/>
          <w:numId w:val="1"/>
        </w:numPr>
        <w:rPr>
          <w:rStyle w:val="Hipervnculo"/>
          <w:u w:val="none"/>
        </w:rPr>
      </w:pPr>
      <w:r>
        <w:rPr>
          <w:rStyle w:val="Hipervnculo"/>
          <w:color w:val="auto"/>
          <w:u w:val="none"/>
        </w:rPr>
        <w:t>Traceability to human values (laws, human rights, democratic values, diversity…)</w:t>
      </w:r>
    </w:p>
    <w:p w14:paraId="17431B94" w14:textId="348939FD" w:rsidR="007C7FCC" w:rsidRPr="007C7FCC" w:rsidRDefault="007C7FCC" w:rsidP="007C7FCC">
      <w:pPr>
        <w:pStyle w:val="Prrafodelista"/>
        <w:numPr>
          <w:ilvl w:val="0"/>
          <w:numId w:val="1"/>
        </w:numPr>
        <w:rPr>
          <w:rStyle w:val="Hipervnculo"/>
          <w:u w:val="none"/>
        </w:rPr>
      </w:pPr>
      <w:r>
        <w:rPr>
          <w:rStyle w:val="Hipervnculo"/>
          <w:color w:val="auto"/>
          <w:u w:val="none"/>
        </w:rPr>
        <w:t>Transparency and responsible disclosure (understand AI outcomes and make the outcomes be based on information)</w:t>
      </w:r>
    </w:p>
    <w:p w14:paraId="189EEF1C" w14:textId="470C713D" w:rsidR="007C7FCC" w:rsidRPr="00A8464A" w:rsidRDefault="007C7FCC" w:rsidP="007C7FCC">
      <w:pPr>
        <w:pStyle w:val="Prrafodelista"/>
        <w:numPr>
          <w:ilvl w:val="0"/>
          <w:numId w:val="1"/>
        </w:numPr>
        <w:rPr>
          <w:rStyle w:val="Hipervnculo"/>
          <w:u w:val="none"/>
        </w:rPr>
      </w:pPr>
      <w:r>
        <w:rPr>
          <w:rStyle w:val="Hipervnculo"/>
          <w:color w:val="auto"/>
          <w:u w:val="none"/>
        </w:rPr>
        <w:t>Secure, safe and robust</w:t>
      </w:r>
      <w:r w:rsidR="00A8464A">
        <w:rPr>
          <w:rStyle w:val="Hipervnculo"/>
          <w:color w:val="auto"/>
          <w:u w:val="none"/>
        </w:rPr>
        <w:t xml:space="preserve"> AI’s to manage risks better</w:t>
      </w:r>
    </w:p>
    <w:p w14:paraId="7C155A7F" w14:textId="6FA05104" w:rsidR="00A8464A" w:rsidRPr="00A8464A" w:rsidRDefault="00A8464A" w:rsidP="007C7FCC">
      <w:pPr>
        <w:pStyle w:val="Prrafodelista"/>
        <w:numPr>
          <w:ilvl w:val="0"/>
          <w:numId w:val="1"/>
        </w:numPr>
        <w:rPr>
          <w:rStyle w:val="Hipervnculo"/>
          <w:u w:val="none"/>
        </w:rPr>
      </w:pPr>
      <w:r>
        <w:rPr>
          <w:rStyle w:val="Hipervnculo"/>
          <w:color w:val="auto"/>
          <w:u w:val="none"/>
        </w:rPr>
        <w:t>Responsibility to comply this points.</w:t>
      </w:r>
    </w:p>
    <w:p w14:paraId="1F4B4D6B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Similarly, the European Union Digital Strategyʼs Ethics Guidelines for Trustworthy AI2 identifies</w:t>
      </w:r>
    </w:p>
    <w:p w14:paraId="26E5D0B3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seven key principles of trustworthy AI:</w:t>
      </w:r>
    </w:p>
    <w:p w14:paraId="598419CC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• Human agency and oversight</w:t>
      </w:r>
    </w:p>
    <w:p w14:paraId="3BDE9ED8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• Technical robustness and safety</w:t>
      </w:r>
    </w:p>
    <w:p w14:paraId="6680A859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• Privacy and data governance</w:t>
      </w:r>
    </w:p>
    <w:p w14:paraId="70C73D0A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• Transparency</w:t>
      </w:r>
    </w:p>
    <w:p w14:paraId="267D9940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• Diversity, non-discrimination, and fairness</w:t>
      </w:r>
    </w:p>
    <w:p w14:paraId="3B6D0664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• Environmental and societal well-being</w:t>
      </w:r>
    </w:p>
    <w:p w14:paraId="609AF182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• Accountability</w:t>
      </w:r>
    </w:p>
    <w:p w14:paraId="332FF77F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Finally, US Executive Order 13960, Promoting the Use of Trustworthy Artificial Intelligence in the</w:t>
      </w:r>
    </w:p>
    <w:p w14:paraId="523692DC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Federal Government3 specifies that AI should be:</w:t>
      </w:r>
    </w:p>
    <w:p w14:paraId="12ACE5F4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• Lawful and respectful of our Nationʼs values.</w:t>
      </w:r>
    </w:p>
    <w:p w14:paraId="0DFE87ED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• Purposeful and performance-driven… using AI, where the benefits of doing so</w:t>
      </w:r>
    </w:p>
    <w:p w14:paraId="78B1511B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significantly outweigh the risks, and the risks can be assessed and managed</w:t>
      </w:r>
    </w:p>
    <w:p w14:paraId="5F969986" w14:textId="458179FC" w:rsid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• Accurate, reliable, and effective</w:t>
      </w:r>
    </w:p>
    <w:p w14:paraId="0F3F9D74" w14:textId="77777777" w:rsidR="00A8464A" w:rsidRDefault="00A8464A" w:rsidP="00A8464A">
      <w:r>
        <w:t xml:space="preserve">• Safe, secure, and resilient </w:t>
      </w:r>
    </w:p>
    <w:p w14:paraId="454B00A7" w14:textId="006A760E" w:rsidR="00A8464A" w:rsidRDefault="00A8464A" w:rsidP="00A8464A">
      <w:r>
        <w:t xml:space="preserve">• Understandable…by subject matter experts, users, and others, as appropriate </w:t>
      </w:r>
    </w:p>
    <w:p w14:paraId="5BC6C6C3" w14:textId="77777777" w:rsidR="00A8464A" w:rsidRDefault="00A8464A" w:rsidP="00A8464A">
      <w:r>
        <w:t>• Responsible and traceable</w:t>
      </w:r>
    </w:p>
    <w:p w14:paraId="44128596" w14:textId="77777777" w:rsidR="00A8464A" w:rsidRDefault="00A8464A" w:rsidP="00A8464A">
      <w:r>
        <w:t xml:space="preserve"> • Regularly monitored </w:t>
      </w:r>
    </w:p>
    <w:p w14:paraId="0F170012" w14:textId="77777777" w:rsidR="00A8464A" w:rsidRDefault="00A8464A" w:rsidP="00A8464A">
      <w:r>
        <w:lastRenderedPageBreak/>
        <w:t xml:space="preserve">• Transparent </w:t>
      </w:r>
    </w:p>
    <w:p w14:paraId="70A427CE" w14:textId="159BA509" w:rsidR="00A8464A" w:rsidRPr="00A8464A" w:rsidRDefault="00A8464A" w:rsidP="00A8464A">
      <w:pPr>
        <w:rPr>
          <w:rStyle w:val="Hipervnculo"/>
          <w:color w:val="auto"/>
          <w:u w:val="none"/>
        </w:rPr>
      </w:pPr>
      <w:r>
        <w:t>• Accountable</w:t>
      </w:r>
    </w:p>
    <w:p w14:paraId="736EBBD2" w14:textId="7DACA9F0" w:rsidR="00C872D2" w:rsidRDefault="00A8464A">
      <w:pPr>
        <w:rPr>
          <w:rStyle w:val="Hipervnculo"/>
          <w:b/>
          <w:bCs/>
          <w:color w:val="auto"/>
          <w:sz w:val="28"/>
          <w:szCs w:val="28"/>
          <w:u w:val="none"/>
        </w:rPr>
      </w:pPr>
      <w:r>
        <w:rPr>
          <w:rStyle w:val="Hipervnculo"/>
          <w:color w:val="auto"/>
          <w:u w:val="none"/>
        </w:rPr>
        <w:t xml:space="preserve">So we can divide in </w:t>
      </w:r>
      <w:r w:rsidRPr="00A8464A">
        <w:rPr>
          <w:rStyle w:val="Hipervnculo"/>
          <w:b/>
          <w:bCs/>
          <w:color w:val="auto"/>
          <w:sz w:val="28"/>
          <w:szCs w:val="28"/>
          <w:u w:val="none"/>
        </w:rPr>
        <w:t>categories of risk:</w:t>
      </w:r>
    </w:p>
    <w:p w14:paraId="4CB5A3BE" w14:textId="0057869D" w:rsidR="00A8464A" w:rsidRDefault="00A8464A" w:rsidP="00A8464A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Technical design attributes: factors under control of designers and developers.</w:t>
      </w:r>
    </w:p>
    <w:p w14:paraId="58A111A1" w14:textId="36CBE97E" w:rsidR="00A8464A" w:rsidRDefault="00A8464A" w:rsidP="00A8464A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How AI systems are perceived: transparency, explainability, interpretability. This means that some AI outputs need to be done by humans or interpreted by them rather than by an automated process.</w:t>
      </w:r>
    </w:p>
    <w:p w14:paraId="0BB5C357" w14:textId="29C43A65" w:rsidR="00A8464A" w:rsidRPr="0004601A" w:rsidRDefault="00A8464A" w:rsidP="0004601A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Guiding policies and principles: </w:t>
      </w:r>
      <w:r>
        <w:t>privacy, accountability, fairness, justice, equity, etc., which cannot be measured consistently across domains because of their dependence on context.</w:t>
      </w:r>
    </w:p>
    <w:p w14:paraId="15B154F9" w14:textId="34AEF3C0" w:rsidR="00A8464A" w:rsidRPr="00F6501C" w:rsidRDefault="00F6501C" w:rsidP="00F6501C">
      <w:pPr>
        <w:rPr>
          <w:rStyle w:val="Hipervnculo"/>
          <w:b/>
          <w:bCs/>
          <w:i/>
          <w:iCs/>
          <w:color w:val="auto"/>
          <w:sz w:val="36"/>
          <w:szCs w:val="36"/>
        </w:rPr>
      </w:pPr>
      <w:r>
        <w:rPr>
          <w:b/>
          <w:bCs/>
          <w:i/>
          <w:iCs/>
          <w:sz w:val="36"/>
          <w:szCs w:val="36"/>
          <w:u w:val="single"/>
        </w:rPr>
        <w:t>CSET AI Harm Taxonomy</w:t>
      </w:r>
    </w:p>
    <w:p w14:paraId="7B30FD47" w14:textId="32EED53B" w:rsidR="00C872D2" w:rsidRDefault="00000000">
      <w:pPr>
        <w:rPr>
          <w:rStyle w:val="Hipervnculo"/>
        </w:rPr>
      </w:pPr>
      <w:hyperlink r:id="rId7" w:history="1">
        <w:r w:rsidR="00C872D2" w:rsidRPr="00C872D2">
          <w:rPr>
            <w:rStyle w:val="Hipervnculo"/>
          </w:rPr>
          <w:t>https://github.com/georgetown-cset/CSET-AIID-harm-taxonomy/blob/main/CSET%20V1%20AI%20Annotation%20Guide%20(with%20Schema%20and%20Field%20Descriptions)%2025Jul2023.pdf</w:t>
        </w:r>
      </w:hyperlink>
    </w:p>
    <w:p w14:paraId="769AEED3" w14:textId="4456F594" w:rsidR="00F6501C" w:rsidRDefault="00F6501C">
      <w:r>
        <w:t>Taxonomy should characterize the harm associated with an AI incident.</w:t>
      </w:r>
    </w:p>
    <w:p w14:paraId="523C9AE4" w14:textId="02DC0223" w:rsidR="00F6501C" w:rsidRDefault="00F6501C">
      <w:r>
        <w:t>Differentiate between tangible and intangible harm.</w:t>
      </w:r>
    </w:p>
    <w:p w14:paraId="4207E4A5" w14:textId="27F706E2" w:rsidR="00F6501C" w:rsidRDefault="00F6501C">
      <w:r>
        <w:t>Tangible harm: incidents involving observable injury, loss, or damage. Differentiate between events(harm needs to have definitely occurred) , near-missses(inminent risk of harm), and issues (non-inminent risk of harm)</w:t>
      </w:r>
    </w:p>
    <w:p w14:paraId="4E757D34" w14:textId="47362967" w:rsidR="00F6501C" w:rsidRDefault="00F6501C">
      <w:r>
        <w:t>Intangible harm: non-directly observable. Depends on social norms, context.</w:t>
      </w:r>
    </w:p>
    <w:p w14:paraId="2F70539C" w14:textId="06BD13F4" w:rsidR="00F6501C" w:rsidRDefault="00F6501C" w:rsidP="00F6501C">
      <w:r>
        <w:t>We can separate intangible harm in 1)harm to civil liberties, rights, human rights,  or democratic norms 2) detrimental content (hate-speech, misinformation) and 3) different treatment based on a characteristic.</w:t>
      </w:r>
    </w:p>
    <w:p w14:paraId="59987A6F" w14:textId="77777777" w:rsidR="00F6501C" w:rsidRDefault="00F6501C" w:rsidP="00F6501C"/>
    <w:p w14:paraId="460C3227" w14:textId="56604940" w:rsidR="00F6501C" w:rsidRPr="0004601A" w:rsidRDefault="0004601A" w:rsidP="0004601A">
      <w:pPr>
        <w:rPr>
          <w:b/>
          <w:bCs/>
        </w:rPr>
      </w:pPr>
      <w:r w:rsidRPr="00A8464A">
        <w:rPr>
          <w:rStyle w:val="Hipervnculo"/>
          <w:b/>
          <w:bCs/>
          <w:color w:val="auto"/>
          <w:u w:val="none"/>
        </w:rPr>
        <w:t>PROPOSED TAXONOMY:</w:t>
      </w:r>
    </w:p>
    <w:p w14:paraId="6B8582D6" w14:textId="770DD941" w:rsidR="0004601A" w:rsidRDefault="0004601A" w:rsidP="0004601A">
      <w:pPr>
        <w:pStyle w:val="Prrafodelista"/>
        <w:numPr>
          <w:ilvl w:val="0"/>
          <w:numId w:val="1"/>
        </w:numPr>
      </w:pPr>
      <w:r>
        <w:t>Harm to collectives, nations, or against freedom of choice</w:t>
      </w:r>
      <w:r w:rsidR="0096755D">
        <w:t>, biased answers…</w:t>
      </w:r>
    </w:p>
    <w:p w14:paraId="20F3E685" w14:textId="0432731D" w:rsidR="0004601A" w:rsidRDefault="0004601A" w:rsidP="0004601A">
      <w:pPr>
        <w:pStyle w:val="Prrafodelista"/>
        <w:numPr>
          <w:ilvl w:val="0"/>
          <w:numId w:val="1"/>
        </w:numPr>
      </w:pPr>
      <w:r>
        <w:t>Failure of automatic tasks (self-driving, facial recognition…)</w:t>
      </w:r>
    </w:p>
    <w:p w14:paraId="48987BDE" w14:textId="510D16BC" w:rsidR="0004601A" w:rsidRDefault="0004601A" w:rsidP="0004601A">
      <w:pPr>
        <w:pStyle w:val="Prrafodelista"/>
        <w:numPr>
          <w:ilvl w:val="0"/>
          <w:numId w:val="1"/>
        </w:numPr>
      </w:pPr>
      <w:r>
        <w:t>Accidents related to robots usage or misuse</w:t>
      </w:r>
    </w:p>
    <w:p w14:paraId="488F2B4C" w14:textId="2CC24AD1" w:rsidR="0004601A" w:rsidRDefault="0096755D" w:rsidP="0004601A">
      <w:pPr>
        <w:pStyle w:val="Prrafodelista"/>
        <w:numPr>
          <w:ilvl w:val="0"/>
          <w:numId w:val="1"/>
        </w:numPr>
      </w:pPr>
      <w:r>
        <w:t xml:space="preserve">Errors because not-enough development, more training needed … </w:t>
      </w:r>
    </w:p>
    <w:p w14:paraId="50DA8B80" w14:textId="78D5D987" w:rsidR="0096755D" w:rsidRPr="00F6501C" w:rsidRDefault="0096755D" w:rsidP="0004601A">
      <w:pPr>
        <w:pStyle w:val="Prrafodelista"/>
        <w:numPr>
          <w:ilvl w:val="0"/>
          <w:numId w:val="1"/>
        </w:numPr>
      </w:pPr>
      <w:r>
        <w:t>Not clear, transparent, based on information answers</w:t>
      </w:r>
    </w:p>
    <w:sectPr w:rsidR="0096755D" w:rsidRPr="00F650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15A82"/>
    <w:multiLevelType w:val="hybridMultilevel"/>
    <w:tmpl w:val="AC0CC1AC"/>
    <w:lvl w:ilvl="0" w:tplc="00E4AC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948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B6"/>
    <w:rsid w:val="000370BD"/>
    <w:rsid w:val="0004601A"/>
    <w:rsid w:val="007C7FCC"/>
    <w:rsid w:val="0096755D"/>
    <w:rsid w:val="00A663B6"/>
    <w:rsid w:val="00A8464A"/>
    <w:rsid w:val="00AF56A2"/>
    <w:rsid w:val="00C872D2"/>
    <w:rsid w:val="00D146FD"/>
    <w:rsid w:val="00F35749"/>
    <w:rsid w:val="00F6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D4090"/>
  <w15:chartTrackingRefBased/>
  <w15:docId w15:val="{79CE347D-4B9E-4E65-8AC4-7DC848E4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70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0B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872D2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7C7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eorgetown-cset/CSET-AIID-harm-taxonomy/blob/main/CSET%20V1%20AI%20Annotation%20Guide%20(with%20Schema%20and%20Field%20Descriptions)%2025Jul202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ist.gov/system/files/documents/2021/10/15/taxonomy_AI_risks.pdf" TargetMode="External"/><Relationship Id="rId5" Type="http://schemas.openxmlformats.org/officeDocument/2006/relationships/hyperlink" Target="https://incidentdatabase.ai/taxonomi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Óscar Montoya</dc:creator>
  <cp:keywords/>
  <dc:description/>
  <cp:lastModifiedBy>Óscar Montoya</cp:lastModifiedBy>
  <cp:revision>6</cp:revision>
  <dcterms:created xsi:type="dcterms:W3CDTF">2023-10-02T20:37:00Z</dcterms:created>
  <dcterms:modified xsi:type="dcterms:W3CDTF">2023-10-09T17:30:00Z</dcterms:modified>
</cp:coreProperties>
</file>