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mc:Ignorable="w14 w15 wp14">
  <w:body>
    <w:p>
      <w:pPr>
        <w:spacing w:after="0" w:before="0" w:line="240" w:lineRule="auto"/>
      </w:pPr>
      <w:r>
        <w:drawing>
          <wp:anchor distT="0" distB="0" distL="114300" distR="114300" simplePos="0" relativeHeight="251659264" behindDoc="1" locked="0" layoutInCell="1" allowOverlap="1" wp14:anchorId="32ADB19F" wp14:editId="3EC6DC68">
            <wp:simplePos x="0" y="0"/>
            <wp:positionH relativeFrom="page">
              <wp:align>center</wp:align>
            </wp:positionH>
            <wp:positionV relativeFrom="page">
              <wp:align>center</wp:align>
            </wp:positionV>
            <wp:extent cx="7772400" cy="10058400"/>
            <wp:effectExtent l="0" t="0" r="0" b="0"/>
            <wp:wrapNone/>
            <wp:docPr id="9001" name="Rectangle Background"/>
            <wp:cNvGraphicFramePr/>
            <a:graphic>
              <a:graphicData uri="http://schemas.microsoft.com/office/word/2010/wordprocessingShape">
                <wps:wsp>
                  <wps:cNvSpPr/>
                  <wps:spPr>
                    <a:xfrm>
                      <a:off x="0" y="0"/>
                      <a:ext cx="7772400" cy="10058400"/>
                    </a:xfrm>
                    <a:prstGeom prst="rect">
                      <a:avLst/>
                    </a:prstGeom>
                    <a:solidFill>
                      <a:srgbClr val="000F47"/>
                    </a:solidFill>
                    <a:ln>
                      <a:noFill/>
                    </a:ln>
                  </wps:spPr>
                  <wps:style>
                    <a:lnRef idx="2">
                      <a:schemeClr val="accent1">
                        <a:shade val="15000"/>
                      </a:schemeClr>
                    </a:lnRef>
                    <a:fillRef idx="1">
                      <a:schemeClr val="accent1"/>
                    </a:fillRef>
                    <a:effectRef idx="0">
                      <a:schemeClr val="accent1"/>
                    </a:effectRef>
                    <a:fontRef idx="minor">
                      <a:schemeClr val="lt1"/>
                    </a:fontRef>
                  </wps:style>
                  <wps:bodyPr rot="0" vert="horz" wrap="square" lIns="91440" tIns="45720" rIns="91440" bIns="4572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jc w:val="left"/>
      </w:pPr>
      <w:r>
        <w:drawing>
          <wp:inline distT="0" distB="0" distL="0" distR="0">
            <wp:extent cx="1914525" cy="419100"/>
            <wp:effectExtent t="0" r="0" b="0" l="0"/>
            <wp:docPr id="1" name="" descr="" title=""/>
            <wp:cNvGraphicFramePr>
              <a:graphicFrameLocks noChangeAspect="1"/>
            </wp:cNvGraphicFramePr>
            <a:graphic>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14525" cy="419100"/>
                    </a:xfrm>
                    <a:prstGeom prst="rect">
                      <a:avLst/>
                    </a:prstGeom>
                  </pic:spPr>
                </pic:pic>
              </a:graphicData>
            </a:graphic>
          </wp:inline>
        </w:drawing>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jc w:val="left"/>
      </w:pPr>
      <w:r>
        <w:rPr>
          <w:rFonts w:ascii="Marsh Serif" w:cs="Marsh Serif" w:eastAsia="Marsh Serif" w:hAnsi="Marsh Serif"/>
          <w:b/>
          <w:bCs/>
          <w:caps/>
          <w:color w:val="FFFFFF"/>
          <w:sz w:val="64"/>
          <w:szCs w:val="64"/>
        </w:rPr>
        <w:t xml:space="preserve">Manual de Procedimiento en caso de siniestro</w:t>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pPr>
      <w:r>
        <w:rPr>
          <w:rFonts w:ascii="Noto Sans" w:cs="Noto Sans" w:eastAsia="Noto Sans" w:hAnsi="Noto Sans"/>
          <w:color w:val="FFFFFF"/>
          <w:sz w:val="22"/>
          <w:szCs w:val="22"/>
        </w:rPr>
        <w:t xml:space="preserve"> </w:t>
      </w:r>
    </w:p>
    <w:p>
      <w:pPr>
        <w:spacing w:after="0" w:before="0" w:line="240" w:lineRule="auto"/>
        <w:jc w:val="left"/>
      </w:pPr>
      <w:r>
        <w:rPr>
          <w:rFonts w:ascii="Noto Sans" w:cs="Noto Sans" w:eastAsia="Noto Sans" w:hAnsi="Noto Sans"/>
          <w:b w:val="false"/>
          <w:bCs w:val="false"/>
          <w:caps w:val="false"/>
          <w:color w:val="FFFFFF"/>
          <w:sz w:val="36"/>
          <w:szCs w:val="36"/>
        </w:rPr>
        <w:t xml:space="preserve">{{ companyName }}</w:t>
      </w:r>
    </w:p>
    <w:p>
      <w:pPr>
        <w:sectPr>
          <w:type w:val="nextPage"/>
          <w:pgSz w:w="12240" w:h="15840" w:orient="portrait"/>
          <w:pgMar w:top="1440" w:right="1077" w:bottom="1440" w:left="1077" w:header="708" w:footer="708" w:gutter="0"/>
          <w:pgNumType/>
          <w:docGrid w:linePitch="360"/>
        </w:sectPr>
      </w:pPr>
    </w:p>
    <w:p>
      <w:pPr>
        <w:spacing w:after="360" w:before="0" w:line="240" w:lineRule="auto"/>
      </w:pPr>
      <w:r>
        <w:rPr>
          <w:rFonts w:ascii="Noto Sans" w:cs="Noto Sans" w:eastAsia="Noto Sans" w:hAnsi="Noto Sans"/>
          <w:b/>
          <w:bCs/>
          <w:caps/>
          <w:color w:val="000F47"/>
          <w:sz w:val="36"/>
          <w:szCs w:val="36"/>
        </w:rPr>
        <w:t xml:space="preserve">CONTENIDO</w:t>
      </w:r>
    </w:p>
    <w:p>
      <w:pPr>
        <w:spacing w:after="0" w:before="0"/>
      </w:pPr>
      <w:r>
        <w:rPr>
          <w:sz w:val="2"/>
          <w:szCs w:val="2"/>
        </w:rPr>
        <w:t xml:space="preserve">{%p for item in indexItems %}</w:t>
      </w:r>
    </w:p>
    <w:p>
      <w:pPr>
        <w:pStyle w:val="ListParagraph"/>
        <w:numPr>
          <w:ilvl w:val="0"/>
          <w:numId w:val="2"/>
        </w:numPr>
        <w:tabs>
          <w:tab w:val="right" w:pos="9350" w:leader="dot"/>
        </w:tabs>
        <w:spacing w:after="0" w:before="300" w:line="300" w:lineRule="exact"/>
        <w:ind w:left="357" w:hanging="357"/>
      </w:pPr>
      <w:r>
        <w:rPr>
          <w:rFonts w:ascii="Noto Sans" w:cs="Noto Sans" w:eastAsia="Noto Sans" w:hAnsi="Noto Sans"/>
          <w:b w:val="false"/>
          <w:bCs w:val="false"/>
          <w:caps w:val="false"/>
          <w:color w:val="000000"/>
          <w:sz w:val="24"/>
          <w:szCs w:val="24"/>
        </w:rPr>
        <w:t xml:space="preserve">{{ item.name }}</w:t>
      </w:r>
      <w:r>
        <w:rPr>
          <w:rFonts w:ascii="Noto Sans" w:cs="Noto Sans" w:eastAsia="Noto Sans" w:hAnsi="Noto Sans"/>
          <w:sz w:val="24"/>
          <w:szCs w:val="24"/>
        </w:rPr>
        <w:t xml:space="preserve">	</w:t>
      </w:r>
      <w:r>
        <w:rPr>
          <w:rFonts w:ascii="Noto Sans" w:cs="Noto Sans" w:eastAsia="Noto Sans" w:hAnsi="Noto Sans"/>
          <w:b w:val="false"/>
          <w:bCs w:val="false"/>
          <w:caps w:val="false"/>
          <w:color w:val="000000"/>
          <w:sz w:val="24"/>
          <w:szCs w:val="24"/>
        </w:rPr>
        <w:t xml:space="preserve">{{ item.startPage }}</w:t>
      </w:r>
    </w:p>
    <w:p>
      <w:pPr>
        <w:spacing w:after="0" w:before="0"/>
      </w:pPr>
      <w:r>
        <w:rPr>
          <w:sz w:val="2"/>
          <w:szCs w:val="2"/>
        </w:rPr>
        <w:t xml:space="preserve">{%p endfor %}</w:t>
      </w:r>
    </w:p>
    <w:p>
      <w:pPr>
        <w:sectPr>
          <w:headerReference w:type="default" r:id="rId7"/>
          <w:type w:val="nextPage"/>
          <w:pgSz w:w="12240" w:h="15840" w:orient="portrait"/>
          <w:pgMar w:top="2892" w:right="1440" w:bottom="1888" w:left="1440" w:header="708" w:footer="708" w:gutter="0"/>
          <w:pgNumType/>
          <w:docGrid w:linePitch="360"/>
        </w:sectPr>
      </w:pP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Aspectos Generales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Actuar en todo momento como si no existiera seguro, empleando en todo momento los medios necesarios para evitar o minimizar las pérdidas.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Dar aviso de inmediato a los organismos o instituciones encargadas de acuerdo al tipo de siniestro:</w:t>
      </w:r>
    </w:p>
    <w:p>
      <w:pPr>
        <w:spacing w:after="0" w:before="0" w:line="240" w:lineRule="auto"/>
      </w:pPr>
      <w:r>
        <w:rPr>
          <w:rFonts w:ascii="Noto Sans" w:cs="Noto Sans" w:eastAsia="Noto Sans" w:hAnsi="Noto Sans"/>
          <w:sz w:val="22"/>
          <w:szCs w:val="22"/>
        </w:rPr>
        <w:t xml:space="preserve"> </w:t>
      </w:r>
    </w:p>
    <w:tbl>
      <w:tblPr>
        <w:tblW w:type="auto" w:w="100"/>
        <w:tblInd w:type="dxa" w:w="45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3"/>
        <w:gridCol w:w="2614"/>
        <w:gridCol w:w="3056"/>
      </w:tblGrid>
      <w:tr>
        <w:trPr>
          <w:tblHeader w:val="false"/>
          <w:trHeight w:val="794" w:hRule="atLeast"/>
        </w:trPr>
        <w:tc>
          <w:tcPr>
            <w:tcBorders>
              <w:top w:val="double" w:color="000000" w:sz="4"/>
              <w:left w:val="double" w:color="000000" w:sz="4"/>
              <w:bottom w:val="none" w:color="FFFFFF" w:sz="0"/>
              <w:right w:val="none" w:color="FFFFFF" w:sz="0"/>
            </w:tcBorders>
            <w:vAlign w:val="center"/>
          </w:tcPr>
          <w:p>
            <w:pPr>
              <w:spacing w:after="0" w:before="0" w:line="240" w:lineRule="auto"/>
              <w:jc w:val="left"/>
            </w:pPr>
            <w:r>
              <w:rPr>
                <w:rFonts w:ascii="Noto Sans" w:cs="Noto Sans" w:eastAsia="Noto Sans" w:hAnsi="Noto Sans"/>
                <w:b/>
                <w:bCs/>
                <w:caps w:val="false"/>
                <w:color w:val="000000"/>
                <w:sz w:val="22"/>
                <w:szCs w:val="22"/>
              </w:rPr>
              <w:t xml:space="preserve">  Organismo</w:t>
            </w:r>
          </w:p>
        </w:tc>
        <w:tc>
          <w:tcPr>
            <w:tcBorders>
              <w:top w:val="double" w:color="000000" w:sz="4"/>
              <w:left w:val="none" w:color="FFFFFF" w:sz="0"/>
              <w:bottom w:val="none" w:color="FFFFFF" w:sz="0"/>
              <w:right w:val="none" w:color="FFFFFF" w:sz="0"/>
            </w:tcBorders>
            <w:vAlign w:val="center"/>
          </w:tcPr>
          <w:p>
            <w:pPr>
              <w:spacing w:after="0" w:before="0" w:line="240" w:lineRule="auto"/>
              <w:jc w:val="center"/>
            </w:pPr>
            <w:r>
              <w:rPr>
                <w:rFonts w:ascii="Noto Sans" w:cs="Noto Sans" w:eastAsia="Noto Sans" w:hAnsi="Noto Sans"/>
                <w:b/>
                <w:bCs/>
                <w:caps w:val="false"/>
                <w:color w:val="000000"/>
                <w:sz w:val="22"/>
                <w:szCs w:val="22"/>
              </w:rPr>
              <w:t xml:space="preserve">Emergencia</w:t>
            </w:r>
          </w:p>
        </w:tc>
        <w:tc>
          <w:tcPr>
            <w:tcBorders>
              <w:top w:val="double" w:color="000000" w:sz="4"/>
              <w:left w:val="none" w:color="FFFFFF" w:sz="0"/>
              <w:bottom w:val="none" w:color="FFFFFF" w:sz="0"/>
              <w:right w:val="double" w:color="000000" w:sz="4"/>
            </w:tcBorders>
            <w:vAlign w:val="center"/>
          </w:tcPr>
          <w:p>
            <w:pPr>
              <w:spacing w:after="0" w:before="0" w:line="240" w:lineRule="auto"/>
              <w:jc w:val="center"/>
            </w:pPr>
            <w:r>
              <w:rPr>
                <w:rFonts w:ascii="Noto Sans" w:cs="Noto Sans" w:eastAsia="Noto Sans" w:hAnsi="Noto Sans"/>
                <w:b/>
                <w:bCs/>
                <w:caps w:val="false"/>
                <w:color w:val="000000"/>
                <w:sz w:val="22"/>
                <w:szCs w:val="22"/>
              </w:rPr>
              <w:t xml:space="preserve">Central</w:t>
            </w:r>
          </w:p>
        </w:tc>
      </w:tr>
      <w:tr>
        <w:trPr>
          <w:trHeight w:val="794" w:hRule="atLeast"/>
        </w:trPr>
        <w:tc>
          <w:tcPr>
            <w:tcBorders>
              <w:top w:val="none" w:color="FFFFFF" w:sz="0"/>
              <w:left w:val="double" w:color="000000" w:sz="4"/>
              <w:bottom w:val="none" w:color="FFFFFF" w:sz="0"/>
              <w:right w:val="none" w:color="FFFFFF" w:sz="0"/>
            </w:tcBorders>
            <w:tcMar>
              <w:top w:type="dxa" w:w="100"/>
              <w:left w:type="dxa" w:w="100"/>
              <w:bottom w:type="dxa" w:w="100"/>
              <w:right w:type="dxa" w:w="100"/>
            </w:tcMar>
            <w:vAlign w:val="center"/>
          </w:tcPr>
          <w:p>
            <w:pPr>
              <w:pStyle w:val="ListParagraph"/>
              <w:numPr>
                <w:ilvl w:val="0"/>
                <w:numId w:val="5"/>
              </w:numPr>
              <w:spacing w:after="0" w:before="0" w:line="240" w:lineRule="auto"/>
              <w:jc w:val="left"/>
            </w:pPr>
            <w:r>
              <w:rPr>
                <w:rFonts w:ascii="Noto Sans" w:cs="Noto Sans" w:eastAsia="Noto Sans" w:hAnsi="Noto Sans"/>
                <w:b/>
                <w:bCs/>
                <w:caps w:val="false"/>
                <w:color w:val="000000"/>
                <w:sz w:val="22"/>
                <w:szCs w:val="22"/>
              </w:rPr>
              <w:t xml:space="preserve">Central de Bomberos</w:t>
            </w:r>
          </w:p>
        </w:tc>
        <w:tc>
          <w:tcPr>
            <w:tcBorders>
              <w:top w:val="none" w:color="FFFFFF" w:sz="0"/>
              <w:left w:val="none" w:color="FFFFFF" w:sz="0"/>
              <w:bottom w:val="none" w:color="FFFFFF" w:sz="0"/>
              <w:right w:val="none" w:color="FFFFFF" w:sz="0"/>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116</w:t>
            </w:r>
          </w:p>
        </w:tc>
        <w:tc>
          <w:tcPr>
            <w:tcBorders>
              <w:top w:val="none" w:color="FFFFFF" w:sz="0"/>
              <w:left w:val="none" w:color="FFFFFF" w:sz="0"/>
              <w:bottom w:val="none" w:color="FFFFFF" w:sz="0"/>
              <w:right w:val="double" w:color="000000" w:sz="4"/>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222-0222</w:t>
            </w:r>
          </w:p>
        </w:tc>
      </w:tr>
      <w:tr>
        <w:trPr>
          <w:trHeight w:val="794" w:hRule="atLeast"/>
        </w:trPr>
        <w:tc>
          <w:tcPr>
            <w:tcBorders>
              <w:top w:val="none" w:color="FFFFFF" w:sz="0"/>
              <w:left w:val="double" w:color="000000" w:sz="4"/>
              <w:bottom w:val="none" w:color="FFFFFF" w:sz="0"/>
              <w:right w:val="none" w:color="FFFFFF" w:sz="0"/>
            </w:tcBorders>
            <w:tcMar>
              <w:top w:type="dxa" w:w="100"/>
              <w:left w:type="dxa" w:w="100"/>
              <w:bottom w:type="dxa" w:w="100"/>
              <w:right w:type="dxa" w:w="100"/>
            </w:tcMar>
            <w:vAlign w:val="center"/>
          </w:tcPr>
          <w:p>
            <w:pPr>
              <w:pStyle w:val="ListParagraph"/>
              <w:numPr>
                <w:ilvl w:val="0"/>
                <w:numId w:val="5"/>
              </w:numPr>
              <w:spacing w:after="0" w:before="0" w:line="240" w:lineRule="auto"/>
              <w:jc w:val="left"/>
            </w:pPr>
            <w:r>
              <w:rPr>
                <w:rFonts w:ascii="Noto Sans" w:cs="Noto Sans" w:eastAsia="Noto Sans" w:hAnsi="Noto Sans"/>
                <w:b/>
                <w:bCs/>
                <w:caps w:val="false"/>
                <w:color w:val="000000"/>
                <w:sz w:val="22"/>
                <w:szCs w:val="22"/>
              </w:rPr>
              <w:t xml:space="preserve">Emergencia Policial</w:t>
            </w:r>
          </w:p>
        </w:tc>
        <w:tc>
          <w:tcPr>
            <w:tcBorders>
              <w:top w:val="none" w:color="FFFFFF" w:sz="0"/>
              <w:left w:val="none" w:color="FFFFFF" w:sz="0"/>
              <w:bottom w:val="none" w:color="FFFFFF" w:sz="0"/>
              <w:right w:val="none" w:color="FFFFFF" w:sz="0"/>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105</w:t>
            </w:r>
          </w:p>
        </w:tc>
        <w:tc>
          <w:tcPr>
            <w:tcBorders>
              <w:top w:val="none" w:color="FFFFFF" w:sz="0"/>
              <w:left w:val="none" w:color="FFFFFF" w:sz="0"/>
              <w:bottom w:val="none" w:color="FFFFFF" w:sz="0"/>
              <w:right w:val="double" w:color="000000" w:sz="4"/>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475-2995 / 225-0220</w:t>
            </w:r>
          </w:p>
        </w:tc>
      </w:tr>
      <w:tr>
        <w:trPr>
          <w:trHeight w:val="794" w:hRule="atLeast"/>
        </w:trPr>
        <w:tc>
          <w:tcPr>
            <w:tcBorders>
              <w:top w:val="none" w:color="FFFFFF" w:sz="0"/>
              <w:left w:val="double" w:color="000000" w:sz="4"/>
              <w:bottom w:val="none" w:color="FFFFFF" w:sz="0"/>
              <w:right w:val="none" w:color="FFFFFF" w:sz="0"/>
            </w:tcBorders>
            <w:tcMar>
              <w:top w:type="dxa" w:w="100"/>
              <w:left w:type="dxa" w:w="100"/>
              <w:bottom w:type="dxa" w:w="100"/>
              <w:right w:type="dxa" w:w="100"/>
            </w:tcMar>
            <w:vAlign w:val="center"/>
          </w:tcPr>
          <w:p>
            <w:pPr>
              <w:pStyle w:val="ListParagraph"/>
              <w:numPr>
                <w:ilvl w:val="0"/>
                <w:numId w:val="5"/>
              </w:numPr>
              <w:spacing w:after="0" w:before="0" w:line="240" w:lineRule="auto"/>
              <w:jc w:val="left"/>
            </w:pPr>
            <w:r>
              <w:rPr>
                <w:rFonts w:ascii="Noto Sans" w:cs="Noto Sans" w:eastAsia="Noto Sans" w:hAnsi="Noto Sans"/>
                <w:b/>
                <w:bCs/>
                <w:caps w:val="false"/>
                <w:color w:val="000000"/>
                <w:sz w:val="22"/>
                <w:szCs w:val="22"/>
              </w:rPr>
              <w:t xml:space="preserve">Defensa Civil (Lima)</w:t>
            </w:r>
          </w:p>
        </w:tc>
        <w:tc>
          <w:tcPr>
            <w:tcBorders>
              <w:top w:val="none" w:color="FFFFFF" w:sz="0"/>
              <w:left w:val="none" w:color="FFFFFF" w:sz="0"/>
              <w:bottom w:val="none" w:color="FFFFFF" w:sz="0"/>
              <w:right w:val="none" w:color="FFFFFF" w:sz="0"/>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115</w:t>
            </w:r>
          </w:p>
        </w:tc>
        <w:tc>
          <w:tcPr>
            <w:tcBorders>
              <w:top w:val="none" w:color="FFFFFF" w:sz="0"/>
              <w:left w:val="none" w:color="FFFFFF" w:sz="0"/>
              <w:bottom w:val="none" w:color="FFFFFF" w:sz="0"/>
              <w:right w:val="double" w:color="000000" w:sz="4"/>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225-9898</w:t>
            </w:r>
          </w:p>
        </w:tc>
      </w:tr>
      <w:tr>
        <w:trPr>
          <w:trHeight w:val="794" w:hRule="atLeast"/>
        </w:trPr>
        <w:tc>
          <w:tcPr>
            <w:tcBorders>
              <w:top w:val="none" w:color="FFFFFF" w:sz="0"/>
              <w:left w:val="double" w:color="000000" w:sz="4"/>
              <w:bottom w:val="none" w:color="FFFFFF" w:sz="0"/>
              <w:right w:val="none" w:color="FFFFFF" w:sz="0"/>
            </w:tcBorders>
            <w:tcMar>
              <w:top w:type="dxa" w:w="100"/>
              <w:left w:type="dxa" w:w="100"/>
              <w:bottom w:type="dxa" w:w="100"/>
              <w:right w:type="dxa" w:w="100"/>
            </w:tcMar>
            <w:vAlign w:val="center"/>
          </w:tcPr>
          <w:p>
            <w:pPr>
              <w:pStyle w:val="ListParagraph"/>
              <w:numPr>
                <w:ilvl w:val="0"/>
                <w:numId w:val="5"/>
              </w:numPr>
              <w:spacing w:after="0" w:before="0" w:line="240" w:lineRule="auto"/>
              <w:jc w:val="left"/>
            </w:pPr>
            <w:r>
              <w:rPr>
                <w:rFonts w:ascii="Noto Sans" w:cs="Noto Sans" w:eastAsia="Noto Sans" w:hAnsi="Noto Sans"/>
                <w:b/>
                <w:bCs/>
                <w:caps w:val="false"/>
                <w:color w:val="000000"/>
                <w:sz w:val="22"/>
                <w:szCs w:val="22"/>
              </w:rPr>
              <w:t xml:space="preserve">Defensa Civil (Callao)</w:t>
            </w:r>
          </w:p>
        </w:tc>
        <w:tc>
          <w:tcPr>
            <w:tcBorders>
              <w:top w:val="none" w:color="FFFFFF" w:sz="0"/>
              <w:left w:val="none" w:color="FFFFFF" w:sz="0"/>
              <w:bottom w:val="none" w:color="FFFFFF" w:sz="0"/>
              <w:right w:val="none" w:color="FFFFFF" w:sz="0"/>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
            </w:r>
          </w:p>
        </w:tc>
        <w:tc>
          <w:tcPr>
            <w:tcBorders>
              <w:top w:val="none" w:color="FFFFFF" w:sz="0"/>
              <w:left w:val="none" w:color="FFFFFF" w:sz="0"/>
              <w:bottom w:val="none" w:color="FFFFFF" w:sz="0"/>
              <w:right w:val="double" w:color="000000" w:sz="4"/>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429-4245</w:t>
            </w:r>
          </w:p>
        </w:tc>
      </w:tr>
      <w:tr>
        <w:trPr>
          <w:trHeight w:val="794" w:hRule="atLeast"/>
        </w:trPr>
        <w:tc>
          <w:tcPr>
            <w:tcBorders>
              <w:top w:val="none" w:color="FFFFFF" w:sz="0"/>
              <w:left w:val="double" w:color="000000" w:sz="4"/>
              <w:bottom w:val="none" w:color="FFFFFF" w:sz="0"/>
              <w:right w:val="none" w:color="FFFFFF" w:sz="0"/>
            </w:tcBorders>
            <w:tcMar>
              <w:top w:type="dxa" w:w="100"/>
              <w:left w:type="dxa" w:w="100"/>
              <w:bottom w:type="dxa" w:w="100"/>
              <w:right w:type="dxa" w:w="100"/>
            </w:tcMar>
            <w:vAlign w:val="center"/>
          </w:tcPr>
          <w:p>
            <w:pPr>
              <w:pStyle w:val="ListParagraph"/>
              <w:numPr>
                <w:ilvl w:val="0"/>
                <w:numId w:val="5"/>
              </w:numPr>
              <w:spacing w:after="0" w:before="0" w:line="240" w:lineRule="auto"/>
              <w:jc w:val="left"/>
            </w:pPr>
            <w:r>
              <w:rPr>
                <w:rFonts w:ascii="Noto Sans" w:cs="Noto Sans" w:eastAsia="Noto Sans" w:hAnsi="Noto Sans"/>
                <w:b/>
                <w:bCs/>
                <w:caps w:val="false"/>
                <w:color w:val="000000"/>
                <w:sz w:val="22"/>
                <w:szCs w:val="22"/>
              </w:rPr>
              <w:t xml:space="preserve">Dirección Nacional Contra el Terrorismo - DIRCOTE</w:t>
            </w:r>
          </w:p>
        </w:tc>
        <w:tc>
          <w:tcPr>
            <w:tcBorders>
              <w:top w:val="none" w:color="FFFFFF" w:sz="0"/>
              <w:left w:val="none" w:color="FFFFFF" w:sz="0"/>
              <w:bottom w:val="none" w:color="FFFFFF" w:sz="0"/>
              <w:right w:val="none" w:color="FFFFFF" w:sz="0"/>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
            </w:r>
          </w:p>
        </w:tc>
        <w:tc>
          <w:tcPr>
            <w:tcBorders>
              <w:top w:val="none" w:color="FFFFFF" w:sz="0"/>
              <w:left w:val="none" w:color="FFFFFF" w:sz="0"/>
              <w:bottom w:val="none" w:color="FFFFFF" w:sz="0"/>
              <w:right w:val="double" w:color="000000" w:sz="4"/>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433-0148</w:t>
            </w:r>
          </w:p>
        </w:tc>
      </w:tr>
      <w:tr>
        <w:trPr>
          <w:trHeight w:val="794" w:hRule="atLeast"/>
        </w:trPr>
        <w:tc>
          <w:tcPr>
            <w:tcBorders>
              <w:top w:val="none" w:color="FFFFFF" w:sz="0"/>
              <w:left w:val="double" w:color="000000" w:sz="4"/>
              <w:bottom w:val="none" w:color="FFFFFF" w:sz="0"/>
              <w:right w:val="none" w:color="FFFFFF" w:sz="0"/>
            </w:tcBorders>
            <w:tcMar>
              <w:top w:type="dxa" w:w="100"/>
              <w:left w:type="dxa" w:w="100"/>
              <w:bottom w:type="dxa" w:w="100"/>
              <w:right w:type="dxa" w:w="100"/>
            </w:tcMar>
            <w:vAlign w:val="center"/>
          </w:tcPr>
          <w:p>
            <w:pPr>
              <w:pStyle w:val="ListParagraph"/>
              <w:numPr>
                <w:ilvl w:val="0"/>
                <w:numId w:val="5"/>
              </w:numPr>
              <w:spacing w:after="0" w:before="0" w:line="240" w:lineRule="auto"/>
              <w:jc w:val="left"/>
            </w:pPr>
            <w:r>
              <w:rPr>
                <w:rFonts w:ascii="Noto Sans" w:cs="Noto Sans" w:eastAsia="Noto Sans" w:hAnsi="Noto Sans"/>
                <w:b/>
                <w:bCs/>
                <w:caps w:val="false"/>
                <w:color w:val="000000"/>
                <w:sz w:val="22"/>
                <w:szCs w:val="22"/>
              </w:rPr>
              <w:t xml:space="preserve">Dirección Nacional de Investigación Criminal - DININCRI</w:t>
            </w:r>
          </w:p>
        </w:tc>
        <w:tc>
          <w:tcPr>
            <w:tcBorders>
              <w:top w:val="none" w:color="FFFFFF" w:sz="0"/>
              <w:left w:val="none" w:color="FFFFFF" w:sz="0"/>
              <w:bottom w:val="none" w:color="FFFFFF" w:sz="0"/>
              <w:right w:val="none" w:color="FFFFFF" w:sz="0"/>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
            </w:r>
          </w:p>
        </w:tc>
        <w:tc>
          <w:tcPr>
            <w:tcBorders>
              <w:top w:val="none" w:color="FFFFFF" w:sz="0"/>
              <w:left w:val="none" w:color="FFFFFF" w:sz="0"/>
              <w:bottom w:val="none" w:color="FFFFFF" w:sz="0"/>
              <w:right w:val="double" w:color="000000" w:sz="4"/>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980-121221</w:t>
            </w:r>
          </w:p>
        </w:tc>
      </w:tr>
      <w:tr>
        <w:trPr>
          <w:trHeight w:val="794" w:hRule="atLeast"/>
        </w:trPr>
        <w:tc>
          <w:tcPr>
            <w:tcBorders>
              <w:top w:val="none" w:color="FFFFFF" w:sz="0"/>
              <w:left w:val="double" w:color="000000" w:sz="4"/>
              <w:bottom w:val="none" w:color="FFFFFF" w:sz="0"/>
              <w:right w:val="none" w:color="FFFFFF" w:sz="0"/>
            </w:tcBorders>
            <w:tcMar>
              <w:top w:type="dxa" w:w="100"/>
              <w:left w:type="dxa" w:w="100"/>
              <w:bottom w:type="dxa" w:w="100"/>
              <w:right w:type="dxa" w:w="100"/>
            </w:tcMar>
            <w:vAlign w:val="center"/>
          </w:tcPr>
          <w:p>
            <w:pPr>
              <w:pStyle w:val="ListParagraph"/>
              <w:numPr>
                <w:ilvl w:val="0"/>
                <w:numId w:val="5"/>
              </w:numPr>
              <w:spacing w:after="0" w:before="0" w:line="240" w:lineRule="auto"/>
              <w:jc w:val="left"/>
            </w:pPr>
            <w:r>
              <w:rPr>
                <w:rFonts w:ascii="Noto Sans" w:cs="Noto Sans" w:eastAsia="Noto Sans" w:hAnsi="Noto Sans"/>
                <w:b/>
                <w:bCs/>
                <w:caps w:val="false"/>
                <w:color w:val="000000"/>
                <w:sz w:val="22"/>
                <w:szCs w:val="22"/>
              </w:rPr>
              <w:t xml:space="preserve">Unidad de Desactivación de Explosivos - UDEX</w:t>
            </w:r>
          </w:p>
        </w:tc>
        <w:tc>
          <w:tcPr>
            <w:tcBorders>
              <w:top w:val="none" w:color="FFFFFF" w:sz="0"/>
              <w:left w:val="none" w:color="FFFFFF" w:sz="0"/>
              <w:bottom w:val="none" w:color="FFFFFF" w:sz="0"/>
              <w:right w:val="none" w:color="FFFFFF" w:sz="0"/>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
            </w:r>
          </w:p>
        </w:tc>
        <w:tc>
          <w:tcPr>
            <w:tcBorders>
              <w:top w:val="none" w:color="FFFFFF" w:sz="0"/>
              <w:left w:val="none" w:color="FFFFFF" w:sz="0"/>
              <w:bottom w:val="none" w:color="FFFFFF" w:sz="0"/>
              <w:right w:val="double" w:color="000000" w:sz="4"/>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481-2901</w:t>
            </w:r>
          </w:p>
        </w:tc>
      </w:tr>
      <w:tr>
        <w:trPr>
          <w:trHeight w:val="794" w:hRule="atLeast"/>
        </w:trPr>
        <w:tc>
          <w:tcPr>
            <w:tcBorders>
              <w:top w:val="none" w:color="FFFFFF" w:sz="0"/>
              <w:left w:val="double" w:color="000000" w:sz="4"/>
              <w:bottom w:val="double" w:color="000000" w:sz="4"/>
              <w:right w:val="none" w:color="FFFFFF" w:sz="0"/>
            </w:tcBorders>
            <w:tcMar>
              <w:top w:type="dxa" w:w="100"/>
              <w:left w:type="dxa" w:w="100"/>
              <w:bottom w:type="dxa" w:w="100"/>
              <w:right w:type="dxa" w:w="100"/>
            </w:tcMar>
            <w:vAlign w:val="center"/>
          </w:tcPr>
          <w:p>
            <w:pPr>
              <w:pStyle w:val="ListParagraph"/>
              <w:numPr>
                <w:ilvl w:val="0"/>
                <w:numId w:val="5"/>
              </w:numPr>
              <w:spacing w:after="0" w:before="0" w:line="240" w:lineRule="auto"/>
              <w:jc w:val="left"/>
            </w:pPr>
            <w:r>
              <w:rPr>
                <w:rFonts w:ascii="Noto Sans" w:cs="Noto Sans" w:eastAsia="Noto Sans" w:hAnsi="Noto Sans"/>
                <w:b/>
                <w:bCs/>
                <w:caps w:val="false"/>
                <w:color w:val="000000"/>
                <w:sz w:val="22"/>
                <w:szCs w:val="22"/>
              </w:rPr>
              <w:t xml:space="preserve">Dirección de Prevención de Robo de Vehículos - DIPROVE</w:t>
            </w:r>
          </w:p>
        </w:tc>
        <w:tc>
          <w:tcPr>
            <w:tcBorders>
              <w:top w:val="none" w:color="FFFFFF" w:sz="0"/>
              <w:left w:val="none" w:color="FFFFFF" w:sz="0"/>
              <w:bottom w:val="double" w:color="000000" w:sz="4"/>
              <w:right w:val="none" w:color="FFFFFF" w:sz="0"/>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
            </w:r>
          </w:p>
        </w:tc>
        <w:tc>
          <w:tcPr>
            <w:tcBorders>
              <w:top w:val="none" w:color="FFFFFF" w:sz="0"/>
              <w:left w:val="none" w:color="FFFFFF" w:sz="0"/>
              <w:bottom w:val="double" w:color="000000" w:sz="4"/>
              <w:right w:val="double" w:color="000000" w:sz="4"/>
            </w:tcBorders>
            <w:tcMar>
              <w:top w:type="dxa" w:w="100"/>
              <w:left w:type="dxa" w:w="100"/>
              <w:bottom w:type="dxa" w:w="100"/>
              <w:right w:type="dxa" w:w="100"/>
            </w:tcMar>
            <w:vAlign w:val="center"/>
          </w:tcPr>
          <w:p>
            <w:pPr>
              <w:spacing w:after="0" w:before="0" w:line="240" w:lineRule="auto"/>
              <w:jc w:val="center"/>
            </w:pPr>
            <w:r>
              <w:rPr>
                <w:rFonts w:ascii="Noto Sans" w:cs="Noto Sans" w:eastAsia="Noto Sans" w:hAnsi="Noto Sans"/>
                <w:b/>
                <w:bCs/>
                <w:caps w:val="false"/>
                <w:color w:val="000000"/>
                <w:sz w:val="22"/>
                <w:szCs w:val="22"/>
              </w:rPr>
              <w:t xml:space="preserve">932-456823</w:t>
            </w:r>
          </w:p>
        </w:tc>
      </w:tr>
    </w:tbl>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Efectuar la denuncia policial inmediatamente, de ser posible antes de las 24 horas, en la comisaría del sector.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Dar aviso a la brevedad a </w:t>
      </w:r>
      <w:r>
        <w:rPr>
          <w:rFonts w:ascii="Noto Sans" w:cs="Noto Sans" w:eastAsia="Noto Sans" w:hAnsi="Noto Sans"/>
          <w:b/>
          <w:bCs/>
          <w:caps w:val="false"/>
          <w:color w:val="000000"/>
          <w:sz w:val="22"/>
          <w:szCs w:val="22"/>
        </w:rPr>
        <w:t xml:space="preserve">{{ brokerName }}:</w:t>
      </w:r>
    </w:p>
    <w:p>
      <w:pPr>
        <w:spacing w:after="0" w:before="0" w:line="240" w:lineRule="auto"/>
      </w:pPr>
      <w:r>
        <w:rPr>
          <w:rFonts w:ascii="Noto Sans" w:cs="Noto Sans" w:eastAsia="Noto Sans" w:hAnsi="Noto Sans"/>
          <w:sz w:val="22"/>
          <w:szCs w:val="22"/>
        </w:rPr>
        <w:t xml:space="preserve"> </w:t>
      </w:r>
    </w:p>
    <w:p>
      <w:pPr>
        <w:spacing w:after="0" w:before="0" w:line="240" w:lineRule="auto"/>
        <w:ind w:left="714"/>
        <w:jc w:val="both"/>
      </w:pPr>
      <w:r>
        <w:rPr>
          <w:rFonts w:ascii="Noto Sans" w:cs="Noto Sans" w:eastAsia="Noto Sans" w:hAnsi="Noto Sans"/>
          <w:b/>
          <w:bCs/>
          <w:color w:val="000000"/>
          <w:sz w:val="22"/>
          <w:szCs w:val="22"/>
        </w:rPr>
        <w:t xml:space="preserve">Central Telefónica:</w:t>
      </w:r>
      <w:r>
        <w:rPr>
          <w:rFonts w:ascii="Noto Sans" w:cs="Noto Sans" w:eastAsia="Noto Sans" w:hAnsi="Noto Sans"/>
          <w:b/>
          <w:bCs/>
          <w:color w:val="000000"/>
          <w:sz w:val="22"/>
          <w:szCs w:val="22"/>
        </w:rPr>
        <w:t xml:space="preserve">		(01) 604-1000</w:t>
      </w:r>
    </w:p>
    <w:p>
      <w:pPr>
        <w:spacing w:after="0" w:before="0" w:line="240" w:lineRule="auto"/>
      </w:pPr>
      <w:r>
        <w:rPr>
          <w:rFonts w:ascii="Noto Sans" w:cs="Noto Sans" w:eastAsia="Noto Sans" w:hAnsi="Noto Sans"/>
          <w:sz w:val="22"/>
          <w:szCs w:val="22"/>
        </w:rPr>
        <w:t xml:space="preserve"> </w:t>
      </w:r>
    </w:p>
    <w:p>
      <w:pPr>
        <w:spacing w:after="0" w:before="0" w:line="240" w:lineRule="auto"/>
        <w:ind w:left="714"/>
        <w:jc w:val="both"/>
      </w:pPr>
      <w:r>
        <w:rPr>
          <w:rFonts w:ascii="Noto Sans" w:cs="Noto Sans" w:eastAsia="Noto Sans" w:hAnsi="Noto Sans"/>
          <w:b/>
          <w:bCs/>
          <w:color w:val="000000"/>
          <w:sz w:val="22"/>
          <w:szCs w:val="22"/>
        </w:rPr>
        <w:t xml:space="preserve">Gerente Responsable: </w:t>
      </w:r>
      <w:r>
        <w:rPr>
          <w:rFonts w:ascii="Noto Sans" w:cs="Noto Sans" w:eastAsia="Noto Sans" w:hAnsi="Noto Sans"/>
          <w:b/>
          <w:bCs/>
          <w:color w:val="000000"/>
          <w:sz w:val="22"/>
          <w:szCs w:val="22"/>
        </w:rPr>
        <w:t xml:space="preserve">{{ unitLeader }}</w:t>
      </w:r>
    </w:p>
    <w:p>
      <w:pPr>
        <w:pStyle w:val="ListParagraph"/>
        <w:numPr>
          <w:ilvl w:val="0"/>
          <w:numId w:val="6"/>
        </w:numPr>
        <w:spacing w:after="0" w:before="0" w:line="240" w:lineRule="auto"/>
        <w:jc w:val="both"/>
      </w:pPr>
      <w:r>
        <w:rPr>
          <w:rFonts w:ascii="Noto Sans" w:cs="Noto Sans" w:eastAsia="Noto Sans" w:hAnsi="Noto Sans"/>
          <w:b/>
          <w:bCs/>
          <w:color w:val="000000"/>
          <w:sz w:val="22"/>
          <w:szCs w:val="22"/>
        </w:rPr>
        <w:t xml:space="preserve">Celular: </w:t>
      </w:r>
      <w:r>
        <w:rPr>
          <w:rFonts w:ascii="Noto Sans" w:cs="Noto Sans" w:eastAsia="Noto Sans" w:hAnsi="Noto Sans"/>
          <w:b w:val="false"/>
          <w:bCs w:val="false"/>
          <w:color w:val="000000"/>
          <w:sz w:val="22"/>
          <w:szCs w:val="22"/>
        </w:rPr>
        <w:t xml:space="preserve">{{ leaderMobile }}</w:t>
      </w:r>
    </w:p>
    <w:p>
      <w:pPr>
        <w:pStyle w:val="ListParagraph"/>
        <w:numPr>
          <w:ilvl w:val="0"/>
          <w:numId w:val="6"/>
        </w:numPr>
        <w:spacing w:after="0" w:before="0" w:line="240" w:lineRule="auto"/>
        <w:jc w:val="both"/>
      </w:pPr>
      <w:r>
        <w:rPr>
          <w:rFonts w:ascii="Noto Sans" w:cs="Noto Sans" w:eastAsia="Noto Sans" w:hAnsi="Noto Sans"/>
          <w:b/>
          <w:bCs/>
          <w:color w:val="000000"/>
          <w:sz w:val="22"/>
          <w:szCs w:val="22"/>
        </w:rPr>
        <w:t xml:space="preserve">Correo: </w:t>
      </w:r>
      <w:r>
        <w:rPr>
          <w:rFonts w:ascii="Noto Sans" w:cs="Noto Sans" w:eastAsia="Noto Sans" w:hAnsi="Noto Sans"/>
          <w:b w:val="false"/>
          <w:bCs w:val="false"/>
          <w:color w:val="000000"/>
          <w:sz w:val="22"/>
          <w:szCs w:val="22"/>
        </w:rPr>
        <w:t xml:space="preserve">{{ leaderEmail }}</w:t>
      </w:r>
    </w:p>
    <w:p>
      <w:pPr>
        <w:spacing w:after="0" w:before="0" w:line="240" w:lineRule="auto"/>
      </w:pPr>
      <w:r>
        <w:rPr>
          <w:rFonts w:ascii="Noto Sans" w:cs="Noto Sans" w:eastAsia="Noto Sans" w:hAnsi="Noto Sans"/>
          <w:sz w:val="22"/>
          <w:szCs w:val="22"/>
        </w:rPr>
        <w:t xml:space="preserve"> </w:t>
      </w:r>
    </w:p>
    <w:p>
      <w:pPr>
        <w:spacing w:after="0" w:before="0" w:line="240" w:lineRule="auto"/>
        <w:ind w:left="714"/>
        <w:jc w:val="both"/>
      </w:pPr>
      <w:r>
        <w:rPr>
          <w:rFonts w:ascii="Noto Sans" w:cs="Noto Sans" w:eastAsia="Noto Sans" w:hAnsi="Noto Sans"/>
          <w:b/>
          <w:bCs/>
          <w:color w:val="000000"/>
          <w:sz w:val="22"/>
          <w:szCs w:val="22"/>
        </w:rPr>
        <w:t xml:space="preserve">Ejecutivo/a Responsable: </w:t>
      </w:r>
      <w:r>
        <w:rPr>
          <w:rFonts w:ascii="Noto Sans" w:cs="Noto Sans" w:eastAsia="Noto Sans" w:hAnsi="Noto Sans"/>
          <w:b/>
          <w:bCs/>
          <w:color w:val="000000"/>
          <w:sz w:val="22"/>
          <w:szCs w:val="22"/>
        </w:rPr>
        <w:t xml:space="preserve">{{ executiveName }}</w:t>
      </w:r>
    </w:p>
    <w:p>
      <w:pPr>
        <w:pStyle w:val="ListParagraph"/>
        <w:numPr>
          <w:ilvl w:val="0"/>
          <w:numId w:val="6"/>
        </w:numPr>
        <w:spacing w:after="0" w:before="0" w:line="240" w:lineRule="auto"/>
        <w:jc w:val="both"/>
      </w:pPr>
      <w:r>
        <w:rPr>
          <w:rFonts w:ascii="Noto Sans" w:cs="Noto Sans" w:eastAsia="Noto Sans" w:hAnsi="Noto Sans"/>
          <w:b/>
          <w:bCs/>
          <w:color w:val="000000"/>
          <w:sz w:val="22"/>
          <w:szCs w:val="22"/>
        </w:rPr>
        <w:t xml:space="preserve">Celular: </w:t>
      </w:r>
      <w:r>
        <w:rPr>
          <w:rFonts w:ascii="Noto Sans" w:cs="Noto Sans" w:eastAsia="Noto Sans" w:hAnsi="Noto Sans"/>
          <w:b w:val="false"/>
          <w:bCs w:val="false"/>
          <w:color w:val="000000"/>
          <w:sz w:val="22"/>
          <w:szCs w:val="22"/>
        </w:rPr>
        <w:t xml:space="preserve">{{ executiveMobile }}</w:t>
      </w:r>
    </w:p>
    <w:p>
      <w:pPr>
        <w:pStyle w:val="ListParagraph"/>
        <w:numPr>
          <w:ilvl w:val="0"/>
          <w:numId w:val="6"/>
        </w:numPr>
        <w:spacing w:after="0" w:before="0" w:line="240" w:lineRule="auto"/>
        <w:jc w:val="both"/>
      </w:pPr>
      <w:r>
        <w:rPr>
          <w:rFonts w:ascii="Noto Sans" w:cs="Noto Sans" w:eastAsia="Noto Sans" w:hAnsi="Noto Sans"/>
          <w:b/>
          <w:bCs/>
          <w:color w:val="000000"/>
          <w:sz w:val="22"/>
          <w:szCs w:val="22"/>
        </w:rPr>
        <w:t xml:space="preserve">Correo: </w:t>
      </w:r>
      <w:r>
        <w:rPr>
          <w:rFonts w:ascii="Noto Sans" w:cs="Noto Sans" w:eastAsia="Noto Sans" w:hAnsi="Noto Sans"/>
          <w:b w:val="false"/>
          <w:bCs w:val="false"/>
          <w:color w:val="000000"/>
          <w:sz w:val="22"/>
          <w:szCs w:val="22"/>
        </w:rPr>
        <w:t xml:space="preserve">{{ executiveEmail }}</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No tomar acciones de limpieza, remoción de escombros o modificación de los locales o bienes afectados sin la autorización escrita de la compañía de Seguros, salvo los necesarios para detener o minimizar los daños, en estos casos se recomienda tomar fotografías.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Tomar las medidas necesarias para aminorar las pérdidas. (Obrar en todo momento como si no tuvieran cobertura de seguro).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Ofrecer todas las facilidades del caso a los representantes de la Compañía de Seguros y al Adjuster del siniestro para agilizar los trámites de liquidación del siniestro, así como proporcionar a la brevedad toda la documentación requerida.</w:t>
      </w:r>
    </w:p>
    <w:p>
      <w:pPr>
        <w:spacing w:after="0" w:before="0"/>
      </w:pPr>
      <w:r>
        <w:rPr>
          <w:sz w:val="2"/>
          <w:szCs w:val="2"/>
        </w:rPr>
        <w:t xml:space="preserve">{%p if show_item_2 %}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Seguro de Todo Riesgo de Incendio y Líneas Aliadas</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Tomar las medidas necesarias para aminorar las pérdidas. (Obrar en todo momento como si no tuvieran cobertura de seguro).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 indicando el lugar, fecha y hora del siniestro, así como las posibles causas que originaron el daño, si es factible.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Efectuar la denuncia policial en la comisaría del sector, dentro de las 24 horas de ocurrido el evento (en caso de hecho delictuoso y/o accidente).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Mantener informado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sobre el monto total y definitivo al que ascendieron las pérdidas, daños y/o cualquier variación que existiera con respecto al monto original reclamado.</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Documentación Básica:</w:t>
      </w:r>
    </w:p>
    <w:p>
      <w:pPr>
        <w:spacing w:after="0" w:before="0" w:line="240" w:lineRule="auto"/>
      </w:pPr>
      <w:r>
        <w:rPr>
          <w:rFonts w:ascii="Noto Sans" w:cs="Noto Sans" w:eastAsia="Noto Sans" w:hAnsi="Noto Sans"/>
          <w:sz w:val="22"/>
          <w:szCs w:val="22"/>
        </w:rPr>
        <w:t xml:space="preserve"> </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Certificada de la Denuncia Policial. (En caso de hecho delictuoso)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Interno de la ocurrencia (fecha y circunstancias).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Técnico sobre el origen del daño (causa raíz), detallando los daños que presentan los bienes del Asegurado.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Presupuesto de Reparación (en el caso de bienes dañados), disgregando los costos unitarios de repuestos y mano de obra, para su revisión y aprobación.</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de las facturas de adquisición y cotizaciones de proveedores del ramo para su reemplazo en el caso de bienes destruidos.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Detalle de Pérdida.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el ajustador del reclamo solicite información adicional, ésta deberá ser remitida primero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para su evaluación y posterior entrega al ajustador.</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¿Cuál es el siguiente paso?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Una vez liquidado el reclamo por parte del ajustador y/o Aseguradora (para casos directos) éstos remitirán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el convenio de ajuste y/o liquidación, el cual deberá ser firmado y sellado (para los casos con convenio de ajuste) y de ser casos directos, el cliente solo dará su V°B° a la liquidación vía correo, de no encontrarlo conforme, el asegurado podrá enviar sus comentarios correspondientes.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Cuando dicho documento se encuentre conforme, firmado y sellado por el cliente,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devolverá dicho convenio al ajustador a fin de que sea remitido a la Cía. Aseguradora conjuntamente con el Informe Final del siniestro.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La Cía. de Seguros, de encontrar conforme el certificado de averías y el informe procederá al pago respectivo en un plazo máximo de 30 días siguientes a la firma del Convenio.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en todo momento tiene la obligación de no hacer abandono de los bienes siniestrados y de sus restos, entregándolos a la Compañía de Seguros, procediendo a su destrucción o compra del salvamento, según sea el acuerdo con la Aseguradora.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está en la obligación de ceder sus derechos de Subrogación a la Compañía de Seguros por las acciones que tengan que ejecutarse contra terceros como consecuencia del siniestro. Por ningún motivo deben obrar de tal manera que se invalide este derecho.</w:t>
      </w:r>
    </w:p>
    <w:p>
      <w:pPr>
        <w:spacing w:after="0" w:before="0"/>
      </w:pPr>
      <w:r>
        <w:rPr>
          <w:sz w:val="2"/>
          <w:szCs w:val="2"/>
        </w:rPr>
        <w:t xml:space="preserve">{%p endif %}</w:t>
      </w:r>
    </w:p>
    <w:p>
      <w:pPr>
        <w:spacing w:after="0" w:before="0"/>
      </w:pPr>
      <w:r>
        <w:rPr>
          <w:sz w:val="2"/>
          <w:szCs w:val="2"/>
        </w:rPr>
        <w:t xml:space="preserve">{%p if show_item_3 %}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Equipo Electrónico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Tomar las medidas necesarias para aminorar las pérdidas. (Obrar en todo momento como si no tuvieran cobertura de seguro).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 indicando el lugar, fecha y hora del siniestro, así como las posibles causas que originaron el daño, si es factible.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Efectuar la denuncia policial en la comisaría del sector, dentro de las 24 horas de ocurrido el evento (en caso de hecho delictuoso y/o accidente).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Mantener informado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sobre el monto total y definitivo a que ascendieron las pérdidas, daños y/o cualquier variación que existiera con respecto al monto original reclamado.</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Documentación Básica:</w:t>
      </w:r>
    </w:p>
    <w:p>
      <w:pPr>
        <w:spacing w:after="0" w:before="0" w:line="240" w:lineRule="auto"/>
      </w:pPr>
      <w:r>
        <w:rPr>
          <w:rFonts w:ascii="Noto Sans" w:cs="Noto Sans" w:eastAsia="Noto Sans" w:hAnsi="Noto Sans"/>
          <w:sz w:val="22"/>
          <w:szCs w:val="22"/>
        </w:rPr>
        <w:t xml:space="preserve"> </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Interno de la ocurrencia en Word (especificar detalladamente cómo, cuándo, dónde y qué es lo que sucedió).</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Técnico sobre el origen del daño, detallando los componentes afectados y los trabajos de reparación, para su evaluación. Especificar si el equipo se encuentra operativo o no, solo en casos de daños a equipos.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Preexistencia del equipo siniestrado (factura de compra y/o guía de remisión y/o pantallazo del sistema SAP, etc.).</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Presupuesto y/o cotización de un equipo nuevo similar de iguales características al equipo siniestrado.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Acta de asignación del equipo al trabajador afectado.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el ajustador del reclamo solicite información adicional, ésta deberá ser remitida primero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para su evaluación y posterior entrega al ajustador.</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¿Cuál es el siguiente paso?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Una vez liquidado el reclamo por parte del ajustador y/o Aseguradora (para casos directos) éstos remitirán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el convenio de ajuste y/o liquidación, el cual deberá ser firmado y sellado (para los casos con convenio de ajuste) y de ser casos directos, el cliente solo dará su V°B° a la liquidación vía correo, de no encontrarlo conforme, el asegurado podrá enviar sus comentarios correspondientes.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Cuando dicho documento se encuentre conforme, firmado y sellado por el cliente,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devolverá dicho convenio al ajustador a fin de que sea remitido a la Cía. Aseguradora conjuntamente con el Informe Final del siniestro.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La Cía. de Seguros, de encontrar conforme el certificado de averías y el informe procederá al pago respectivo en un plazo máximo de 30 días siguientes a la firma del Convenio.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en todo momento tiene la obligación de no hacer abandono de los bienes siniestrados y de sus restos, entregándolos a la Compañía de Seguros, procediendo a su destrucción o compra del salvamento, según sea el acuerdo con la Aseguradora.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está en la obligación de ceder sus derechos de Subrogación a la Compañía de Seguros por las acciones que tengan que ejecutarse contra terceros como consecuencia del siniestro. Por ningún motivo deben obrar de tal manera que se invalide este derecho.</w:t>
      </w:r>
    </w:p>
    <w:p>
      <w:pPr>
        <w:spacing w:after="0" w:before="0"/>
      </w:pPr>
      <w:r>
        <w:rPr>
          <w:sz w:val="2"/>
          <w:szCs w:val="2"/>
        </w:rPr>
        <w:t xml:space="preserve">{%p endif %}</w:t>
      </w:r>
    </w:p>
    <w:p>
      <w:pPr>
        <w:spacing w:after="0" w:before="0"/>
      </w:pPr>
      <w:r>
        <w:rPr>
          <w:sz w:val="2"/>
          <w:szCs w:val="2"/>
        </w:rPr>
        <w:t xml:space="preserve">{%p if show_item_4 %}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Rotura de Maquinaria</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Tomar las medidas necesarias para aminorar las pérdidas. (Obrar en todo momento como si no tuvieran cobertura de seguro).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 indicando el lugar, fecha y hora del siniestro, así como las posibles causas que originaron el daño, si es factible.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Efectuar la denuncia policial en la comisaría del sector, dentro de las 24 horas de ocurrido el evento (en caso de hecho delictuoso y/o accidente).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Mantener informado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sobre el monto total y definitivo a que ascendieron las pérdidas, daños y/o cualquier variación que existiera con respecto al monto original reclamado.</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Documentación Básica:</w:t>
      </w:r>
    </w:p>
    <w:p>
      <w:pPr>
        <w:spacing w:after="0" w:before="0" w:line="240" w:lineRule="auto"/>
      </w:pPr>
      <w:r>
        <w:rPr>
          <w:rFonts w:ascii="Noto Sans" w:cs="Noto Sans" w:eastAsia="Noto Sans" w:hAnsi="Noto Sans"/>
          <w:sz w:val="22"/>
          <w:szCs w:val="22"/>
        </w:rPr>
        <w:t xml:space="preserve"> </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Interno de la ocurrencia (fecha y circunstancias).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Técnico sobre el origen del daño, detallando los componentes afectados y los trabajos de reparación, para su evaluación.</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Técnico del origen de la falla (causa raíz) por parte de la empresa, designada para la evaluación y reparación del equipo.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Reportes y/o registros de mantenimientos realizados al equipo y reparaciones anteriores (12 meses).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Presupuesto de reparación, disgregando los costos unitarios de repuestos y mano de obra, para su revisión y aprobación.</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Presupuesto de un equipo nuevo similar y de las mismas características que el equipo afectado.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el ajustador del reclamo solicite información adicional, ésta deberá ser remitida primero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para su evaluación y posterior entrega al ajustador.</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¿Cuál es el siguiente paso?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Una vez liquidado el reclamo por parte del ajustador y/o Aseguradora (para casos directos) éstos remitirán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el convenio de ajuste y/o liquidación, el cual deberá ser firmado y sellado (para los casos con convenio de ajuste) y de ser casos directos, el cliente solo dará su V°B° a la liquidación vía correo, de no encontrarlo conforme, el asegurado podrá enviar sus comentarios correspondientes.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Cuando dicho documento se encuentre conforme, firmado y sellado por el cliente,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devolverá dicho convenio al ajustador a fin de que sea remitido a la Cía. Aseguradora conjuntamente con el Informe Final del siniestro.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La Cía. de Seguros, de encontrar conforme el certificado de averías y el informe procederá al pago respectivo en un plazo máximo de 30 días siguientes a la firma del Convenio.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en todo momento tiene la obligación de no hacer abandono de los bienes siniestrados y de sus restos, entregándolos a la Compañía de Seguros, procediendo a su destrucción o compra del salvamento, según sea el acuerdo con la Aseguradora.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está en la obligación de ceder sus derechos de Subrogación a la Compañía de Seguros por las acciones que tengan que ejecutarse contra terceros como consecuencia del siniestro. Por ningún motivo deben obrar de tal manera que se invalide este derecho.</w:t>
      </w:r>
    </w:p>
    <w:p>
      <w:pPr>
        <w:spacing w:after="0" w:before="0"/>
      </w:pPr>
      <w:r>
        <w:rPr>
          <w:sz w:val="2"/>
          <w:szCs w:val="2"/>
        </w:rPr>
        <w:t xml:space="preserve">{%p endif %}</w:t>
      </w:r>
    </w:p>
    <w:p>
      <w:pPr>
        <w:spacing w:after="0" w:before="0"/>
      </w:pPr>
      <w:r>
        <w:rPr>
          <w:sz w:val="2"/>
          <w:szCs w:val="2"/>
        </w:rPr>
        <w:t xml:space="preserve">{%p if show_item_5 %}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Todo Riesgo Equipo Contratista</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Tomar las medidas necesarias para aminorar las pérdidas. (Obrar en todo momento como si no tuvieran cobertura de seguro).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 indicando el lugar, fecha y hora del siniestro, así como las posibles causas que originaron el daño, si es factible.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Efectuar la denuncia policial en la comisaría del sector, dentro de las 24 horas de ocurrido el evento (en caso de hecho delictuoso y/o accidente).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Mantener informado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sobre el monto total y definitivo a que ascendieron las pérdidas, daños y/o cualquier variación que existiera con respecto al monto original reclamado.</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Documentación Básica:</w:t>
      </w:r>
    </w:p>
    <w:p>
      <w:pPr>
        <w:spacing w:after="0" w:before="0" w:line="240" w:lineRule="auto"/>
      </w:pPr>
      <w:r>
        <w:rPr>
          <w:rFonts w:ascii="Noto Sans" w:cs="Noto Sans" w:eastAsia="Noto Sans" w:hAnsi="Noto Sans"/>
          <w:sz w:val="22"/>
          <w:szCs w:val="22"/>
        </w:rPr>
        <w:t xml:space="preserve"> </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Interno de la ocurrencia, elaborado por el Supervisor Responsable.</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Declaración del operador del equipo afectado, sobre la ocurrencia.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Técnico de daños emitido por la empresa especializada designada para la evaluación y reparación del equipo.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Tres últimos reportes y/o registros de mantenimientos realizados al equipo y reparaciones anteriores.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Presupuesto de reparación, disgregando los costos unitarios de repuestos y mano de obra, para su revisión y aprobación.</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Presupuesto de un equipo nuevo similar y de las mismas características que el equipo afectado.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el ajustador del reclamo solicite información adicional, ésta deberá ser remitida primero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para su evaluación y posterior entrega al ajustador.</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¿Cuál es el siguiente paso?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Una vez liquidado el reclamo por parte del ajustador y/o Aseguradora (para casos directos) éstos remitirán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el convenio de ajuste y/o liquidación, el cual deberá ser firmado y sellado (para los casos con convenio de ajuste) y de ser casos directos, el cliente solo dará su V°B° a la liquidación vía correo, de no encontrarlo conforme, el asegurado podrá enviar sus comentarios correspondientes.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Cuando dicho documento se encuentre conforme, firmado y sellado por el cliente,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devolverá dicho convenio al ajustador a fin de que sea remitido a la Cía. Aseguradora conjuntamente con el Informe Final del siniestro.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La Cía. de Seguros, de encontrar conforme el certificado de averías y el informe procederá al pago respectivo en un plazo máximo de 30 días siguientes a la firma del Convenio.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en todo momento tiene la obligación de no hacer abandono de los bienes siniestrados y de sus restos, entregándolos a la Compañía de Seguros, procediendo a su destrucción o compra del salvamento, según sea el acuerdo con la Aseguradora.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está en la obligación de ceder sus derechos de Subrogación a la Compañía de Seguros por las acciones que tengan que ejecutarse contra terceros como consecuencia del siniestro. Por ningún motivo deben obrar de tal manera que se invalide este derecho.</w:t>
      </w:r>
    </w:p>
    <w:p>
      <w:pPr>
        <w:spacing w:after="0" w:before="0"/>
      </w:pPr>
      <w:r>
        <w:rPr>
          <w:sz w:val="2"/>
          <w:szCs w:val="2"/>
        </w:rPr>
        <w:t xml:space="preserve">{%p endif %}</w:t>
      </w:r>
    </w:p>
    <w:p>
      <w:pPr>
        <w:spacing w:after="0" w:before="0"/>
      </w:pPr>
      <w:r>
        <w:rPr>
          <w:sz w:val="2"/>
          <w:szCs w:val="2"/>
        </w:rPr>
        <w:t xml:space="preserve">{%p if show_item_6 %}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Todo Riesgo Construcción - CAR</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Tomar las medidas necesarias para aminorar las pérdidas. (Obrar en todo momento como si no tuvieran cobertura de seguro).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 indicando el lugar, fecha y hora del siniestro, así como las posibles causas que originaron el daño, si es factible.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Efectuar la denuncia policial en la comisaría del sector, dentro de las 24 horas de ocurrido el evento (en caso de hecho delictuoso y/o accidente).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Mantener informado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sobre el monto total y definitivo a que ascendieron las pérdidas, daños y/o cualquier variación que existiera con respecto al monto original reclamado.</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Documentación Básica:</w:t>
      </w:r>
    </w:p>
    <w:p>
      <w:pPr>
        <w:spacing w:after="0" w:before="0" w:line="240" w:lineRule="auto"/>
      </w:pPr>
      <w:r>
        <w:rPr>
          <w:rFonts w:ascii="Noto Sans" w:cs="Noto Sans" w:eastAsia="Noto Sans" w:hAnsi="Noto Sans"/>
          <w:sz w:val="22"/>
          <w:szCs w:val="22"/>
        </w:rPr>
        <w:t xml:space="preserve"> </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Certificada de la Denuncia Policial. (en caso de hecho delictuoso)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interno de ocurrencia, emitido por el residente de obra respectivo.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Asientos del cuaderno de obra que incluyan la ocurrencia del siniestro.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Presupuesto de reparación de daños detallado por partidas, metrados y precios unitarios.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Memoria descriptiva de la obra asegurada.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Cronograma general de la obra antes y después del siniestro.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Fotografías de los daños ocasionados por el siniestro.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Carta de reclamo del tercero afectado. (en caso de daños provocados a terceros)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Presupuesto de construcción de la obra asegurada.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Medidas de emergencia adoptadas por el asegurado para aminorar la pérdida.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el ajustador del reclamo solicite información adicional, ésta deberá ser remitida primero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para su evaluación y posterior entrega al ajustador.</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¿Cuál es el siguiente paso?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Una vez liquidado el reclamo por parte del ajustador y/o Aseguradora (para casos directos) éstos remitirán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el convenio de ajuste y/o liquidación, el cual deberá ser firmado y sellado (para los casos con convenio de ajuste) y de ser casos directos, el cliente solo dará su V°B° a la liquidación vía correo, de no encontrarlo conforme, el asegurado podrá enviar sus comentarios correspondientes.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Cuando dicho documento se encuentre conforme, firmado y sellado por el cliente,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devolverá dicho convenio al ajustador a fin de que sea remitido a la Cía. Aseguradora conjuntamente con el Informe Final del siniestro.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La Cía. de Seguros, de encontrar conforme el certificado de averías y el informe procederá al pago respectivo en un plazo máximo de 30 días siguientes a la firma del Convenio.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en todo momento tiene la obligación de no hacer abandono de los bienes siniestrados y de sus restos, entregándolos a la Compañía de Seguros, procediendo a su destrucción o compra del salvamento, según sea el acuerdo con la Aseguradora.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está en la obligación de ceder sus derechos de Subrogación a la Compañía de Seguros por las acciones que tengan que ejecutarse contra terceros como consecuencia del siniestro. Por ningún motivo deben obrar de tal manera que se invalide este derecho.</w:t>
      </w:r>
    </w:p>
    <w:p>
      <w:pPr>
        <w:spacing w:after="0" w:before="0"/>
      </w:pPr>
      <w:r>
        <w:rPr>
          <w:sz w:val="2"/>
          <w:szCs w:val="2"/>
        </w:rPr>
        <w:t xml:space="preserve">{%p endif %}</w:t>
      </w:r>
    </w:p>
    <w:p>
      <w:pPr>
        <w:spacing w:after="0" w:before="0"/>
      </w:pPr>
      <w:r>
        <w:rPr>
          <w:sz w:val="2"/>
          <w:szCs w:val="2"/>
        </w:rPr>
        <w:t xml:space="preserve">{%p if show_item_7 %}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Seguro de Montaje EAR</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Tomar las medidas necesarias para aminorar las pérdidas. (Obrar en todo momento como si no tuvieran cobertura de seguro).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 indicando el lugar, fecha y hora del siniestro, así como las posibles causas que originaron el daño, si es factible.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Efectuar la denuncia policial en la comisaría del sector, dentro de las 24 horas de ocurrido el evento (en caso de hecho delictuoso y/o accidente).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Mantener informado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sobre el monto total y definitivo a que ascendieron las pérdidas, daños y/o cualquier variación que existiera con respecto al monto original reclamado.</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Documentación Básica:</w:t>
      </w:r>
    </w:p>
    <w:p>
      <w:pPr>
        <w:spacing w:after="0" w:before="0" w:line="240" w:lineRule="auto"/>
      </w:pPr>
      <w:r>
        <w:rPr>
          <w:rFonts w:ascii="Noto Sans" w:cs="Noto Sans" w:eastAsia="Noto Sans" w:hAnsi="Noto Sans"/>
          <w:sz w:val="22"/>
          <w:szCs w:val="22"/>
        </w:rPr>
        <w:t xml:space="preserve"> </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Certificada de la Denuncia Policial. (en caso de hecho delictuoso)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Interno de la ocurrencia emitido por el Supervisor Responsable de Obra.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Técnico emitido por parte del Área Técnica del Asegurado sobre el origen de la avería.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Presupuesto de reparación de daños detallado por partidas, metrados y precios unitarios.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Memoria descriptiva de la obra asegurada.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Planos de las estructuras/instalaciones afectadas, pertenecientes a la obra asegurada.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Fotografías de los daños ocasionados por el siniestro.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Carta de reclamo del tercero afectado. (en caso de daños provocados a terceros)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Medidas de emergencia adoptadas por el asegurado para aminorar la pérdida.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el ajustador del reclamo solicite información adicional, ésta deberá ser remitida primero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para su evaluación y posterior entrega al ajustador.</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¿Cuál es el siguiente paso?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Una vez liquidado el reclamo por parte del ajustador y/o Aseguradora (para casos directos) éstos remitirán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el convenio de ajuste y/o liquidación, el cual deberá ser firmado y sellado (para los casos con convenio de ajuste) y de ser casos directos, el cliente solo dará su V°B° a la liquidación vía correo, de no encontrarlo conforme, el asegurado podrá enviar sus comentarios correspondientes.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Cuando dicho documento se encuentre conforme, firmado y sellado por el cliente,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devolverá dicho convenio al ajustador a fin de que sea remitido a la Cía. Aseguradora conjuntamente con el Informe Final del siniestro.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La Cía. de Seguros, de encontrar conforme el certificado de averías y el informe procederá al pago respectivo en un plazo máximo de 30 días siguientes a la firma del Convenio.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en todo momento tiene la obligación de no hacer abandono de los bienes siniestrados y de sus restos, entregándolos a la Compañía de Seguros, procediendo a su destrucción o compra del salvamento, según sea el acuerdo con la Aseguradora.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está en la obligación de ceder sus derechos de Subrogación a la Compañía de Seguros por las acciones que tengan que ejecutarse contra terceros como consecuencia del siniestro. Por ningún motivo deben obrar de tal manera que se invalide este derecho.</w:t>
      </w:r>
    </w:p>
    <w:p>
      <w:pPr>
        <w:spacing w:after="0" w:before="0"/>
      </w:pPr>
      <w:r>
        <w:rPr>
          <w:sz w:val="2"/>
          <w:szCs w:val="2"/>
        </w:rPr>
        <w:t xml:space="preserve">{%p endif %}</w:t>
      </w:r>
    </w:p>
    <w:p>
      <w:pPr>
        <w:spacing w:after="0" w:before="0"/>
      </w:pPr>
      <w:r>
        <w:rPr>
          <w:sz w:val="2"/>
          <w:szCs w:val="2"/>
        </w:rPr>
        <w:t xml:space="preserve">{%p if show_item_8 %}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Robo y/o Asalto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Tomar las medidas necesarias para aminorar las pérdidas. (Obrar en todo momento como si no tuvieran cobertura de seguro).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 indicando el lugar, fecha y hora del siniestro, así como las posibles causas que originaron el daño, si es factible.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Efectuar la denuncia policial en la comisaría del sector, dentro de las 24 horas de ocurrido el evento.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Mantener informado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sobre el monto total y definitivo a que ascendieron las pérdidas, daños y/o cualquier variación que existiera con respecto al monto original reclamado.</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Documentación Básica:</w:t>
      </w:r>
    </w:p>
    <w:p>
      <w:pPr>
        <w:spacing w:after="0" w:before="0" w:line="240" w:lineRule="auto"/>
      </w:pPr>
      <w:r>
        <w:rPr>
          <w:rFonts w:ascii="Noto Sans" w:cs="Noto Sans" w:eastAsia="Noto Sans" w:hAnsi="Noto Sans"/>
          <w:sz w:val="22"/>
          <w:szCs w:val="22"/>
        </w:rPr>
        <w:t xml:space="preserve"> </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Certificada de la Denuncia Policial.</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Sustento de la preexistencia de los bienes siniestrados (facturas y/o documentos contables).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Presupuestos de reposición de cada uno de los equipos siniestrados. (no reparables)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Inventario pre y post siniestros de los activos sustraídos. (en caso de robo)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Presupuesto de reparación del Inmueble (en caso existan daños en el inmueble).</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el ajustador del reclamo solicite información adicional, ésta deberá ser remitida primero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para su evaluación y posterior entrega al ajustador.</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¿Cuál es el siguiente paso?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Una vez liquidado el reclamo por parte del ajustador y/o Aseguradora (para casos directos) éstos remitirán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el convenio de ajuste y/o liquidación, el cual deberá ser firmado y sellado (para los casos con convenio de ajuste) y de ser casos directos, el cliente solo dará su V°B° a la liquidación vía correo, de no encontrarlo conforme, el asegurado podrá enviar sus comentarios correspondientes.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Cuando dicho documento se encuentre conforme, firmado y sellado por el cliente,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devolverá dicho convenio al ajustador a fin de que sea remitido a la Cía. Aseguradora conjuntamente con el Informe Final del siniestro.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La Cía. de Seguros, de encontrar conforme el certificado de averías y el informe procederá al pago respectivo en un plazo máximo de 30 días siguientes a la firma del Convenio.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en todo momento tiene la obligación de no hacer abandono de los bienes siniestrados y de sus restos, entregándolos a la Compañía de Seguros, procediendo a su destrucción o compra del salvamento, según sea el acuerdo con la Aseguradora.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está en la obligación de ceder sus derechos de Subrogación a la Compañía de Seguros por las acciones que tengan que ejecutarse contra terceros como consecuencia del siniestro. Por ningún motivo deben obrar de tal manera que se invalide este derecho.</w:t>
      </w:r>
    </w:p>
    <w:p>
      <w:pPr>
        <w:spacing w:after="0" w:before="0"/>
      </w:pPr>
      <w:r>
        <w:rPr>
          <w:sz w:val="2"/>
          <w:szCs w:val="2"/>
        </w:rPr>
        <w:t xml:space="preserve">{%p endif %}</w:t>
      </w:r>
    </w:p>
    <w:p>
      <w:pPr>
        <w:spacing w:after="0" w:before="0"/>
      </w:pPr>
      <w:r>
        <w:rPr>
          <w:sz w:val="2"/>
          <w:szCs w:val="2"/>
        </w:rPr>
        <w:t xml:space="preserve">{%p if show_item_9 %}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Deshonestidad</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Tomar las medidas necesarias para aminorar las pérdidas. (Obrar en todo momento como si no tuvieran cobertura de seguro).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 indicando el lugar, fecha y hora del siniestro, así como las posibles causas que originaron el daño, si es factible.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Efectuar la denuncia policial en la comisaría del sector, dentro de las 24 horas de ocurrido el evento.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Mantener informado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sobre el monto total y definitivo a que ascendieron las pérdidas, daños y/o cualquier variación que existiera con respecto al monto original reclamado.</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Documentación Básica:</w:t>
      </w:r>
    </w:p>
    <w:p>
      <w:pPr>
        <w:spacing w:after="0" w:before="0" w:line="240" w:lineRule="auto"/>
      </w:pPr>
      <w:r>
        <w:rPr>
          <w:rFonts w:ascii="Noto Sans" w:cs="Noto Sans" w:eastAsia="Noto Sans" w:hAnsi="Noto Sans"/>
          <w:sz w:val="22"/>
          <w:szCs w:val="22"/>
        </w:rPr>
        <w:t xml:space="preserve"> </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Denuncia policial o a la Fiscalía, contra los que resulten responsables del ilícito.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Avances o Resultados de la investigación policial o fiscal.</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interno de la ocurrencia.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Auditoría que determine el monto de pérdida, con copia de los documentos contables que lo respalden.</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De tener identificado al trabajador involucrado remitir File Personal que contenga:</w:t>
      </w:r>
    </w:p>
    <w:p>
      <w:pPr>
        <w:pStyle w:val="ListParagraph"/>
        <w:numPr>
          <w:ilvl w:val="2"/>
          <w:numId w:val="7"/>
        </w:numPr>
        <w:spacing w:after="0" w:before="0" w:line="240" w:lineRule="auto"/>
        <w:jc w:val="both"/>
      </w:pPr>
      <w:r>
        <w:rPr>
          <w:rFonts w:ascii="Noto Sans" w:cs="Noto Sans" w:eastAsia="Noto Sans" w:hAnsi="Noto Sans"/>
          <w:b w:val="false"/>
          <w:bCs w:val="false"/>
          <w:caps w:val="false"/>
          <w:color w:val="000000"/>
          <w:sz w:val="22"/>
          <w:szCs w:val="22"/>
        </w:rPr>
        <w:t xml:space="preserve">Certificación y verificación de domicilio.</w:t>
      </w:r>
    </w:p>
    <w:p>
      <w:pPr>
        <w:pStyle w:val="ListParagraph"/>
        <w:numPr>
          <w:ilvl w:val="2"/>
          <w:numId w:val="7"/>
        </w:numPr>
        <w:spacing w:after="0" w:before="0" w:line="240" w:lineRule="auto"/>
        <w:jc w:val="both"/>
      </w:pPr>
      <w:r>
        <w:rPr>
          <w:rFonts w:ascii="Noto Sans" w:cs="Noto Sans" w:eastAsia="Noto Sans" w:hAnsi="Noto Sans"/>
          <w:b w:val="false"/>
          <w:bCs w:val="false"/>
          <w:caps w:val="false"/>
          <w:color w:val="000000"/>
          <w:sz w:val="22"/>
          <w:szCs w:val="22"/>
        </w:rPr>
        <w:t xml:space="preserve">Verificación del DNI con la Reniec.</w:t>
      </w:r>
    </w:p>
    <w:p>
      <w:pPr>
        <w:pStyle w:val="ListParagraph"/>
        <w:numPr>
          <w:ilvl w:val="2"/>
          <w:numId w:val="7"/>
        </w:numPr>
        <w:spacing w:after="0" w:before="0" w:line="240" w:lineRule="auto"/>
        <w:jc w:val="both"/>
      </w:pPr>
      <w:r>
        <w:rPr>
          <w:rFonts w:ascii="Noto Sans" w:cs="Noto Sans" w:eastAsia="Noto Sans" w:hAnsi="Noto Sans"/>
          <w:b w:val="false"/>
          <w:bCs w:val="false"/>
          <w:caps w:val="false"/>
          <w:color w:val="000000"/>
          <w:sz w:val="22"/>
          <w:szCs w:val="22"/>
        </w:rPr>
        <w:t xml:space="preserve">Certificado de Antecedentes Policiales y Penales.</w:t>
      </w:r>
    </w:p>
    <w:p>
      <w:pPr>
        <w:pStyle w:val="ListParagraph"/>
        <w:numPr>
          <w:ilvl w:val="2"/>
          <w:numId w:val="7"/>
        </w:numPr>
        <w:spacing w:after="0" w:before="0" w:line="240" w:lineRule="auto"/>
        <w:jc w:val="both"/>
      </w:pPr>
      <w:r>
        <w:rPr>
          <w:rFonts w:ascii="Noto Sans" w:cs="Noto Sans" w:eastAsia="Noto Sans" w:hAnsi="Noto Sans"/>
          <w:b w:val="false"/>
          <w:bCs w:val="false"/>
          <w:caps w:val="false"/>
          <w:color w:val="000000"/>
          <w:sz w:val="22"/>
          <w:szCs w:val="22"/>
        </w:rPr>
        <w:t xml:space="preserve">Liquidación de Beneficios sociales (deberán ser retenidas o depositadas a nombre de la aseguradora).</w:t>
      </w:r>
    </w:p>
    <w:p>
      <w:pPr>
        <w:pStyle w:val="ListParagraph"/>
        <w:numPr>
          <w:ilvl w:val="2"/>
          <w:numId w:val="7"/>
        </w:numPr>
        <w:spacing w:after="0" w:before="0" w:line="240" w:lineRule="auto"/>
        <w:jc w:val="both"/>
      </w:pPr>
      <w:r>
        <w:rPr>
          <w:rFonts w:ascii="Noto Sans" w:cs="Noto Sans" w:eastAsia="Noto Sans" w:hAnsi="Noto Sans"/>
          <w:b w:val="false"/>
          <w:bCs w:val="false"/>
          <w:caps w:val="false"/>
          <w:color w:val="000000"/>
          <w:sz w:val="22"/>
          <w:szCs w:val="22"/>
        </w:rPr>
        <w:t xml:space="preserve">Sustento de las últimas vacaciones tomadas por el deshonesto.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PDT 601 Declaración de Numero de trabajadores a SUNAT correspondiente al periodo del siniestro.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Sustentar el cumplimiento de las normas mínimas de control, como inventarios, cuadres de caja, etc.</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el ajustador del reclamo solicite información adicional, ésta deberá ser remitida primero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para su evaluación y posterior entrega al ajustador.</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¿Cuál es el siguiente paso?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Una vez liquidado el reclamo por parte del ajustador y/o Aseguradora (para casos directos) éstos remitirán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el convenio de ajuste y/o liquidación, el cual deberá ser firmado y sellado (para los casos con convenio de ajuste) y de ser casos directos, el cliente solo dará su V°B° a la liquidación vía correo, de no encontrarlo conforme, el asegurado podrá enviar sus comentarios correspondientes.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Cuando dicho documento se encuentre conforme, firmado y sellado por el cliente,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devolverá dicho convenio al ajustador a fin de que sea remitido a la Cía. Aseguradora conjuntamente con el Informe Final del siniestro.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La Cía. de Seguros, de encontrar conforme el certificado de averías y el informe procederá al pago respectivo en un plazo máximo de 30 días siguientes a la firma del Convenio.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en todo momento tiene la obligación de no hacer abandono de los bienes siniestrados y de sus restos, entregándolos a la Compañía de Seguros, procediendo a su destrucción o compra del salvamento, según sea el acuerdo con la Aseguradora.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está en la obligación de ceder sus derechos de Subrogación a la Compañía de Seguros por las acciones que tengan que ejecutarse contra terceros como consecuencia del siniestro. Por ningún motivo deben obrar de tal manera que se invalide este derecho.</w:t>
      </w:r>
    </w:p>
    <w:p>
      <w:pPr>
        <w:spacing w:after="0" w:before="0"/>
      </w:pPr>
      <w:r>
        <w:rPr>
          <w:sz w:val="2"/>
          <w:szCs w:val="2"/>
        </w:rPr>
        <w:t xml:space="preserve">{%p endif %}</w:t>
      </w:r>
    </w:p>
    <w:p>
      <w:pPr>
        <w:spacing w:after="0" w:before="0"/>
      </w:pPr>
      <w:r>
        <w:rPr>
          <w:sz w:val="2"/>
          <w:szCs w:val="2"/>
        </w:rPr>
        <w:t xml:space="preserve">{%p if show_item_10 %}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Seguro de Responsabilidad Civil</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En el caso de que se ocasione daños a propiedades de terceros, tomar las medidas necesarias para aminorar o limitar los daños.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En caso de daños personales a terceros, brindar la atención médica correspondiente, llevando al afectado a un Centro Médico, Clínica u Hospital más cercano, de igual forma, comunicarse de inmediato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a fin de que los aseguradores tomen conocimiento del caso y se pueda contemplar la atención del mismo una vez activada la póliza de Responsabilidad Civil.</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Documentación Básica:</w:t>
      </w:r>
    </w:p>
    <w:p>
      <w:pPr>
        <w:spacing w:after="0" w:before="0" w:line="240" w:lineRule="auto"/>
      </w:pPr>
      <w:r>
        <w:rPr>
          <w:rFonts w:ascii="Noto Sans" w:cs="Noto Sans" w:eastAsia="Noto Sans" w:hAnsi="Noto Sans"/>
          <w:sz w:val="22"/>
          <w:szCs w:val="22"/>
        </w:rPr>
        <w:t xml:space="preserve"> </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Carta de reclamo del tercero afectado.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Técnico sobre las circunstancias del siniestro.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de ocurrencia.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Relación detallada y valorizada al costo de los bienes dañados del tercero.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el tercero demande al asegurado, entregar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dicha demanda para que sea notificada a la Compañía de Seguros.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Tan pronto se evalúe el monto de los daños a terceros, remitir a la oficina de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dicha información.</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el ajustador del reclamo solicite información adicional, ésta deberá ser remitida primero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para su evaluación y posterior entrega al ajustador.</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¿Cuál es el siguiente paso?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Es importante tener en cuenta que la póliza de Responsabilidad Civil no es una cobertura de daño directo o indemnizatorio tan pronto se presente el reclamo. Esta póliza se activa únicamente cuando existe responsabilidad como causante de daños personales o materiales a un tercero producto de un accidente, según condiciones de la póliza y esencialmente cuando se inicia un reclamo formal o se abre un proceso civil en contra de la empresa. Su activación NO es inmediata y debe ser canalizada a través de un Ajustador de Seguros.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No se deberá de realizar transacciones ni reconocer indemnizaciones, ni responsabilidades sin conocimiento previo de la aseguradora, así como la autorización escrita de la aseguradora.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Una vez liquidado el reclamo por parte del ajustador, éste remitirá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la transacción extrajudicial suscrita con la parte afectada, así como el convenio de ajuste, los cuales deberán ser devueltos con firmas legalizadas en el caso de las transacciones y firmado y sellado en el caso del convenio de ajuste, documentos con los cuales se dará por culminada la atención del caso.</w:t>
      </w:r>
    </w:p>
    <w:p>
      <w:pPr>
        <w:spacing w:after="0" w:before="0"/>
      </w:pPr>
      <w:r>
        <w:rPr>
          <w:sz w:val="2"/>
          <w:szCs w:val="2"/>
        </w:rPr>
        <w:t xml:space="preserve">{%p endif %}</w:t>
      </w:r>
    </w:p>
    <w:p>
      <w:pPr>
        <w:spacing w:after="0" w:before="0"/>
      </w:pPr>
      <w:r>
        <w:rPr>
          <w:sz w:val="2"/>
          <w:szCs w:val="2"/>
        </w:rPr>
        <w:t xml:space="preserve">{%p if show_item_11 %}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Seguro de Transporte Nacional</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 indicando el lugar, fecha y hora del siniestro, así como evaluar los daños, aproximar la pérdida en cuanto a cantidades y/o valorización, e indicar el tipo de mercadería si es factible.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Cuando sea dudoso el estado en que se recibe la mercadería o cuando se recibe con pérdidas o daños evidentes, se debe dejar expresa constancia en los documentos de recepción de la mercadería.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Es importante documentar toda la información posible sobre el siniestro, tomando fotografías y registrando los detalles importantes.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En caso de Robo o Accidente de tránsito, efectuar la denuncia policial en la comisaría del sector, y remitir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copia certificada de dicha denuncia; deberá contener la descripción de la ocurrencia lo más detallada y exacta posible, así como los documentos en que amparan la carga y valorización aproximada de la pérdida.</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Documentación Básica:</w:t>
      </w:r>
    </w:p>
    <w:p>
      <w:pPr>
        <w:spacing w:after="0" w:before="0" w:line="240" w:lineRule="auto"/>
      </w:pPr>
      <w:r>
        <w:rPr>
          <w:rFonts w:ascii="Noto Sans" w:cs="Noto Sans" w:eastAsia="Noto Sans" w:hAnsi="Noto Sans"/>
          <w:sz w:val="22"/>
          <w:szCs w:val="22"/>
        </w:rPr>
        <w:t xml:space="preserve"> </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Denuncia policial (accidentes, robo) y/o informe de ocurrencia (daños).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Documentos del vehículo (SOAT, tarjeta de propiedad, revisión técnica, permiso de circulación).</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Documentos personales del chofer y ayudante (DNI, brevete, antecedentes policiales, etc.).</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Dosaje etílico del chofer (en caso accidentes de tránsito).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Guías de remisión de transportista y remitente.</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de daños a maquinarias y/o equipos: Presupuesto de reparación (en caso exista posibilidad de reparar) o Presupuesto de reposición (en caso de rechazar las partes dañadas).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Informe de control de calidad (en caso de mercaderías perecibles).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Carta de reclamo al responsable del siniestro.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Remitir copia de la factura comercial que acredite la pre existencia de los bienes.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En caso el ajustador del reclamo solicite información adicional, ésta deberá ser remitida primero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para su evaluación y posterior entrega al ajustador.</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¿Cuál es el siguiente paso?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Una vez analizados los documentos completos y enviado al ajustador nombrado, éste remitirá a la Cia. de seguros con copia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el Informe Final, documento que resume lo actuado para determinar la cobertura del siniestro; así también se emitirá el Convenio de Ajuste, donde se dará conformidad por las partes sobre el monto a ser indemnizado al Asegurado.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La Cía. de Seguros, de encontrar conforme el certificado de averías y el informe procederá al pago respectivo en un plazo máximo de 30 días siguientes a la firma del Convenio.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en todo momento tiene la obligación de no hacer abandono de los bienes siniestrados y de sus restos, entregándolos a la Compañía de Seguros, procediendo a su destrucción o compra del salvamento, según sea el acuerdo con la Aseguradora.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está en la obligación de ceder sus derechos de Subrogación a la Compañía de Seguros por las acciones que tengan que ejecutarse contra terceros como consecuencia del siniestro. Por ningún motivo deben obrar de tal manera que se invalide este derecho.</w:t>
      </w:r>
    </w:p>
    <w:p>
      <w:pPr>
        <w:spacing w:after="0" w:before="0"/>
      </w:pPr>
      <w:r>
        <w:rPr>
          <w:sz w:val="2"/>
          <w:szCs w:val="2"/>
        </w:rPr>
        <w:t xml:space="preserve">{%p endif %}</w:t>
      </w:r>
    </w:p>
    <w:p>
      <w:pPr>
        <w:spacing w:after="0" w:before="0"/>
      </w:pPr>
      <w:r>
        <w:rPr>
          <w:sz w:val="2"/>
          <w:szCs w:val="2"/>
        </w:rPr>
        <w:t xml:space="preserve">{%p if show_item_12 %}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Seguro de Importaciones</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 indicando el lugar, fecha y hora del siniestro, así como evaluar los daños, aproximar la pérdida en cuanto a cantidades y/o valorización, e indicar el tipo de mercadería si es factible.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todo faltante de bulto entero, así como instruir a su Agente de Aduanas a fin de cursar las cartas de reclamo correspondientes a la empresa naviera o aérea, según sea el caso, y confirmación de envío del proveedor.</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Cuando sea dudoso el estado en que se recibe la mercadería o cuando se recibe con pérdidas o daños evidentes, se debe dejar expresa constancia en los documentos de recepción de la mercadería.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Es importante documentar toda la información posible sobre el siniestro, tomando fotografías y registrando los detalles importantes.</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En caso de Robo o Accidente de tránsito, en el tramo Puerto / Almacén, efectuar la denuncia policial en la comisaría del sector, y remitir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copia certificada de dicha denuncia.</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Documentación Básica:</w:t>
      </w:r>
    </w:p>
    <w:p>
      <w:pPr>
        <w:spacing w:after="0" w:before="0" w:line="240" w:lineRule="auto"/>
      </w:pPr>
      <w:r>
        <w:rPr>
          <w:rFonts w:ascii="Noto Sans" w:cs="Noto Sans" w:eastAsia="Noto Sans" w:hAnsi="Noto Sans"/>
          <w:sz w:val="22"/>
          <w:szCs w:val="22"/>
        </w:rPr>
        <w:t xml:space="preserve"> </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de la factura comercial de origen.</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de la lista de contenido (Packing list).</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del Conocimiento de Embarque o Guía aérea.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Póliza de consumo (aplicación o certificado de seguros).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Guía de remisión de remitente y transportista.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Volante de despacho.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Detalle valorizado del reclamo en Excel.</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DUA.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Certificado de peso del Terminal Marítimo.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Carta reclamo a la Compañía aérea, marítima y/o terrestre por mermas y/o faltantes.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Respuesta de la Cía. aérea, marítima y/o terrestre, si lo hubiera.</w:t>
      </w:r>
    </w:p>
    <w:p>
      <w:pPr>
        <w:spacing w:after="0" w:before="0" w:line="240" w:lineRule="auto"/>
        <w:jc w:val="both"/>
      </w:pPr>
      <w:r>
        <w:rPr>
          <w:rFonts w:ascii="Noto Sans" w:cs="Noto Sans" w:eastAsia="Noto Sans" w:hAnsi="Noto Sans"/>
          <w:b/>
          <w:bCs/>
          <w:caps w:val="false"/>
          <w:color w:val="000000"/>
          <w:sz w:val="22"/>
          <w:szCs w:val="22"/>
        </w:rPr>
        <w:t xml:space="preserve">¿Cuál es el siguiente paso?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Una vez analizados los documentos completos y enviado al ajustador nombrado, éste remitirá a la Cia. de seguros con copia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el Informe Final, documento que resume lo actuado para determinar la cobertura del siniestro; así también se emitirá el Convenio de Ajuste, donde se dará conformidad por las partes sobre el monto a ser indemnizado al Asegurado.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La Cía. de Seguros, de encontrar conforme el certificado de averías y el informe procederá al pago respectivo en un plazo máximo de 30 días siguientes a la firma del Convenio.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en todo momento tiene la obligación de no hacer abandono de los bienes siniestrados y de sus restos, entregándolos a la Compañía de Seguros, procediendo a su destrucción o compra del salvamento, según sea el acuerdo con la Aseguradora.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El asegurado está en la obligación de ceder sus derechos de Subrogación a la Compañía de Seguros por las acciones que tengan que ejecutarse contra terceros como consecuencia del siniestro. Por ningún motivo deben obrar de tal manera que se invalide este derecho.</w:t>
      </w:r>
    </w:p>
    <w:p>
      <w:pPr>
        <w:spacing w:after="0" w:before="0"/>
      </w:pPr>
      <w:r>
        <w:rPr>
          <w:sz w:val="2"/>
          <w:szCs w:val="2"/>
        </w:rPr>
        <w:t xml:space="preserve">{%p endif %}</w:t>
      </w:r>
    </w:p>
    <w:p>
      <w:pPr>
        <w:spacing w:after="0" w:before="0"/>
      </w:pPr>
      <w:r>
        <w:rPr>
          <w:sz w:val="2"/>
          <w:szCs w:val="2"/>
        </w:rPr>
        <w:t xml:space="preserve">{%p if show_item_13 %}</w:t>
      </w:r>
    </w:p>
    <w:p>
      <w:pPr>
        <w:pStyle w:val="ListParagraph"/>
        <w:keepNext/>
        <w:pageBreakBefore/>
        <w:numPr>
          <w:ilvl w:val="0"/>
          <w:numId w:val="3"/>
        </w:numPr>
        <w:pBdr>
          <w:bottom w:val="single" w:color="82BAFF" w:sz="12" w:space="1"/>
        </w:pBdr>
        <w:spacing w:after="380" w:before="0" w:line="240" w:lineRule="auto"/>
      </w:pPr>
      <w:r>
        <w:rPr>
          <w:rFonts w:ascii="Noto Sans" w:cs="Noto Sans" w:eastAsia="Noto Sans" w:hAnsi="Noto Sans"/>
          <w:color w:val="82BAFF"/>
          <w:sz w:val="72"/>
          <w:szCs w:val="72"/>
        </w:rPr>
        <w:t xml:space="preserve"/>
      </w:r>
    </w:p>
    <w:p>
      <w:pPr>
        <w:spacing w:after="0" w:before="0" w:line="240" w:lineRule="auto"/>
        <w:outlineLvl w:val="0"/>
      </w:pPr>
      <w:r>
        <w:rPr>
          <w:rFonts w:ascii="Noto Sans" w:cs="Noto Sans" w:eastAsia="Noto Sans" w:hAnsi="Noto Sans"/>
          <w:b/>
          <w:bCs/>
          <w:caps w:val="false"/>
          <w:color w:val="000F47"/>
          <w:sz w:val="36"/>
          <w:szCs w:val="36"/>
        </w:rPr>
        <w:t xml:space="preserve">Seguro de Vehículos</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debo hacer?</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Llamar de inmediato a la Central de Emergencia de la Compañía de Seguros, quienes enviarán un procurador al lugar del accidente o brindará la asesoría virtual según lo que corresponda de acuerdo con el tipo de evento declarado.</w:t>
      </w:r>
    </w:p>
    <w:p>
      <w:pPr>
        <w:spacing w:after="0" w:before="0" w:line="240" w:lineRule="auto"/>
      </w:pPr>
      <w:r>
        <w:rPr>
          <w:rFonts w:ascii="Noto Sans" w:cs="Noto Sans" w:eastAsia="Noto Sans" w:hAnsi="Noto Sans"/>
          <w:sz w:val="22"/>
          <w:szCs w:val="22"/>
        </w:rPr>
        <w:t xml:space="preserve"> </w:t>
      </w:r>
    </w:p>
    <w:p>
      <w:pPr>
        <w:spacing w:after="0" w:before="0" w:line="240" w:lineRule="auto"/>
        <w:jc w:val="center"/>
      </w:pPr>
      <w:r>
        <w:rPr>
          <w:rFonts w:ascii="Noto Sans" w:cs="Noto Sans" w:eastAsia="Noto Sans" w:hAnsi="Noto Sans"/>
          <w:b/>
          <w:bCs/>
          <w:caps w:val="false"/>
          <w:color w:val="000000"/>
          <w:sz w:val="22"/>
          <w:szCs w:val="22"/>
        </w:rPr>
        <w:t xml:space="preserve">RIMAC			411-1111</w:t>
      </w:r>
    </w:p>
    <w:p>
      <w:pPr>
        <w:spacing w:after="0" w:before="0" w:line="240" w:lineRule="auto"/>
        <w:jc w:val="center"/>
      </w:pPr>
      <w:r>
        <w:rPr>
          <w:rFonts w:ascii="Noto Sans" w:cs="Noto Sans" w:eastAsia="Noto Sans" w:hAnsi="Noto Sans"/>
          <w:b/>
          <w:bCs/>
          <w:caps w:val="false"/>
          <w:color w:val="000000"/>
          <w:sz w:val="22"/>
          <w:szCs w:val="22"/>
        </w:rPr>
        <w:t xml:space="preserve">PACIFICO			415-1515</w:t>
      </w:r>
    </w:p>
    <w:p>
      <w:pPr>
        <w:spacing w:after="0" w:before="0" w:line="240" w:lineRule="auto"/>
        <w:jc w:val="center"/>
      </w:pPr>
      <w:r>
        <w:rPr>
          <w:rFonts w:ascii="Noto Sans" w:cs="Noto Sans" w:eastAsia="Noto Sans" w:hAnsi="Noto Sans"/>
          <w:b/>
          <w:bCs/>
          <w:caps w:val="false"/>
          <w:color w:val="000000"/>
          <w:sz w:val="22"/>
          <w:szCs w:val="22"/>
        </w:rPr>
        <w:t xml:space="preserve">MAPFRE			213-7373</w:t>
      </w:r>
    </w:p>
    <w:p>
      <w:pPr>
        <w:spacing w:after="0" w:before="0" w:line="240" w:lineRule="auto"/>
        <w:jc w:val="center"/>
      </w:pPr>
      <w:r>
        <w:rPr>
          <w:rFonts w:ascii="Noto Sans" w:cs="Noto Sans" w:eastAsia="Noto Sans" w:hAnsi="Noto Sans"/>
          <w:b/>
          <w:bCs/>
          <w:caps w:val="false"/>
          <w:color w:val="000000"/>
          <w:sz w:val="22"/>
          <w:szCs w:val="22"/>
        </w:rPr>
        <w:t xml:space="preserve">LA POSITIVA			211-0211</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Presentarse de inmediato a la comisaría del sector a fin de efectuar la denuncia policial y someterse al dosaje etílico dentro de las cuatro horas siguientes de ocurrido el accidente de tránsito. Asimismo, cumplir con realizar el peritaje de daños, manifestación y/o cualquier otra diligencia que soliciten las autoridades.</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Comunicarse con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por la vía más rápida (Teléfono, mail, etc.) dentro de las 24 horas de la ocurrencia, indicando la placa del vehículo, el lugar, fecha y hora del siniestro, así como las posibles causas que originaron el daño.</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¿Qué documentos debo presentar para que atiendan el siniestro?</w:t>
      </w:r>
    </w:p>
    <w:p>
      <w:pPr>
        <w:spacing w:after="0" w:before="0" w:line="240" w:lineRule="auto"/>
      </w:pPr>
      <w:r>
        <w:rPr>
          <w:rFonts w:ascii="Noto Sans" w:cs="Noto Sans" w:eastAsia="Noto Sans" w:hAnsi="Noto Sans"/>
          <w:sz w:val="22"/>
          <w:szCs w:val="22"/>
        </w:rPr>
        <w:t xml:space="preserve"> </w:t>
      </w:r>
    </w:p>
    <w:p>
      <w:pPr>
        <w:spacing w:after="0" w:before="0" w:line="240" w:lineRule="auto"/>
        <w:ind w:firstLine="714"/>
        <w:jc w:val="both"/>
      </w:pPr>
      <w:r>
        <w:rPr>
          <w:rFonts w:ascii="Noto Sans" w:cs="Noto Sans" w:eastAsia="Noto Sans" w:hAnsi="Noto Sans"/>
          <w:b/>
          <w:bCs/>
          <w:caps w:val="false"/>
          <w:color w:val="000000"/>
          <w:sz w:val="22"/>
          <w:szCs w:val="22"/>
        </w:rPr>
        <w:t xml:space="preserve">En caso sea una pérdida total o robo total del vehículo: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Original de la tarjeta de propiedad.</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Original del certificado SOAT.</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Llaves del vehículo.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de los DNI de los propietarios legales de la unidad.</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de la partida de matrimonio en caso de ser casados.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de los DNI de los representantes legales del propietario del vehículo en caso de persona jurídica.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de la vigencia de poder actualizada del representante legal de la empresa, donde se especifique las facultades para transferir los bienes muebles a nombre de la empresa propietaria.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del RUC de la empresa en caso el propietario sea persona jurídica.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Factura por un monto simbólico de US$1.18 de la empresa propietaria del vehículo a favor de la aseguradora, por la venta de los restos del vehículo siniestrado.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Formato firmado de la aseguradora del Sistema de Prevención de Lavado de Activos.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Estado de cuenta del Impuesto Vehicular (SAT), cancelado a la fecha de indemnización.</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Gravámenes municipales libre de afectación (Lima, Callao o provincia).</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Gravamen policial libre de afectaciones.</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Gravamen otorgado por la SUNARP libre de cualquier afectación.</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Declaración jurada de actualización de datos, declarando la baja del vehículo para exonerarlo del pago del impuesto automotriz, por el siniestro de la pérdida total o robo total del vehículo.</w:t>
      </w:r>
    </w:p>
    <w:p>
      <w:pPr>
        <w:spacing w:after="0" w:before="0" w:line="240" w:lineRule="auto"/>
      </w:pPr>
      <w:r>
        <w:rPr>
          <w:rFonts w:ascii="Noto Sans" w:cs="Noto Sans" w:eastAsia="Noto Sans" w:hAnsi="Noto Sans"/>
          <w:sz w:val="22"/>
          <w:szCs w:val="22"/>
        </w:rPr>
        <w:t xml:space="preserve"> </w:t>
      </w:r>
    </w:p>
    <w:p>
      <w:pPr>
        <w:spacing w:after="0" w:before="0" w:line="240" w:lineRule="auto"/>
        <w:ind w:firstLine="714"/>
        <w:jc w:val="both"/>
      </w:pPr>
      <w:r>
        <w:rPr>
          <w:rFonts w:ascii="Noto Sans" w:cs="Noto Sans" w:eastAsia="Noto Sans" w:hAnsi="Noto Sans"/>
          <w:b/>
          <w:bCs/>
          <w:caps w:val="false"/>
          <w:color w:val="000000"/>
          <w:sz w:val="22"/>
          <w:szCs w:val="22"/>
        </w:rPr>
        <w:t xml:space="preserve">En caso sea una pérdida parcial:</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Copia de la denuncia policial, peritaje de daños, resultado del dosaje etílico, fotografías, informe del operador de GPS y/o cualquier otro documento adicional que requiera el seguro.</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Trasladar el vehículo siniestrado a un taller afiliado de la aseguradora para su reparación, indicando que no deberán iniciar los trabajos hasta que el técnico de la compañía de seguros apruebe el presupuesto correspondiente.</w:t>
      </w:r>
    </w:p>
    <w:p>
      <w:pPr>
        <w:pStyle w:val="ListParagraph"/>
        <w:numPr>
          <w:ilvl w:val="1"/>
          <w:numId w:val="7"/>
        </w:numPr>
        <w:spacing w:after="0" w:before="0" w:line="240" w:lineRule="auto"/>
        <w:jc w:val="both"/>
      </w:pPr>
      <w:r>
        <w:rPr>
          <w:rFonts w:ascii="Noto Sans" w:cs="Noto Sans" w:eastAsia="Noto Sans" w:hAnsi="Noto Sans"/>
          <w:b w:val="false"/>
          <w:bCs w:val="false"/>
          <w:caps w:val="false"/>
          <w:color w:val="000000"/>
          <w:sz w:val="22"/>
          <w:szCs w:val="22"/>
        </w:rPr>
        <w:t xml:space="preserve">Para poder retirar el vehículo, una vez terminada su reparación, es necesario efectuar el pago de la franquicia o deducible correspondiente directamente al taller o a la aseguradora de ser el caso.</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Recomendaciones:</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En caso de existir daños personales, el primer paso a seguir será llevar al (los) herido(s) a la clínica u hospital más cercano y luego proceder de acuerdo con los puntos detallados anteriormente. En caso de atropello, buscar atención médica de inmediato así la persona atropellada no presente aparentemente ninguna lesión exterior. Según ley, la póliza Soat deberá ser la primera cobertura en activarse.</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No aceptar ningún tipo de responsabilidades ni ofrecer pago alguno. Cualquier aceptación de reclamos, acuerdos o pactos transaccionales con terceros, sin autorización de la Compañía de Seguros, podría ser motivo para que ésta se libere de responsabilidades respecto al siniestro.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En caso de que el vehículo quedara detenido después de un atropello o choque con lesiones, comunicar este hecho de inmediato 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para coordinar con la aseguradora la asesoría legal para la posible libertad del vehículo.</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De producirse algún siniestro en el cual sea necesario efectuar reparaciones, sugerimos realizadas en cualquier concesionario de la marca del vehículo siniestrado y/o en cualquier taller afiliado de la aseguradora. (</w:t>
      </w:r>
      <w:r>
        <w:rPr>
          <w:rFonts w:ascii="Noto Sans" w:cs="Noto Sans" w:eastAsia="Noto Sans" w:hAnsi="Noto Sans"/>
          <w:b/>
          <w:bCs/>
          <w:caps w:val="false"/>
          <w:color w:val="000000"/>
          <w:sz w:val="22"/>
          <w:szCs w:val="22"/>
        </w:rPr>
        <w:t xml:space="preserve">{{ brokerName }}</w:t>
      </w:r>
      <w:r>
        <w:rPr>
          <w:rFonts w:ascii="Noto Sans" w:cs="Noto Sans" w:eastAsia="Noto Sans" w:hAnsi="Noto Sans"/>
          <w:b w:val="false"/>
          <w:bCs w:val="false"/>
          <w:caps w:val="false"/>
          <w:color w:val="000000"/>
          <w:sz w:val="22"/>
          <w:szCs w:val="22"/>
        </w:rPr>
        <w:t xml:space="preserve"> se abstiene de recomendar algún taller de reparaciones o factoría en especial).</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No prender el motor del vehículo siniestrado luego de haber sufrido un evento que pudiera involucrar daños en el motor o pérdida de fluidos a consecuencia de haberse volteado o haber sufrido impacto en la parte baja o frontal de la unidad. Se deberá recurrir a los servicios de una grúa.</w:t>
      </w:r>
    </w:p>
    <w:p>
      <w:pPr>
        <w:spacing w:after="0" w:before="0" w:line="240" w:lineRule="auto"/>
      </w:pPr>
      <w:r>
        <w:rPr>
          <w:rFonts w:ascii="Noto Sans" w:cs="Noto Sans" w:eastAsia="Noto Sans" w:hAnsi="Noto Sans"/>
          <w:sz w:val="22"/>
          <w:szCs w:val="22"/>
        </w:rPr>
        <w:t xml:space="preserve"> </w:t>
      </w:r>
    </w:p>
    <w:p>
      <w:pPr>
        <w:spacing w:after="0" w:before="0" w:line="240" w:lineRule="auto"/>
      </w:pPr>
      <w:r>
        <w:rPr>
          <w:rFonts w:ascii="Noto Sans" w:cs="Noto Sans" w:eastAsia="Noto Sans" w:hAnsi="Noto Sans"/>
          <w:sz w:val="22"/>
          <w:szCs w:val="22"/>
        </w:rPr>
        <w:t xml:space="preserve"> </w:t>
      </w:r>
    </w:p>
    <w:p>
      <w:pPr>
        <w:spacing w:after="0" w:before="0" w:line="240" w:lineRule="auto"/>
        <w:jc w:val="both"/>
      </w:pPr>
      <w:r>
        <w:rPr>
          <w:rFonts w:ascii="Noto Sans" w:cs="Noto Sans" w:eastAsia="Noto Sans" w:hAnsi="Noto Sans"/>
          <w:b/>
          <w:bCs/>
          <w:caps w:val="false"/>
          <w:color w:val="000000"/>
          <w:sz w:val="22"/>
          <w:szCs w:val="22"/>
        </w:rPr>
        <w:t xml:space="preserve">¿Cuánto tiempo demora la atención de mi siniestro?</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Si el siniestro es un robo total se deberá esperar 30 días para que la Compañía de Seguros proceda a declarar la pérdida total del vehículo y para proceder con la indemnización se deberán entregar los documentos detallados anteriormente, así como la firma del acta de transferencia.</w:t>
      </w:r>
    </w:p>
    <w:p>
      <w:pPr>
        <w:spacing w:after="0" w:before="0" w:line="240" w:lineRule="auto"/>
      </w:pPr>
      <w:r>
        <w:rPr>
          <w:rFonts w:ascii="Noto Sans" w:cs="Noto Sans" w:eastAsia="Noto Sans" w:hAnsi="Noto Sans"/>
          <w:sz w:val="22"/>
          <w:szCs w:val="22"/>
        </w:rPr>
        <w:t xml:space="preserve"> </w:t>
      </w:r>
    </w:p>
    <w:p>
      <w:pPr>
        <w:pStyle w:val="ListParagraph"/>
        <w:numPr>
          <w:ilvl w:val="0"/>
          <w:numId w:val="4"/>
        </w:numPr>
        <w:spacing w:after="0" w:before="0" w:line="240" w:lineRule="auto"/>
        <w:jc w:val="both"/>
      </w:pPr>
      <w:r>
        <w:rPr>
          <w:rFonts w:ascii="Noto Sans" w:cs="Noto Sans" w:eastAsia="Noto Sans" w:hAnsi="Noto Sans"/>
          <w:b w:val="false"/>
          <w:bCs w:val="false"/>
          <w:caps w:val="false"/>
          <w:color w:val="000000"/>
          <w:sz w:val="22"/>
          <w:szCs w:val="22"/>
        </w:rPr>
        <w:t xml:space="preserve">Si el siniestro es un daño parcial, el tiempo lo estima el taller de reparación en base a la magnitud de los daños del vehículo y el tiempo que demore su reparación y/o importación de repuestos.</w:t>
      </w:r>
    </w:p>
    <w:p>
      <w:pPr>
        <w:spacing w:after="0" w:before="0"/>
      </w:pPr>
      <w:r>
        <w:rPr>
          <w:sz w:val="2"/>
          <w:szCs w:val="2"/>
        </w:rPr>
        <w:t xml:space="preserve">{%p endif %}</w:t>
      </w:r>
    </w:p>
    <w:sectPr>
      <w:headerReference w:type="default" r:id="rId8"/>
      <w:footerReference w:type="default" r:id="rId9"/>
      <w:type w:val="nextPage"/>
      <w:pgSz w:w="12240" w:h="15840" w:orient="portrait"/>
      <w:pgMar w:top="1440" w:right="1077" w:bottom="1327" w:left="107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Noto Sans" w:cs="Noto Sans" w:eastAsia="Noto Sans" w:hAnsi="Noto Sans"/>
        <w:b w:val="false"/>
        <w:bCs w:val="false"/>
        <w:caps w:val="false"/>
        <w:color w:val="000000"/>
        <w:sz w:val="21"/>
        <w:szCs w:val="21"/>
      </w:rPr>
      <w:t xml:space="preserve">Página </w:t>
    </w:r>
    <w:r>
      <w:rPr>
        <w:rFonts w:ascii="Noto Sans" w:cs="Noto Sans" w:eastAsia="Noto Sans" w:hAnsi="Noto Sans"/>
        <w:b/>
        <w:bCs/>
        <w:sz w:val="21"/>
        <w:szCs w:val="21"/>
      </w:rPr>
      <w:fldChar w:fldCharType="begin"/>
      <w:instrText xml:space="preserve">PAGE</w:instrText>
      <w:fldChar w:fldCharType="separate"/>
      <w:fldChar w:fldCharType="end"/>
    </w:r>
    <w:r>
      <w:rPr>
        <w:rFonts w:ascii="Noto Sans" w:cs="Noto Sans" w:eastAsia="Noto Sans" w:hAnsi="Noto Sans"/>
        <w:b w:val="false"/>
        <w:bCs w:val="false"/>
        <w:caps w:val="false"/>
        <w:color w:val="000000"/>
        <w:sz w:val="21"/>
        <w:szCs w:val="21"/>
      </w:rPr>
      <w:t xml:space="preserve"> de </w:t>
    </w:r>
    <w:r>
      <w:rPr>
        <w:rFonts w:ascii="Noto Sans" w:cs="Noto Sans" w:eastAsia="Noto Sans" w:hAnsi="Noto Sans"/>
        <w:b/>
        <w:bCs/>
        <w:caps w:val="false"/>
        <w:color w:val="000000"/>
        <w:sz w:val="21"/>
        <w:szCs w:val="21"/>
      </w:rPr>
      <w:t xml:space="preserve">{{ total_pages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pPr>
    <w:r>
      <w:rPr>
        <w:rFonts w:ascii="Noto Sans" w:cs="Noto Sans" w:eastAsia="Noto Sans" w:hAnsi="Noto Sans"/>
        <w:b/>
        <w:bCs/>
        <w:caps/>
        <w:color w:val="000000"/>
        <w:sz w:val="16"/>
        <w:szCs w:val="16"/>
      </w:rPr>
      <w:t xml:space="preserve">MANUAL DE PROCEDIMIENTO EN CASO DE SINIESTRO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1"/>
      <w:lvlJc w:val="left"/>
      <w:pPr>
        <w:ind w:left="360" w:hanging="360"/>
      </w:pPr>
      <w:rPr>
        <w:rFonts w:ascii="Noto Sans" w:cs="Noto Sans" w:eastAsia="Noto Sans" w:hAnsi="Noto Sans"/>
        <w:b/>
        <w:bCs/>
        <w:color w:val="82BAFF"/>
        <w:sz w:val="72"/>
        <w:szCs w:val="72"/>
      </w:rPr>
    </w:lvl>
  </w:abstractNum>
  <w:abstractNum w:abstractNumId="3" w15:restartNumberingAfterBreak="0">
    <w:multiLevelType w:val="hybridMultilevel"/>
    <w:lvl w:ilvl="0" w15:tentative="1">
      <w:start w:val="1"/>
      <w:lvlText w:val="»"/>
      <w:lvlJc w:val="left"/>
      <w:pPr>
        <w:ind w:left="227" w:hanging="227"/>
      </w:pPr>
      <w:rPr>
        <w:rFonts w:ascii="Noto Sans" w:cs="Noto Sans" w:eastAsia="Noto Sans" w:hAnsi="Noto Sans"/>
        <w:b/>
        <w:bCs/>
        <w:sz w:val="22"/>
        <w:szCs w:val="22"/>
      </w:rPr>
    </w:lvl>
    <w:lvl w:ilvl="1" w15:tentative="1">
      <w:start w:val="1"/>
      <w:lvlText w:val="o"/>
      <w:lvlJc w:val="left"/>
      <w:pPr>
        <w:ind w:left="1440" w:hanging="360"/>
      </w:pPr>
      <w:rPr>
        <w:rFonts w:ascii="Courier New" w:cs="Courier New" w:eastAsia="Courier New" w:hAnsi="Courier New"/>
        <w:b/>
        <w:bCs/>
      </w:rPr>
    </w:lvl>
    <w:lvl w:ilvl="2" w15:tentative="1">
      <w:start w:val="1"/>
      <w:lvlJc w:val="left"/>
      <w:pPr>
        <w:ind w:left="2160" w:hanging="360"/>
      </w:pPr>
      <w:rPr>
        <w:rFonts w:ascii="Wingdings" w:cs="Wingdings" w:eastAsia="Wingdings" w:hAnsi="Wingdings"/>
        <w:b/>
        <w:bCs/>
      </w:rPr>
    </w:lvl>
  </w:abstractNum>
  <w:abstractNum w:abstractNumId="4" w15:restartNumberingAfterBreak="0">
    <w:multiLevelType w:val="hybridMultilevel"/>
    <w:lvl w:ilvl="0" w15:tentative="1">
      <w:start w:val="1"/>
      <w:lvlText w:val="»"/>
      <w:lvlJc w:val="left"/>
      <w:pPr>
        <w:ind w:left="170" w:hanging="170"/>
      </w:pPr>
      <w:rPr>
        <w:rFonts w:ascii="Noto Sans" w:cs="Noto Sans" w:eastAsia="Noto Sans" w:hAnsi="Noto Sans"/>
        <w:b/>
        <w:bCs/>
        <w:sz w:val="22"/>
        <w:szCs w:val="22"/>
      </w:rPr>
    </w:lvl>
  </w:abstractNum>
  <w:abstractNum w:abstractNumId="5" w15:restartNumberingAfterBreak="0">
    <w:multiLevelType w:val="hybridMultilevel"/>
    <w:lvl w:ilvl="0" w15:tentative="1">
      <w:start w:val="1"/>
      <w:lvlText w:val="·"/>
      <w:lvlJc w:val="left"/>
      <w:pPr>
        <w:ind w:left="984" w:hanging="227"/>
      </w:pPr>
      <w:rPr>
        <w:rFonts w:ascii="Symbol" w:cs="Symbol" w:eastAsia="Symbol" w:hAnsi="Symbol"/>
        <w:b/>
        <w:bCs/>
        <w:sz w:val="22"/>
        <w:szCs w:val="22"/>
      </w:rPr>
    </w:lvl>
  </w:abstractNum>
  <w:abstractNum w:abstractNumId="6" w15:restartNumberingAfterBreak="0">
    <w:multiLevelType w:val="hybridMultilevel"/>
    <w:lvl w:ilvl="0" w15:tentative="1">
      <w:start w:val="1"/>
      <w:lvlText w:val="»"/>
      <w:lvlJc w:val="left"/>
      <w:pPr>
        <w:ind w:left="227" w:hanging="227"/>
      </w:pPr>
      <w:rPr>
        <w:rFonts w:ascii="Noto Sans" w:cs="Noto Sans" w:eastAsia="Noto Sans" w:hAnsi="Noto Sans"/>
        <w:b/>
        <w:bCs/>
        <w:sz w:val="22"/>
        <w:szCs w:val="22"/>
      </w:rPr>
    </w:lvl>
    <w:lvl w:ilvl="1" w15:tentative="1">
      <w:start w:val="1"/>
      <w:lvlText w:val="ü"/>
      <w:lvlJc w:val="left"/>
      <w:pPr>
        <w:ind w:left="1440" w:hanging="360"/>
      </w:pPr>
      <w:rPr>
        <w:rFonts w:ascii="Wingdings" w:cs="Wingdings" w:eastAsia="Wingdings" w:hAnsi="Wingdings"/>
        <w:b/>
        <w:bCs/>
        <w:sz w:val="22"/>
        <w:szCs w:val="22"/>
      </w:rPr>
    </w:lvl>
    <w:lvl w:ilvl="2" w15:tentative="1">
      <w:start w:val="1"/>
      <w:lvlText w:val="§"/>
      <w:lvlJc w:val="left"/>
      <w:pPr>
        <w:ind w:left="2160" w:hanging="360"/>
      </w:pPr>
      <w:rPr>
        <w:rFonts w:ascii="Wingdings" w:cs="Wingdings" w:eastAsia="Wingdings" w:hAnsi="Wingdings"/>
        <w:b/>
        <w:bCs/>
        <w:sz w:val="22"/>
        <w:szCs w:val="22"/>
      </w:rPr>
    </w:lvl>
  </w:abstractNum>
  <w:abstractNum w:abstractNumId="7" w15:restartNumberingAfterBreak="0">
    <w:multiLevelType w:val="hybridMultilevel"/>
    <w:lvl w:ilvl="0" w15:tentative="1">
      <w:start w:val="1"/>
      <w:lvlText w:val="%1."/>
      <w:lvlJc w:val="left"/>
      <w:pPr>
        <w:ind w:left="360" w:hanging="360"/>
      </w:pPr>
      <w:rPr>
        <w:rFonts w:ascii="Noto Sans" w:cs="Noto Sans" w:eastAsia="Noto Sans" w:hAnsi="Noto Sans"/>
        <w:sz w:val="22"/>
        <w:szCs w:val="22"/>
      </w:r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88bf922f58764b58c54d437e2d95ba453b7d00a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2026-04-27T07:07:22.109Z</dcterms:created>
  <dcterms:modified xsi:type="dcterms:W3CDTF">2026-04-27T07:07:22.109Z</dcterms:modified>
</cp:coreProperties>
</file>

<file path=docProps/custom.xml><?xml version="1.0" encoding="utf-8"?>
<Properties xmlns="http://schemas.openxmlformats.org/officeDocument/2006/custom-properties" xmlns:vt="http://schemas.openxmlformats.org/officeDocument/2006/docPropsVTypes"/>
</file>