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60"/>
        <w:jc w:val="center"/>
      </w:pPr>
      <w:r>
        <w:rPr>
          <w:b/>
          <w:color w:val="0B2545"/>
          <w:sz w:val="64"/>
        </w:rPr>
        <w:t>Veristake</w:t>
      </w:r>
    </w:p>
    <w:p>
      <w:pPr>
        <w:spacing w:after="80"/>
        <w:jc w:val="center"/>
      </w:pPr>
      <w:r>
        <w:rPr>
          <w:i/>
          <w:color w:val="475569"/>
          <w:sz w:val="30"/>
        </w:rPr>
        <w:t>Insurance claims, verified by economics.</w:t>
      </w:r>
    </w:p>
    <w:p>
      <w:pPr>
        <w:jc w:val="center"/>
      </w:pPr>
      <w:r>
        <w:rPr>
          <w:b/>
          <w:color w:val="0B2545"/>
          <w:sz w:val="24"/>
        </w:rPr>
        <w:t>Whitepaper v2.0 — Product Revision</w:t>
      </w:r>
    </w:p>
    <w:p>
      <w:pPr>
        <w:jc w:val="center"/>
      </w:pPr>
      <w:r>
        <w:t>Authors: Oscar Li, Sam Wang</w:t>
        <w:br/>
        <w:t>Updated: May 19, 2026</w:t>
        <w:br/>
        <w:t>Live demo: https://veristake-demo.vercel.app</w:t>
      </w:r>
    </w:p>
    <w:tbl>
      <w:tblPr>
        <w:tblW w:type="auto" w:w="0"/>
        <w:jc w:val="center"/>
        <w:tblLook w:firstColumn="1" w:firstRow="1" w:lastColumn="0" w:lastRow="0" w:noHBand="0" w:noVBand="1" w:val="04A0"/>
      </w:tblPr>
      <w:tblGrid>
        <w:gridCol w:w="9792"/>
      </w:tblGrid>
      <w:tr>
        <w:trPr>
          <w:tblHeader w:val="true"/>
        </w:trPr>
        <w:tc>
          <w:tcPr>
            <w:tcW w:type="dxa" w:w="9792"/>
            <w:shd w:fill="EAF2FF"/>
          </w:tcPr>
          <w:p>
            <w:pPr>
              <w:spacing w:after="60"/>
            </w:pPr>
            <w:r>
              <w:rPr>
                <w:b/>
                <w:color w:val="0B2545"/>
                <w:sz w:val="21"/>
              </w:rPr>
              <w:t>Investor TLDR</w:t>
            </w:r>
          </w:p>
          <w:p>
            <w:pPr>
              <w:spacing w:after="40"/>
            </w:pPr>
            <w:r>
              <w:t>Veristake is the verification layer for disputed insurance claims. Health and auto carriers keep underwriting authority and reserves, while Veristake routes contested claim packets to credentialed verifiers who stake capital, build reputation, and can be penalized for reckless decisions.</w:t>
            </w:r>
          </w:p>
          <w:p>
            <w:pPr>
              <w:spacing w:after="40"/>
            </w:pPr>
            <w:r>
              <w:t>The result is faster, auditable, bias-resistant claim resolution without making Veristake an insurer.</w:t>
            </w:r>
          </w:p>
        </w:tc>
      </w:tr>
    </w:tbl>
    <w:p/>
    <w:p>
      <w:r>
        <w:br w:type="page"/>
      </w:r>
    </w:p>
    <w:p>
      <w:pPr>
        <w:pStyle w:val="Heading1"/>
      </w:pPr>
      <w:r>
        <w:rPr>
          <w:color w:val="0B2545"/>
          <w:sz w:val="36"/>
        </w:rPr>
        <w:t>Executive Summary</w:t>
      </w:r>
    </w:p>
    <w:p>
      <w:pPr>
        <w:spacing w:after="140" w:line="259" w:lineRule="auto"/>
      </w:pPr>
      <w:r>
        <w:t>Veristake is a protocol layer for insurance claim verification. It is designed for licensed health and auto carriers that need outside adjudication capacity, bias-resistant review, and an auditable trail without handing underwriting authority to a crypto-native insurance product.</w:t>
      </w:r>
    </w:p>
    <w:p>
      <w:pPr>
        <w:spacing w:after="140" w:line="259" w:lineRule="auto"/>
      </w:pPr>
      <w:r>
        <w:t>The final Phase 2 product now demonstrates this end-to-end: a public landing page for non-crypto insurance executives, a live Base Sepolia dashboard reading production-grade testnet contracts, and a no-wallet demo surface where a visitor can experience claimant, carrier, and verifier flows in minutes.</w:t>
      </w:r>
    </w:p>
    <w:p>
      <w:pPr>
        <w:spacing w:after="140" w:line="259" w:lineRule="auto"/>
      </w:pPr>
      <w:r>
        <w:t>The core mechanism is simple. Verifiers put VST at risk, review structured claim packets, commit and reveal votes, and build a reputation history. Accurate review is rewarded; provably wrong or reckless review can be slashed. This turns claim review from a closed insurer-controlled process into an accountable verifier market.</w:t>
      </w:r>
    </w:p>
    <w:p>
      <w:pPr>
        <w:spacing w:after="60" w:line="252" w:lineRule="auto"/>
        <w:ind w:left="346" w:hanging="202"/>
      </w:pPr>
      <w:r>
        <w:rPr>
          <w:color w:val="2563EB"/>
        </w:rPr>
        <w:t xml:space="preserve">• </w:t>
      </w:r>
      <w:r>
        <w:t>Health and auto are the only launch domains in the current product.</w:t>
      </w:r>
    </w:p>
    <w:p>
      <w:pPr>
        <w:spacing w:after="60" w:line="252" w:lineRule="auto"/>
        <w:ind w:left="346" w:hanging="202"/>
      </w:pPr>
      <w:r>
        <w:rPr>
          <w:color w:val="2563EB"/>
        </w:rPr>
        <w:t xml:space="preserve">• </w:t>
      </w:r>
      <w:r>
        <w:t>The dashboard reads the production-grade Base Sepolia deployment; visitors do not write to it.</w:t>
      </w:r>
    </w:p>
    <w:p>
      <w:pPr>
        <w:spacing w:after="60" w:line="252" w:lineRule="auto"/>
        <w:ind w:left="346" w:hanging="202"/>
      </w:pPr>
      <w:r>
        <w:rPr>
          <w:color w:val="2563EB"/>
        </w:rPr>
        <w:t xml:space="preserve">• </w:t>
      </w:r>
      <w:r>
        <w:t>Demo writes are intended for a Tenderly Base Sepolia virtual testnet with compressed timing and backend-controlled verifier wallets.</w:t>
      </w:r>
    </w:p>
    <w:p>
      <w:pPr>
        <w:spacing w:after="60" w:line="252" w:lineRule="auto"/>
        <w:ind w:left="346" w:hanging="202"/>
      </w:pPr>
      <w:r>
        <w:rPr>
          <w:color w:val="2563EB"/>
        </w:rPr>
        <w:t xml:space="preserve">• </w:t>
      </w:r>
      <w:r>
        <w:t>No personally identifiable claim evidence belongs on-chain; on-chain data is metadata, state, stake, votes, reputation, reserve, and payout movement.</w:t>
      </w:r>
    </w:p>
    <w:p>
      <w:pPr>
        <w:pStyle w:val="Heading1"/>
      </w:pPr>
      <w:r>
        <w:rPr>
          <w:color w:val="0B2545"/>
          <w:sz w:val="36"/>
        </w:rPr>
        <w:t>1. The Problem</w:t>
      </w:r>
    </w:p>
    <w:p>
      <w:pPr>
        <w:pStyle w:val="Heading2"/>
      </w:pPr>
      <w:r>
        <w:rPr>
          <w:color w:val="0B2545"/>
          <w:sz w:val="26"/>
        </w:rPr>
        <w:t>1.1 Denials Are Not a Marginal Edge Case</w:t>
      </w:r>
    </w:p>
    <w:p>
      <w:pPr>
        <w:spacing w:after="140" w:line="259" w:lineRule="auto"/>
      </w:pPr>
      <w:r>
        <w:t>Insurance executives already know the operational tension: claims teams must control fraud and leakage, yet policyholders and regulators punish opaque denials. Veristake focuses on this tension instead of trying to become a carrier.</w:t>
      </w:r>
    </w:p>
    <w:tbl>
      <w:tblPr>
        <w:tblW w:type="auto" w:w="0"/>
        <w:jc w:val="center"/>
        <w:tblLook w:firstColumn="1" w:firstRow="1" w:lastColumn="0" w:lastRow="0" w:noHBand="0" w:noVBand="1" w:val="04A0"/>
      </w:tblPr>
      <w:tblGrid>
        <w:gridCol w:w="3264"/>
        <w:gridCol w:w="3264"/>
        <w:gridCol w:w="3264"/>
      </w:tblGrid>
      <w:tr>
        <w:trPr>
          <w:tblHeader w:val="true"/>
        </w:trPr>
        <w:tc>
          <w:tcPr>
            <w:tcW w:type="dxa" w:w="1440"/>
            <w:vAlign w:val="center"/>
            <w:shd w:fill="EAF2FF"/>
          </w:tcPr>
          <w:p>
            <w:pPr>
              <w:spacing w:after="0"/>
            </w:pPr>
            <w:r/>
            <w:r>
              <w:rPr>
                <w:b/>
                <w:color w:val="0B2545"/>
                <w:sz w:val="18"/>
              </w:rPr>
              <w:t>Statistic</w:t>
            </w:r>
          </w:p>
        </w:tc>
        <w:tc>
          <w:tcPr>
            <w:tcW w:type="dxa" w:w="4320"/>
            <w:vAlign w:val="center"/>
            <w:shd w:fill="EAF2FF"/>
          </w:tcPr>
          <w:p>
            <w:pPr>
              <w:spacing w:after="0"/>
            </w:pPr>
            <w:r/>
            <w:r>
              <w:rPr>
                <w:b/>
                <w:color w:val="0B2545"/>
                <w:sz w:val="18"/>
              </w:rPr>
              <w:t>Why it matters</w:t>
            </w:r>
          </w:p>
        </w:tc>
        <w:tc>
          <w:tcPr>
            <w:tcW w:type="dxa" w:w="3744"/>
            <w:vAlign w:val="center"/>
            <w:shd w:fill="EAF2FF"/>
          </w:tcPr>
          <w:p>
            <w:pPr>
              <w:spacing w:after="0"/>
            </w:pPr>
            <w:r/>
            <w:r>
              <w:rPr>
                <w:b/>
                <w:color w:val="0B2545"/>
                <w:sz w:val="18"/>
              </w:rPr>
              <w:t>Source used in product</w:t>
            </w:r>
          </w:p>
        </w:tc>
      </w:tr>
      <w:tr>
        <w:tc>
          <w:tcPr>
            <w:tcW w:type="dxa" w:w="1440"/>
            <w:vAlign w:val="center"/>
          </w:tcPr>
          <w:p>
            <w:pPr>
              <w:spacing w:after="0"/>
            </w:pPr>
            <w:r/>
            <w:r>
              <w:rPr>
                <w:b/>
                <w:color w:val="2563EB"/>
                <w:sz w:val="18"/>
              </w:rPr>
              <w:t>80.7%</w:t>
            </w:r>
          </w:p>
        </w:tc>
        <w:tc>
          <w:tcPr>
            <w:tcW w:type="dxa" w:w="4320"/>
            <w:vAlign w:val="center"/>
          </w:tcPr>
          <w:p>
            <w:pPr>
              <w:spacing w:after="0"/>
            </w:pPr>
            <w:r/>
            <w:r>
              <w:rPr>
                <w:b w:val="0"/>
                <w:sz w:val="18"/>
              </w:rPr>
              <w:t>Medicare Advantage prior-authorization denials overturned on appeal in 2024.</w:t>
            </w:r>
          </w:p>
        </w:tc>
        <w:tc>
          <w:tcPr>
            <w:tcW w:type="dxa" w:w="3744"/>
            <w:vAlign w:val="center"/>
          </w:tcPr>
          <w:p>
            <w:pPr>
              <w:spacing w:after="0"/>
            </w:pPr>
            <w:r/>
            <w:r>
              <w:rPr>
                <w:b w:val="0"/>
                <w:sz w:val="18"/>
              </w:rPr>
              <w:t>KFF, Medicare Advantage prior authorization determinations in 2024.</w:t>
            </w:r>
          </w:p>
        </w:tc>
      </w:tr>
      <w:tr>
        <w:tc>
          <w:tcPr>
            <w:tcW w:type="dxa" w:w="1440"/>
            <w:vAlign w:val="center"/>
          </w:tcPr>
          <w:p>
            <w:pPr>
              <w:spacing w:after="0"/>
            </w:pPr>
            <w:r/>
            <w:r>
              <w:rPr>
                <w:b/>
                <w:color w:val="2563EB"/>
                <w:sz w:val="18"/>
              </w:rPr>
              <w:t>19%</w:t>
            </w:r>
          </w:p>
        </w:tc>
        <w:tc>
          <w:tcPr>
            <w:tcW w:type="dxa" w:w="4320"/>
            <w:vAlign w:val="center"/>
          </w:tcPr>
          <w:p>
            <w:pPr>
              <w:spacing w:after="0"/>
            </w:pPr>
            <w:r/>
            <w:r>
              <w:rPr>
                <w:b w:val="0"/>
                <w:sz w:val="18"/>
              </w:rPr>
              <w:t>In-network ACA marketplace health claims denied in 2024.</w:t>
            </w:r>
          </w:p>
        </w:tc>
        <w:tc>
          <w:tcPr>
            <w:tcW w:type="dxa" w:w="3744"/>
            <w:vAlign w:val="center"/>
          </w:tcPr>
          <w:p>
            <w:pPr>
              <w:spacing w:after="0"/>
            </w:pPr>
            <w:r/>
            <w:r>
              <w:rPr>
                <w:b w:val="0"/>
                <w:sz w:val="18"/>
              </w:rPr>
              <w:t>KFF, Claims Denials and Appeals in ACA Marketplace Plans in 2024.</w:t>
            </w:r>
          </w:p>
        </w:tc>
      </w:tr>
      <w:tr>
        <w:tc>
          <w:tcPr>
            <w:tcW w:type="dxa" w:w="1440"/>
            <w:vAlign w:val="center"/>
          </w:tcPr>
          <w:p>
            <w:pPr>
              <w:spacing w:after="0"/>
            </w:pPr>
            <w:r/>
            <w:r>
              <w:rPr>
                <w:b/>
                <w:color w:val="2563EB"/>
                <w:sz w:val="18"/>
              </w:rPr>
              <w:t>37%</w:t>
            </w:r>
          </w:p>
        </w:tc>
        <w:tc>
          <w:tcPr>
            <w:tcW w:type="dxa" w:w="4320"/>
            <w:vAlign w:val="center"/>
          </w:tcPr>
          <w:p>
            <w:pPr>
              <w:spacing w:after="0"/>
            </w:pPr>
            <w:r/>
            <w:r>
              <w:rPr>
                <w:b w:val="0"/>
                <w:sz w:val="18"/>
              </w:rPr>
              <w:t>Out-of-network ACA marketplace health claims denied in 2024.</w:t>
            </w:r>
          </w:p>
        </w:tc>
        <w:tc>
          <w:tcPr>
            <w:tcW w:type="dxa" w:w="3744"/>
            <w:vAlign w:val="center"/>
          </w:tcPr>
          <w:p>
            <w:pPr>
              <w:spacing w:after="0"/>
            </w:pPr>
            <w:r/>
            <w:r>
              <w:rPr>
                <w:b w:val="0"/>
                <w:sz w:val="18"/>
              </w:rPr>
              <w:t>KFF, same source.</w:t>
            </w:r>
          </w:p>
        </w:tc>
      </w:tr>
      <w:tr>
        <w:tc>
          <w:tcPr>
            <w:tcW w:type="dxa" w:w="1440"/>
            <w:vAlign w:val="center"/>
          </w:tcPr>
          <w:p>
            <w:pPr>
              <w:spacing w:after="0"/>
            </w:pPr>
            <w:r/>
            <w:r>
              <w:rPr>
                <w:b/>
                <w:color w:val="2563EB"/>
                <w:sz w:val="18"/>
              </w:rPr>
              <w:t>34%</w:t>
            </w:r>
          </w:p>
        </w:tc>
        <w:tc>
          <w:tcPr>
            <w:tcW w:type="dxa" w:w="4320"/>
            <w:vAlign w:val="center"/>
          </w:tcPr>
          <w:p>
            <w:pPr>
              <w:spacing w:after="0"/>
            </w:pPr>
            <w:r/>
            <w:r>
              <w:rPr>
                <w:b w:val="0"/>
                <w:sz w:val="18"/>
              </w:rPr>
              <w:t>ACA marketplace denial appeals reversed by insurers in 2024.</w:t>
            </w:r>
          </w:p>
        </w:tc>
        <w:tc>
          <w:tcPr>
            <w:tcW w:type="dxa" w:w="3744"/>
            <w:vAlign w:val="center"/>
          </w:tcPr>
          <w:p>
            <w:pPr>
              <w:spacing w:after="0"/>
            </w:pPr>
            <w:r/>
            <w:r>
              <w:rPr>
                <w:b w:val="0"/>
                <w:sz w:val="18"/>
              </w:rPr>
              <w:t>KFF, same source.</w:t>
            </w:r>
          </w:p>
        </w:tc>
      </w:tr>
      <w:tr>
        <w:tc>
          <w:tcPr>
            <w:tcW w:type="dxa" w:w="1440"/>
            <w:vAlign w:val="center"/>
          </w:tcPr>
          <w:p>
            <w:pPr>
              <w:spacing w:after="0"/>
            </w:pPr>
            <w:r/>
            <w:r>
              <w:rPr>
                <w:b/>
                <w:color w:val="2563EB"/>
                <w:sz w:val="18"/>
              </w:rPr>
              <w:t>Less than 1%</w:t>
            </w:r>
          </w:p>
        </w:tc>
        <w:tc>
          <w:tcPr>
            <w:tcW w:type="dxa" w:w="4320"/>
            <w:vAlign w:val="center"/>
          </w:tcPr>
          <w:p>
            <w:pPr>
              <w:spacing w:after="0"/>
            </w:pPr>
            <w:r/>
            <w:r>
              <w:rPr>
                <w:b w:val="0"/>
                <w:sz w:val="18"/>
              </w:rPr>
              <w:t>Denied ACA marketplace claims that patients formally appealed in 2024.</w:t>
            </w:r>
          </w:p>
        </w:tc>
        <w:tc>
          <w:tcPr>
            <w:tcW w:type="dxa" w:w="3744"/>
            <w:vAlign w:val="center"/>
          </w:tcPr>
          <w:p>
            <w:pPr>
              <w:spacing w:after="0"/>
            </w:pPr>
            <w:r/>
            <w:r>
              <w:rPr>
                <w:b w:val="0"/>
                <w:sz w:val="18"/>
              </w:rPr>
              <w:t>KFF, same source.</w:t>
            </w:r>
          </w:p>
        </w:tc>
      </w:tr>
      <w:tr>
        <w:tc>
          <w:tcPr>
            <w:tcW w:type="dxa" w:w="1440"/>
            <w:vAlign w:val="center"/>
          </w:tcPr>
          <w:p>
            <w:pPr>
              <w:spacing w:after="0"/>
            </w:pPr>
            <w:r/>
            <w:r>
              <w:rPr>
                <w:b/>
                <w:color w:val="2563EB"/>
                <w:sz w:val="18"/>
              </w:rPr>
              <w:t>65.2%</w:t>
            </w:r>
          </w:p>
        </w:tc>
        <w:tc>
          <w:tcPr>
            <w:tcW w:type="dxa" w:w="4320"/>
            <w:vAlign w:val="center"/>
          </w:tcPr>
          <w:p>
            <w:pPr>
              <w:spacing w:after="0"/>
            </w:pPr>
            <w:r/>
            <w:r>
              <w:rPr>
                <w:b w:val="0"/>
                <w:sz w:val="18"/>
              </w:rPr>
              <w:t>Closed insurance complaints involving claim handling in 2024.</w:t>
            </w:r>
          </w:p>
        </w:tc>
        <w:tc>
          <w:tcPr>
            <w:tcW w:type="dxa" w:w="3744"/>
            <w:vAlign w:val="center"/>
          </w:tcPr>
          <w:p>
            <w:pPr>
              <w:spacing w:after="0"/>
            </w:pPr>
            <w:r/>
            <w:r>
              <w:rPr>
                <w:b w:val="0"/>
                <w:sz w:val="18"/>
              </w:rPr>
              <w:t>NAIC Consumer Information Source data, summarized by ValuePenguin.</w:t>
            </w:r>
          </w:p>
        </w:tc>
      </w:tr>
      <w:tr>
        <w:tc>
          <w:tcPr>
            <w:tcW w:type="dxa" w:w="1440"/>
            <w:vAlign w:val="center"/>
          </w:tcPr>
          <w:p>
            <w:pPr>
              <w:spacing w:after="0"/>
            </w:pPr>
            <w:r/>
            <w:r>
              <w:rPr>
                <w:b/>
                <w:color w:val="2563EB"/>
                <w:sz w:val="18"/>
              </w:rPr>
              <w:t>+31.6%</w:t>
            </w:r>
          </w:p>
        </w:tc>
        <w:tc>
          <w:tcPr>
            <w:tcW w:type="dxa" w:w="4320"/>
            <w:vAlign w:val="center"/>
          </w:tcPr>
          <w:p>
            <w:pPr>
              <w:spacing w:after="0"/>
            </w:pPr>
            <w:r/>
            <w:r>
              <w:rPr>
                <w:b w:val="0"/>
                <w:sz w:val="18"/>
              </w:rPr>
              <w:t>Auto insurance complaint growth from 2021 to 2024.</w:t>
            </w:r>
          </w:p>
        </w:tc>
        <w:tc>
          <w:tcPr>
            <w:tcW w:type="dxa" w:w="3744"/>
            <w:vAlign w:val="center"/>
          </w:tcPr>
          <w:p>
            <w:pPr>
              <w:spacing w:after="0"/>
            </w:pPr>
            <w:r/>
            <w:r>
              <w:rPr>
                <w:b w:val="0"/>
                <w:sz w:val="18"/>
              </w:rPr>
              <w:t>NAIC Consumer Information Source data, summarized by ValuePenguin.</w:t>
            </w:r>
          </w:p>
        </w:tc>
      </w:tr>
      <w:tr>
        <w:tc>
          <w:tcPr>
            <w:tcW w:type="dxa" w:w="1440"/>
            <w:vAlign w:val="center"/>
          </w:tcPr>
          <w:p>
            <w:pPr>
              <w:spacing w:after="0"/>
            </w:pPr>
            <w:r/>
            <w:r>
              <w:rPr>
                <w:b/>
                <w:color w:val="2563EB"/>
                <w:sz w:val="18"/>
              </w:rPr>
              <w:t>29,734</w:t>
            </w:r>
          </w:p>
        </w:tc>
        <w:tc>
          <w:tcPr>
            <w:tcW w:type="dxa" w:w="4320"/>
            <w:vAlign w:val="center"/>
          </w:tcPr>
          <w:p>
            <w:pPr>
              <w:spacing w:after="0"/>
            </w:pPr>
            <w:r/>
            <w:r>
              <w:rPr>
                <w:b w:val="0"/>
                <w:sz w:val="18"/>
              </w:rPr>
              <w:t>Auto insurance complaints in 2024.</w:t>
            </w:r>
          </w:p>
        </w:tc>
        <w:tc>
          <w:tcPr>
            <w:tcW w:type="dxa" w:w="3744"/>
            <w:vAlign w:val="center"/>
          </w:tcPr>
          <w:p>
            <w:pPr>
              <w:spacing w:after="0"/>
            </w:pPr>
            <w:r/>
            <w:r>
              <w:rPr>
                <w:b w:val="0"/>
                <w:sz w:val="18"/>
              </w:rPr>
              <w:t>NAIC Consumer Information Source data, summarized by ValuePenguin.</w:t>
            </w:r>
          </w:p>
        </w:tc>
      </w:tr>
    </w:tbl>
    <w:p/>
    <w:p>
      <w:pPr>
        <w:pStyle w:val="Heading2"/>
      </w:pPr>
      <w:r>
        <w:rPr>
          <w:color w:val="0B2545"/>
          <w:sz w:val="26"/>
        </w:rPr>
        <w:t>1.2 The Incentive Conflict</w:t>
      </w:r>
    </w:p>
    <w:p>
      <w:pPr>
        <w:spacing w:after="140" w:line="259" w:lineRule="auto"/>
      </w:pPr>
      <w:r>
        <w:t>Traditional claim handling is centralized inside the carrier or its vendors. That makes sense legally, but it creates a credibility problem: the same institution that funds the reserve often controls the first denial, the first appeal path, and the evidence record. Automation alone does not solve this. A faster denial is not a fairer denial.</w:t>
      </w:r>
    </w:p>
    <w:p>
      <w:pPr>
        <w:spacing w:after="140" w:line="259" w:lineRule="auto"/>
      </w:pPr>
      <w:r>
        <w:t>The product thesis is that the missing layer is not another AI adjuster. It is economic accountability around human and specialist review: outside verifiers must have something to lose when they ignore evidence, and something to gain when they correctly challenge consensus.</w:t>
      </w:r>
    </w:p>
    <w:p>
      <w:pPr>
        <w:pStyle w:val="Heading1"/>
      </w:pPr>
      <w:r>
        <w:rPr>
          <w:color w:val="0B2545"/>
          <w:sz w:val="36"/>
        </w:rPr>
        <w:t>2. What Veristake Is</w:t>
      </w:r>
    </w:p>
    <w:tbl>
      <w:tblPr>
        <w:tblW w:type="auto" w:w="0"/>
        <w:jc w:val="center"/>
        <w:tblLook w:firstColumn="1" w:firstRow="1" w:lastColumn="0" w:lastRow="0" w:noHBand="0" w:noVBand="1" w:val="04A0"/>
      </w:tblPr>
      <w:tblGrid>
        <w:gridCol w:w="4896"/>
        <w:gridCol w:w="4896"/>
      </w:tblGrid>
      <w:tr>
        <w:trPr>
          <w:tblHeader w:val="true"/>
        </w:trPr>
        <w:tc>
          <w:tcPr>
            <w:tcW w:type="dxa" w:w="2736"/>
            <w:vAlign w:val="center"/>
            <w:shd w:fill="F1F5F9"/>
          </w:tcPr>
          <w:p>
            <w:pPr>
              <w:spacing w:after="0"/>
            </w:pPr>
            <w:r/>
            <w:r>
              <w:rPr>
                <w:b/>
                <w:color w:val="0B2545"/>
                <w:sz w:val="18"/>
              </w:rPr>
              <w:t>Item</w:t>
            </w:r>
          </w:p>
        </w:tc>
        <w:tc>
          <w:tcPr>
            <w:tcW w:type="dxa" w:w="6768"/>
            <w:vAlign w:val="center"/>
            <w:shd w:fill="F1F5F9"/>
          </w:tcPr>
          <w:p>
            <w:pPr>
              <w:spacing w:after="0"/>
            </w:pPr>
            <w:r/>
            <w:r>
              <w:rPr>
                <w:b/>
                <w:color w:val="0B2545"/>
                <w:sz w:val="18"/>
              </w:rPr>
              <w:t>Current product position</w:t>
            </w:r>
          </w:p>
        </w:tc>
      </w:tr>
      <w:tr>
        <w:tc>
          <w:tcPr>
            <w:tcW w:type="dxa" w:w="2736"/>
            <w:vAlign w:val="center"/>
          </w:tcPr>
          <w:p>
            <w:pPr>
              <w:spacing w:after="0"/>
            </w:pPr>
            <w:r/>
            <w:r>
              <w:rPr>
                <w:b/>
                <w:color w:val="0B2545"/>
                <w:sz w:val="18"/>
              </w:rPr>
              <w:t>Category</w:t>
            </w:r>
          </w:p>
        </w:tc>
        <w:tc>
          <w:tcPr>
            <w:tcW w:type="dxa" w:w="6768"/>
            <w:vAlign w:val="center"/>
          </w:tcPr>
          <w:p>
            <w:pPr>
              <w:spacing w:after="0"/>
            </w:pPr>
            <w:r/>
            <w:r>
              <w:rPr>
                <w:b w:val="0"/>
                <w:sz w:val="18"/>
              </w:rPr>
              <w:t>Verification protocol layer for licensed insurance carriers.</w:t>
            </w:r>
          </w:p>
        </w:tc>
      </w:tr>
      <w:tr>
        <w:tc>
          <w:tcPr>
            <w:tcW w:type="dxa" w:w="2736"/>
            <w:vAlign w:val="center"/>
          </w:tcPr>
          <w:p>
            <w:pPr>
              <w:spacing w:after="0"/>
            </w:pPr>
            <w:r/>
            <w:r>
              <w:rPr>
                <w:b/>
                <w:color w:val="0B2545"/>
                <w:sz w:val="18"/>
              </w:rPr>
              <w:t>Launch domains</w:t>
            </w:r>
          </w:p>
        </w:tc>
        <w:tc>
          <w:tcPr>
            <w:tcW w:type="dxa" w:w="6768"/>
            <w:vAlign w:val="center"/>
          </w:tcPr>
          <w:p>
            <w:pPr>
              <w:spacing w:after="0"/>
            </w:pPr>
            <w:r/>
            <w:r>
              <w:rPr>
                <w:b w:val="0"/>
                <w:sz w:val="18"/>
              </w:rPr>
              <w:t>Health and auto only. Property, cyber, and other markets are intentionally out of scope for this phase.</w:t>
            </w:r>
          </w:p>
        </w:tc>
      </w:tr>
      <w:tr>
        <w:tc>
          <w:tcPr>
            <w:tcW w:type="dxa" w:w="2736"/>
            <w:vAlign w:val="center"/>
          </w:tcPr>
          <w:p>
            <w:pPr>
              <w:spacing w:after="0"/>
            </w:pPr>
            <w:r/>
            <w:r>
              <w:rPr>
                <w:b/>
                <w:color w:val="0B2545"/>
                <w:sz w:val="18"/>
              </w:rPr>
              <w:t>Buyer</w:t>
            </w:r>
          </w:p>
        </w:tc>
        <w:tc>
          <w:tcPr>
            <w:tcW w:type="dxa" w:w="6768"/>
            <w:vAlign w:val="center"/>
          </w:tcPr>
          <w:p>
            <w:pPr>
              <w:spacing w:after="0"/>
            </w:pPr>
            <w:r/>
            <w:r>
              <w:rPr>
                <w:b w:val="0"/>
                <w:sz w:val="18"/>
              </w:rPr>
              <w:t>US health carriers, US auto carriers, brokers, reinsurers, and insurtech product leads.</w:t>
            </w:r>
          </w:p>
        </w:tc>
      </w:tr>
      <w:tr>
        <w:tc>
          <w:tcPr>
            <w:tcW w:type="dxa" w:w="2736"/>
            <w:vAlign w:val="center"/>
          </w:tcPr>
          <w:p>
            <w:pPr>
              <w:spacing w:after="0"/>
            </w:pPr>
            <w:r/>
            <w:r>
              <w:rPr>
                <w:b/>
                <w:color w:val="0B2545"/>
                <w:sz w:val="18"/>
              </w:rPr>
              <w:t>Visitor promise</w:t>
            </w:r>
          </w:p>
        </w:tc>
        <w:tc>
          <w:tcPr>
            <w:tcW w:type="dxa" w:w="6768"/>
            <w:vAlign w:val="center"/>
          </w:tcPr>
          <w:p>
            <w:pPr>
              <w:spacing w:after="0"/>
            </w:pPr>
            <w:r/>
            <w:r>
              <w:rPr>
                <w:b w:val="0"/>
                <w:sz w:val="18"/>
              </w:rPr>
              <w:t>Arrive, understand, try a no-wallet demo, watch a claim resolve, and leave with an outcome that can be shown internally.</w:t>
            </w:r>
          </w:p>
        </w:tc>
      </w:tr>
      <w:tr>
        <w:tc>
          <w:tcPr>
            <w:tcW w:type="dxa" w:w="2736"/>
            <w:vAlign w:val="center"/>
          </w:tcPr>
          <w:p>
            <w:pPr>
              <w:spacing w:after="0"/>
            </w:pPr>
            <w:r/>
            <w:r>
              <w:rPr>
                <w:b/>
                <w:color w:val="0B2545"/>
                <w:sz w:val="18"/>
              </w:rPr>
              <w:t>Legal posture</w:t>
            </w:r>
          </w:p>
        </w:tc>
        <w:tc>
          <w:tcPr>
            <w:tcW w:type="dxa" w:w="6768"/>
            <w:vAlign w:val="center"/>
          </w:tcPr>
          <w:p>
            <w:pPr>
              <w:spacing w:after="0"/>
            </w:pPr>
            <w:r/>
            <w:r>
              <w:rPr>
                <w:b w:val="0"/>
                <w:sz w:val="18"/>
              </w:rPr>
              <w:t>Software infrastructure. Not an insurance carrier; does not underwrite, sell, or adjudicate policies independently.</w:t>
            </w:r>
          </w:p>
        </w:tc>
      </w:tr>
    </w:tbl>
    <w:p/>
    <w:p>
      <w:pPr>
        <w:pStyle w:val="Heading2"/>
      </w:pPr>
      <w:r>
        <w:rPr>
          <w:color w:val="0B2545"/>
          <w:sz w:val="26"/>
        </w:rPr>
        <w:t>2.1 Carrier-Friendly by Design</w:t>
      </w:r>
    </w:p>
    <w:p>
      <w:pPr>
        <w:spacing w:after="60" w:line="252" w:lineRule="auto"/>
        <w:ind w:left="346" w:hanging="202"/>
      </w:pPr>
      <w:r>
        <w:rPr>
          <w:color w:val="2563EB"/>
        </w:rPr>
        <w:t xml:space="preserve">• </w:t>
      </w:r>
      <w:r>
        <w:t>The carrier keeps underwriting authority, pricing, policy language, compliance obligations, and customer relationship.</w:t>
      </w:r>
    </w:p>
    <w:p>
      <w:pPr>
        <w:spacing w:after="60" w:line="252" w:lineRule="auto"/>
        <w:ind w:left="346" w:hanging="202"/>
      </w:pPr>
      <w:r>
        <w:rPr>
          <w:color w:val="2563EB"/>
        </w:rPr>
        <w:t xml:space="preserve">• </w:t>
      </w:r>
      <w:r>
        <w:t>Payouts come from carrier-funded reserves, not from Veristake balance-sheet risk.</w:t>
      </w:r>
    </w:p>
    <w:p>
      <w:pPr>
        <w:spacing w:after="60" w:line="252" w:lineRule="auto"/>
        <w:ind w:left="346" w:hanging="202"/>
      </w:pPr>
      <w:r>
        <w:rPr>
          <w:color w:val="2563EB"/>
        </w:rPr>
        <w:t xml:space="preserve">• </w:t>
      </w:r>
      <w:r>
        <w:t>Verifier pools can be limited by domain, credentials, geography, or policy program.</w:t>
      </w:r>
    </w:p>
    <w:p>
      <w:pPr>
        <w:spacing w:after="60" w:line="252" w:lineRule="auto"/>
        <w:ind w:left="346" w:hanging="202"/>
      </w:pPr>
      <w:r>
        <w:rPr>
          <w:color w:val="2563EB"/>
        </w:rPr>
        <w:t xml:space="preserve">• </w:t>
      </w:r>
      <w:r>
        <w:t>The audit trail can support internal quality review, regulator response, reinsurer reporting, and broker transparency.</w:t>
      </w:r>
    </w:p>
    <w:p>
      <w:pPr>
        <w:pStyle w:val="Heading1"/>
      </w:pPr>
      <w:r>
        <w:rPr>
          <w:color w:val="0B2545"/>
          <w:sz w:val="36"/>
        </w:rPr>
        <w:t>3. Product Status</w:t>
      </w:r>
    </w:p>
    <w:tbl>
      <w:tblPr>
        <w:tblW w:type="auto" w:w="0"/>
        <w:jc w:val="center"/>
        <w:tblLook w:firstColumn="1" w:firstRow="1" w:lastColumn="0" w:lastRow="0" w:noHBand="0" w:noVBand="1" w:val="04A0"/>
      </w:tblPr>
      <w:tblGrid>
        <w:gridCol w:w="4896"/>
        <w:gridCol w:w="4896"/>
      </w:tblGrid>
      <w:tr>
        <w:trPr>
          <w:tblHeader w:val="true"/>
        </w:trPr>
        <w:tc>
          <w:tcPr>
            <w:tcW w:type="dxa" w:w="2736"/>
            <w:vAlign w:val="center"/>
            <w:shd w:fill="F1F5F9"/>
          </w:tcPr>
          <w:p>
            <w:pPr>
              <w:spacing w:after="0"/>
            </w:pPr>
            <w:r/>
            <w:r>
              <w:rPr>
                <w:b/>
                <w:color w:val="0B2545"/>
                <w:sz w:val="18"/>
              </w:rPr>
              <w:t>Item</w:t>
            </w:r>
          </w:p>
        </w:tc>
        <w:tc>
          <w:tcPr>
            <w:tcW w:type="dxa" w:w="6768"/>
            <w:vAlign w:val="center"/>
            <w:shd w:fill="F1F5F9"/>
          </w:tcPr>
          <w:p>
            <w:pPr>
              <w:spacing w:after="0"/>
            </w:pPr>
            <w:r/>
            <w:r>
              <w:rPr>
                <w:b/>
                <w:color w:val="0B2545"/>
                <w:sz w:val="18"/>
              </w:rPr>
              <w:t>Current product position</w:t>
            </w:r>
          </w:p>
        </w:tc>
      </w:tr>
      <w:tr>
        <w:tc>
          <w:tcPr>
            <w:tcW w:type="dxa" w:w="2736"/>
            <w:vAlign w:val="center"/>
          </w:tcPr>
          <w:p>
            <w:pPr>
              <w:spacing w:after="0"/>
            </w:pPr>
            <w:r/>
            <w:r>
              <w:rPr>
                <w:b/>
                <w:color w:val="0B2545"/>
                <w:sz w:val="18"/>
              </w:rPr>
              <w:t>Live site</w:t>
            </w:r>
          </w:p>
        </w:tc>
        <w:tc>
          <w:tcPr>
            <w:tcW w:type="dxa" w:w="6768"/>
            <w:vAlign w:val="center"/>
          </w:tcPr>
          <w:p>
            <w:pPr>
              <w:spacing w:after="0"/>
            </w:pPr>
            <w:r/>
            <w:r>
              <w:rPr>
                <w:b w:val="0"/>
                <w:sz w:val="18"/>
              </w:rPr>
              <w:t>https://veristake-demo.vercel.app</w:t>
            </w:r>
          </w:p>
        </w:tc>
      </w:tr>
      <w:tr>
        <w:tc>
          <w:tcPr>
            <w:tcW w:type="dxa" w:w="2736"/>
            <w:vAlign w:val="center"/>
          </w:tcPr>
          <w:p>
            <w:pPr>
              <w:spacing w:after="0"/>
            </w:pPr>
            <w:r/>
            <w:r>
              <w:rPr>
                <w:b/>
                <w:color w:val="0B2545"/>
                <w:sz w:val="18"/>
              </w:rPr>
              <w:t>Public dashboard</w:t>
            </w:r>
          </w:p>
        </w:tc>
        <w:tc>
          <w:tcPr>
            <w:tcW w:type="dxa" w:w="6768"/>
            <w:vAlign w:val="center"/>
          </w:tcPr>
          <w:p>
            <w:pPr>
              <w:spacing w:after="0"/>
            </w:pPr>
            <w:r/>
            <w:r>
              <w:rPr>
                <w:b w:val="0"/>
                <w:sz w:val="18"/>
              </w:rPr>
              <w:t>Reads production-grade Base Sepolia contract data from deployment block 41,708,833.</w:t>
            </w:r>
          </w:p>
        </w:tc>
      </w:tr>
      <w:tr>
        <w:tc>
          <w:tcPr>
            <w:tcW w:type="dxa" w:w="2736"/>
            <w:vAlign w:val="center"/>
          </w:tcPr>
          <w:p>
            <w:pPr>
              <w:spacing w:after="0"/>
            </w:pPr>
            <w:r/>
            <w:r>
              <w:rPr>
                <w:b/>
                <w:color w:val="0B2545"/>
                <w:sz w:val="18"/>
              </w:rPr>
              <w:t>Seeded dashboard state</w:t>
            </w:r>
          </w:p>
        </w:tc>
        <w:tc>
          <w:tcPr>
            <w:tcW w:type="dxa" w:w="6768"/>
            <w:vAlign w:val="center"/>
          </w:tcPr>
          <w:p>
            <w:pPr>
              <w:spacing w:after="0"/>
            </w:pPr>
            <w:r/>
            <w:r>
              <w:rPr>
                <w:b w:val="0"/>
                <w:sz w:val="18"/>
              </w:rPr>
              <w:t>5 claims, 2 carrier registrations, 1 slashing event, and 1,950 VST staked as demonstration data.</w:t>
            </w:r>
          </w:p>
        </w:tc>
      </w:tr>
      <w:tr>
        <w:tc>
          <w:tcPr>
            <w:tcW w:type="dxa" w:w="2736"/>
            <w:vAlign w:val="center"/>
          </w:tcPr>
          <w:p>
            <w:pPr>
              <w:spacing w:after="0"/>
            </w:pPr>
            <w:r/>
            <w:r>
              <w:rPr>
                <w:b/>
                <w:color w:val="0B2545"/>
                <w:sz w:val="18"/>
              </w:rPr>
              <w:t>Hero proof asset</w:t>
            </w:r>
          </w:p>
        </w:tc>
        <w:tc>
          <w:tcPr>
            <w:tcW w:type="dxa" w:w="6768"/>
            <w:vAlign w:val="center"/>
          </w:tcPr>
          <w:p>
            <w:pPr>
              <w:spacing w:after="0"/>
            </w:pPr>
            <w:r/>
            <w:r>
              <w:rPr>
                <w:b w:val="0"/>
                <w:sz w:val="18"/>
              </w:rPr>
              <w:t>Narrated 90-second walkthrough video with poster art and captions.</w:t>
            </w:r>
          </w:p>
        </w:tc>
      </w:tr>
      <w:tr>
        <w:tc>
          <w:tcPr>
            <w:tcW w:type="dxa" w:w="2736"/>
            <w:vAlign w:val="center"/>
          </w:tcPr>
          <w:p>
            <w:pPr>
              <w:spacing w:after="0"/>
            </w:pPr>
            <w:r/>
            <w:r>
              <w:rPr>
                <w:b/>
                <w:color w:val="0B2545"/>
                <w:sz w:val="18"/>
              </w:rPr>
              <w:t>Operational endpoints</w:t>
            </w:r>
          </w:p>
        </w:tc>
        <w:tc>
          <w:tcPr>
            <w:tcW w:type="dxa" w:w="6768"/>
            <w:vAlign w:val="center"/>
          </w:tcPr>
          <w:p>
            <w:pPr>
              <w:spacing w:after="0"/>
            </w:pPr>
            <w:r/>
            <w:r>
              <w:rPr>
                <w:b w:val="0"/>
                <w:sz w:val="18"/>
              </w:rPr>
              <w:t>Health endpoint, sitemap, robots, OG metadata, legal placeholder, analytics hooks, and error-tracking hooks are implemented.</w:t>
            </w:r>
          </w:p>
        </w:tc>
      </w:tr>
    </w:tbl>
    <w:p/>
    <w:tbl>
      <w:tblPr>
        <w:tblW w:type="auto" w:w="0"/>
        <w:jc w:val="center"/>
        <w:tblLook w:firstColumn="1" w:firstRow="1" w:lastColumn="0" w:lastRow="0" w:noHBand="0" w:noVBand="1" w:val="04A0"/>
      </w:tblPr>
      <w:tblGrid>
        <w:gridCol w:w="9792"/>
      </w:tblGrid>
      <w:tr>
        <w:trPr>
          <w:tblHeader w:val="true"/>
        </w:trPr>
        <w:tc>
          <w:tcPr>
            <w:tcW w:type="dxa" w:w="9792"/>
            <w:shd w:fill="FFF7ED"/>
          </w:tcPr>
          <w:p>
            <w:pPr>
              <w:spacing w:after="60"/>
            </w:pPr>
            <w:r>
              <w:rPr>
                <w:b/>
                <w:color w:val="0B2545"/>
                <w:sz w:val="21"/>
              </w:rPr>
              <w:t>Important limitation</w:t>
            </w:r>
          </w:p>
          <w:p>
            <w:pPr>
              <w:spacing w:after="40"/>
            </w:pPr>
            <w:r>
              <w:t>The live dashboard is real Base Sepolia testnet data. The full embedded-wallet demo requires founder-provided Tenderly, Privy, faucet, and session-store secrets before it becomes fully transactional in production.</w:t>
            </w:r>
          </w:p>
        </w:tc>
      </w:tr>
    </w:tbl>
    <w:p/>
    <w:p>
      <w:pPr>
        <w:pStyle w:val="Heading1"/>
      </w:pPr>
      <w:r>
        <w:rPr>
          <w:color w:val="0B2545"/>
          <w:sz w:val="36"/>
        </w:rPr>
        <w:t>4. Protocol Architecture</w:t>
      </w:r>
    </w:p>
    <w:p>
      <w:pPr>
        <w:pStyle w:val="Heading2"/>
      </w:pPr>
      <w:r>
        <w:rPr>
          <w:color w:val="0B2545"/>
          <w:sz w:val="26"/>
        </w:rPr>
        <w:t>4.1 End-to-End Claim Flow</w:t>
      </w:r>
    </w:p>
    <w:p>
      <w:pPr>
        <w:spacing w:after="60" w:line="252" w:lineRule="auto"/>
        <w:ind w:left="346" w:hanging="202"/>
      </w:pPr>
      <w:r>
        <w:rPr>
          <w:color w:val="2563EB"/>
        </w:rPr>
        <w:t xml:space="preserve">• </w:t>
      </w:r>
      <w:r>
        <w:t>Carrier registers itself and a policy through CarrierGateway.</w:t>
      </w:r>
    </w:p>
    <w:p>
      <w:pPr>
        <w:spacing w:after="60" w:line="252" w:lineRule="auto"/>
        <w:ind w:left="346" w:hanging="202"/>
      </w:pPr>
      <w:r>
        <w:rPr>
          <w:color w:val="2563EB"/>
        </w:rPr>
        <w:t xml:space="preserve">• </w:t>
      </w:r>
      <w:r>
        <w:t>Carrier funds a payout reserve for that policy.</w:t>
      </w:r>
    </w:p>
    <w:p>
      <w:pPr>
        <w:spacing w:after="60" w:line="252" w:lineRule="auto"/>
        <w:ind w:left="346" w:hanging="202"/>
      </w:pPr>
      <w:r>
        <w:rPr>
          <w:color w:val="2563EB"/>
        </w:rPr>
        <w:t xml:space="preserve">• </w:t>
      </w:r>
      <w:r>
        <w:t>Claimant submits structured metadata to ClaimRegistry.</w:t>
      </w:r>
    </w:p>
    <w:p>
      <w:pPr>
        <w:spacing w:after="60" w:line="252" w:lineRule="auto"/>
        <w:ind w:left="346" w:hanging="202"/>
      </w:pPr>
      <w:r>
        <w:rPr>
          <w:color w:val="2563EB"/>
        </w:rPr>
        <w:t xml:space="preserve">• </w:t>
      </w:r>
      <w:r>
        <w:t>Eligible verifiers stake VST and enter the domain pool.</w:t>
      </w:r>
    </w:p>
    <w:p>
      <w:pPr>
        <w:spacing w:after="60" w:line="252" w:lineRule="auto"/>
        <w:ind w:left="346" w:hanging="202"/>
      </w:pPr>
      <w:r>
        <w:rPr>
          <w:color w:val="2563EB"/>
        </w:rPr>
        <w:t xml:space="preserve">• </w:t>
      </w:r>
      <w:r>
        <w:t>Voting runs through commit, reveal, resolution, optional appeal, and finalization.</w:t>
      </w:r>
    </w:p>
    <w:p>
      <w:pPr>
        <w:spacing w:after="60" w:line="252" w:lineRule="auto"/>
        <w:ind w:left="346" w:hanging="202"/>
      </w:pPr>
      <w:r>
        <w:rPr>
          <w:color w:val="2563EB"/>
        </w:rPr>
        <w:t xml:space="preserve">• </w:t>
      </w:r>
      <w:r>
        <w:t>CarrierGateway releases approved or partial payouts from the carrier reserve.</w:t>
      </w:r>
    </w:p>
    <w:p>
      <w:pPr>
        <w:spacing w:after="60" w:line="252" w:lineRule="auto"/>
        <w:ind w:left="346" w:hanging="202"/>
      </w:pPr>
      <w:r>
        <w:rPr>
          <w:color w:val="2563EB"/>
        </w:rPr>
        <w:t xml:space="preserve">• </w:t>
      </w:r>
      <w:r>
        <w:t>Reputation and slashing contracts update verifier accuracy and penalties.</w:t>
      </w:r>
    </w:p>
    <w:p>
      <w:pPr>
        <w:pStyle w:val="Heading2"/>
      </w:pPr>
      <w:r>
        <w:rPr>
          <w:color w:val="0B2545"/>
          <w:sz w:val="26"/>
        </w:rPr>
        <w:t>4.2 Contract Modules</w:t>
      </w:r>
    </w:p>
    <w:tbl>
      <w:tblPr>
        <w:tblW w:type="auto" w:w="0"/>
        <w:jc w:val="center"/>
        <w:tblLook w:firstColumn="1" w:firstRow="1" w:lastColumn="0" w:lastRow="0" w:noHBand="0" w:noVBand="1" w:val="04A0"/>
      </w:tblPr>
      <w:tblGrid>
        <w:gridCol w:w="4896"/>
        <w:gridCol w:w="4896"/>
      </w:tblGrid>
      <w:tr>
        <w:trPr>
          <w:tblHeader w:val="true"/>
        </w:trPr>
        <w:tc>
          <w:tcPr>
            <w:tcW w:type="dxa" w:w="2448"/>
            <w:vAlign w:val="center"/>
            <w:shd w:fill="EAF7EF"/>
          </w:tcPr>
          <w:p>
            <w:pPr>
              <w:spacing w:after="0"/>
            </w:pPr>
            <w:r/>
            <w:r>
              <w:rPr>
                <w:b/>
                <w:color w:val="0B2545"/>
                <w:sz w:val="18"/>
              </w:rPr>
              <w:t>Module</w:t>
            </w:r>
          </w:p>
        </w:tc>
        <w:tc>
          <w:tcPr>
            <w:tcW w:type="dxa" w:w="7056"/>
            <w:vAlign w:val="center"/>
            <w:shd w:fill="EAF7EF"/>
          </w:tcPr>
          <w:p>
            <w:pPr>
              <w:spacing w:after="0"/>
            </w:pPr>
            <w:r/>
            <w:r>
              <w:rPr>
                <w:b/>
                <w:color w:val="0B2545"/>
                <w:sz w:val="18"/>
              </w:rPr>
              <w:t>Role</w:t>
            </w:r>
          </w:p>
        </w:tc>
      </w:tr>
      <w:tr>
        <w:tc>
          <w:tcPr>
            <w:tcW w:type="dxa" w:w="2448"/>
            <w:vAlign w:val="center"/>
          </w:tcPr>
          <w:p>
            <w:pPr>
              <w:spacing w:after="0"/>
            </w:pPr>
            <w:r/>
            <w:r>
              <w:rPr>
                <w:b/>
                <w:color w:val="166534"/>
                <w:sz w:val="18"/>
              </w:rPr>
              <w:t>ClaimRegistry</w:t>
            </w:r>
          </w:p>
        </w:tc>
        <w:tc>
          <w:tcPr>
            <w:tcW w:type="dxa" w:w="7056"/>
            <w:vAlign w:val="center"/>
          </w:tcPr>
          <w:p>
            <w:pPr>
              <w:spacing w:after="0"/>
            </w:pPr>
            <w:r/>
            <w:r>
              <w:rPr>
                <w:b w:val="0"/>
                <w:sz w:val="18"/>
              </w:rPr>
              <w:t>Registers claim metadata, domain, requested amount, policy link, and lifecycle state.</w:t>
            </w:r>
          </w:p>
        </w:tc>
      </w:tr>
      <w:tr>
        <w:tc>
          <w:tcPr>
            <w:tcW w:type="dxa" w:w="2448"/>
            <w:vAlign w:val="center"/>
          </w:tcPr>
          <w:p>
            <w:pPr>
              <w:spacing w:after="0"/>
            </w:pPr>
            <w:r/>
            <w:r>
              <w:rPr>
                <w:b/>
                <w:color w:val="166534"/>
                <w:sz w:val="18"/>
              </w:rPr>
              <w:t>Voting</w:t>
            </w:r>
          </w:p>
        </w:tc>
        <w:tc>
          <w:tcPr>
            <w:tcW w:type="dxa" w:w="7056"/>
            <w:vAlign w:val="center"/>
          </w:tcPr>
          <w:p>
            <w:pPr>
              <w:spacing w:after="0"/>
            </w:pPr>
            <w:r/>
            <w:r>
              <w:rPr>
                <w:b w:val="0"/>
                <w:sz w:val="18"/>
              </w:rPr>
              <w:t>Runs commit/reveal voting, challenge windows, outcomes, and production/demo parameter windows.</w:t>
            </w:r>
          </w:p>
        </w:tc>
      </w:tr>
      <w:tr>
        <w:tc>
          <w:tcPr>
            <w:tcW w:type="dxa" w:w="2448"/>
            <w:vAlign w:val="center"/>
          </w:tcPr>
          <w:p>
            <w:pPr>
              <w:spacing w:after="0"/>
            </w:pPr>
            <w:r/>
            <w:r>
              <w:rPr>
                <w:b/>
                <w:color w:val="166534"/>
                <w:sz w:val="18"/>
              </w:rPr>
              <w:t>VerifierStaking</w:t>
            </w:r>
          </w:p>
        </w:tc>
        <w:tc>
          <w:tcPr>
            <w:tcW w:type="dxa" w:w="7056"/>
            <w:vAlign w:val="center"/>
          </w:tcPr>
          <w:p>
            <w:pPr>
              <w:spacing w:after="0"/>
            </w:pPr>
            <w:r/>
            <w:r>
              <w:rPr>
                <w:b w:val="0"/>
                <w:sz w:val="18"/>
              </w:rPr>
              <w:t>Manages VST stake, domain pool registration, and verifier participation.</w:t>
            </w:r>
          </w:p>
        </w:tc>
      </w:tr>
      <w:tr>
        <w:tc>
          <w:tcPr>
            <w:tcW w:type="dxa" w:w="2448"/>
            <w:vAlign w:val="center"/>
          </w:tcPr>
          <w:p>
            <w:pPr>
              <w:spacing w:after="0"/>
            </w:pPr>
            <w:r/>
            <w:r>
              <w:rPr>
                <w:b/>
                <w:color w:val="166534"/>
                <w:sz w:val="18"/>
              </w:rPr>
              <w:t>SoulboundReputation</w:t>
            </w:r>
          </w:p>
        </w:tc>
        <w:tc>
          <w:tcPr>
            <w:tcW w:type="dxa" w:w="7056"/>
            <w:vAlign w:val="center"/>
          </w:tcPr>
          <w:p>
            <w:pPr>
              <w:spacing w:after="0"/>
            </w:pPr>
            <w:r/>
            <w:r>
              <w:rPr>
                <w:b w:val="0"/>
                <w:sz w:val="18"/>
              </w:rPr>
              <w:t>Tracks historical verifier accuracy and supports accuracy-weighted trust.</w:t>
            </w:r>
          </w:p>
        </w:tc>
      </w:tr>
      <w:tr>
        <w:tc>
          <w:tcPr>
            <w:tcW w:type="dxa" w:w="2448"/>
            <w:vAlign w:val="center"/>
          </w:tcPr>
          <w:p>
            <w:pPr>
              <w:spacing w:after="0"/>
            </w:pPr>
            <w:r/>
            <w:r>
              <w:rPr>
                <w:b/>
                <w:color w:val="166534"/>
                <w:sz w:val="18"/>
              </w:rPr>
              <w:t>CarrierGateway</w:t>
            </w:r>
          </w:p>
        </w:tc>
        <w:tc>
          <w:tcPr>
            <w:tcW w:type="dxa" w:w="7056"/>
            <w:vAlign w:val="center"/>
          </w:tcPr>
          <w:p>
            <w:pPr>
              <w:spacing w:after="0"/>
            </w:pPr>
            <w:r/>
            <w:r>
              <w:rPr>
                <w:b w:val="0"/>
                <w:sz w:val="18"/>
              </w:rPr>
              <w:t>Registers carriers and policies, funds carrier payout reserves, and releases approved payouts.</w:t>
            </w:r>
          </w:p>
        </w:tc>
      </w:tr>
      <w:tr>
        <w:tc>
          <w:tcPr>
            <w:tcW w:type="dxa" w:w="2448"/>
            <w:vAlign w:val="center"/>
          </w:tcPr>
          <w:p>
            <w:pPr>
              <w:spacing w:after="0"/>
            </w:pPr>
            <w:r/>
            <w:r>
              <w:rPr>
                <w:b/>
                <w:color w:val="166534"/>
                <w:sz w:val="18"/>
              </w:rPr>
              <w:t>Slashing</w:t>
            </w:r>
          </w:p>
        </w:tc>
        <w:tc>
          <w:tcPr>
            <w:tcW w:type="dxa" w:w="7056"/>
            <w:vAlign w:val="center"/>
          </w:tcPr>
          <w:p>
            <w:pPr>
              <w:spacing w:after="0"/>
            </w:pPr>
            <w:r/>
            <w:r>
              <w:rPr>
                <w:b w:val="0"/>
                <w:sz w:val="18"/>
              </w:rPr>
              <w:t>Applies disagreement tolerance, supermajority thresholds, and bond redistribution.</w:t>
            </w:r>
          </w:p>
        </w:tc>
      </w:tr>
      <w:tr>
        <w:tc>
          <w:tcPr>
            <w:tcW w:type="dxa" w:w="2448"/>
            <w:vAlign w:val="center"/>
          </w:tcPr>
          <w:p>
            <w:pPr>
              <w:spacing w:after="0"/>
            </w:pPr>
            <w:r/>
            <w:r>
              <w:rPr>
                <w:b/>
                <w:color w:val="166534"/>
                <w:sz w:val="18"/>
              </w:rPr>
              <w:t>ArbiterEscalation</w:t>
            </w:r>
          </w:p>
        </w:tc>
        <w:tc>
          <w:tcPr>
            <w:tcW w:type="dxa" w:w="7056"/>
            <w:vAlign w:val="center"/>
          </w:tcPr>
          <w:p>
            <w:pPr>
              <w:spacing w:after="0"/>
            </w:pPr>
            <w:r/>
            <w:r>
              <w:rPr>
                <w:b w:val="0"/>
                <w:sz w:val="18"/>
              </w:rPr>
              <w:t>Supports appealed or ambiguous decisions through a second adjudication layer.</w:t>
            </w:r>
          </w:p>
        </w:tc>
      </w:tr>
      <w:tr>
        <w:tc>
          <w:tcPr>
            <w:tcW w:type="dxa" w:w="2448"/>
            <w:vAlign w:val="center"/>
          </w:tcPr>
          <w:p>
            <w:pPr>
              <w:spacing w:after="0"/>
            </w:pPr>
            <w:r/>
            <w:r>
              <w:rPr>
                <w:b/>
                <w:color w:val="166534"/>
                <w:sz w:val="18"/>
              </w:rPr>
              <w:t>VST</w:t>
            </w:r>
          </w:p>
        </w:tc>
        <w:tc>
          <w:tcPr>
            <w:tcW w:type="dxa" w:w="7056"/>
            <w:vAlign w:val="center"/>
          </w:tcPr>
          <w:p>
            <w:pPr>
              <w:spacing w:after="0"/>
            </w:pPr>
            <w:r/>
            <w:r>
              <w:rPr>
                <w:b w:val="0"/>
                <w:sz w:val="18"/>
              </w:rPr>
              <w:t>Verifier Staking Token used for demo/protocol staking and slashing-accountability mechanics.</w:t>
            </w:r>
          </w:p>
        </w:tc>
      </w:tr>
      <w:tr>
        <w:tc>
          <w:tcPr>
            <w:tcW w:type="dxa" w:w="2448"/>
            <w:vAlign w:val="center"/>
          </w:tcPr>
          <w:p>
            <w:pPr>
              <w:spacing w:after="0"/>
            </w:pPr>
            <w:r/>
            <w:r>
              <w:rPr>
                <w:b/>
                <w:color w:val="166534"/>
                <w:sz w:val="18"/>
              </w:rPr>
              <w:t>TimelockController</w:t>
            </w:r>
          </w:p>
        </w:tc>
        <w:tc>
          <w:tcPr>
            <w:tcW w:type="dxa" w:w="7056"/>
            <w:vAlign w:val="center"/>
          </w:tcPr>
          <w:p>
            <w:pPr>
              <w:spacing w:after="0"/>
            </w:pPr>
            <w:r/>
            <w:r>
              <w:rPr>
                <w:b w:val="0"/>
                <w:sz w:val="18"/>
              </w:rPr>
              <w:t>Owns production administration after setup so protocol changes are delayed and auditable.</w:t>
            </w:r>
          </w:p>
        </w:tc>
      </w:tr>
    </w:tbl>
    <w:p/>
    <w:p>
      <w:pPr>
        <w:pStyle w:val="Heading2"/>
      </w:pPr>
      <w:r>
        <w:rPr>
          <w:color w:val="0B2545"/>
          <w:sz w:val="26"/>
        </w:rPr>
        <w:t>4.3 Dual Deployment Model</w:t>
      </w:r>
    </w:p>
    <w:p>
      <w:pPr>
        <w:spacing w:after="140" w:line="259" w:lineRule="auto"/>
      </w:pPr>
      <w:r>
        <w:t>Veristake separates proof and speed. The public dashboard reads a production-grade Base Sepolia deployment with default long windows. The guided demo writes to a Tenderly Base Sepolia virtual testnet where timing can be compressed for sales demos.</w:t>
      </w:r>
    </w:p>
    <w:tbl>
      <w:tblPr>
        <w:tblW w:type="auto" w:w="0"/>
        <w:jc w:val="center"/>
        <w:tblLook w:firstColumn="1" w:firstRow="1" w:lastColumn="0" w:lastRow="0" w:noHBand="0" w:noVBand="1" w:val="04A0"/>
      </w:tblPr>
      <w:tblGrid>
        <w:gridCol w:w="4896"/>
        <w:gridCol w:w="4896"/>
      </w:tblGrid>
      <w:tr>
        <w:trPr>
          <w:tblHeader w:val="true"/>
        </w:trPr>
        <w:tc>
          <w:tcPr>
            <w:tcW w:type="dxa" w:w="2736"/>
            <w:vAlign w:val="center"/>
            <w:shd w:fill="EAF2FF"/>
          </w:tcPr>
          <w:p>
            <w:pPr>
              <w:spacing w:after="0"/>
            </w:pPr>
            <w:r/>
            <w:r>
              <w:rPr>
                <w:b/>
                <w:color w:val="0B2545"/>
                <w:sz w:val="18"/>
              </w:rPr>
              <w:t>Item</w:t>
            </w:r>
          </w:p>
        </w:tc>
        <w:tc>
          <w:tcPr>
            <w:tcW w:type="dxa" w:w="6768"/>
            <w:vAlign w:val="center"/>
            <w:shd w:fill="EAF2FF"/>
          </w:tcPr>
          <w:p>
            <w:pPr>
              <w:spacing w:after="0"/>
            </w:pPr>
            <w:r/>
            <w:r>
              <w:rPr>
                <w:b/>
                <w:color w:val="0B2545"/>
                <w:sz w:val="18"/>
              </w:rPr>
              <w:t>Current product position</w:t>
            </w:r>
          </w:p>
        </w:tc>
      </w:tr>
      <w:tr>
        <w:tc>
          <w:tcPr>
            <w:tcW w:type="dxa" w:w="2736"/>
            <w:vAlign w:val="center"/>
          </w:tcPr>
          <w:p>
            <w:pPr>
              <w:spacing w:after="0"/>
            </w:pPr>
            <w:r/>
            <w:r>
              <w:rPr>
                <w:b/>
                <w:color w:val="0B2545"/>
                <w:sz w:val="18"/>
              </w:rPr>
              <w:t>Production-grade testnet</w:t>
            </w:r>
          </w:p>
        </w:tc>
        <w:tc>
          <w:tcPr>
            <w:tcW w:type="dxa" w:w="6768"/>
            <w:vAlign w:val="center"/>
          </w:tcPr>
          <w:p>
            <w:pPr>
              <w:spacing w:after="0"/>
            </w:pPr>
            <w:r/>
            <w:r>
              <w:rPr>
                <w:b w:val="0"/>
                <w:sz w:val="18"/>
              </w:rPr>
              <w:t>Real Base Sepolia. Used for public read-only dashboard metrics and audit-clean testnet history.</w:t>
            </w:r>
          </w:p>
        </w:tc>
      </w:tr>
      <w:tr>
        <w:tc>
          <w:tcPr>
            <w:tcW w:type="dxa" w:w="2736"/>
            <w:vAlign w:val="center"/>
          </w:tcPr>
          <w:p>
            <w:pPr>
              <w:spacing w:after="0"/>
            </w:pPr>
            <w:r/>
            <w:r>
              <w:rPr>
                <w:b/>
                <w:color w:val="0B2545"/>
                <w:sz w:val="18"/>
              </w:rPr>
              <w:t>Demo sandbox</w:t>
            </w:r>
          </w:p>
        </w:tc>
        <w:tc>
          <w:tcPr>
            <w:tcW w:type="dxa" w:w="6768"/>
            <w:vAlign w:val="center"/>
          </w:tcPr>
          <w:p>
            <w:pPr>
              <w:spacing w:after="0"/>
            </w:pPr>
            <w:r/>
            <w:r>
              <w:rPr>
                <w:b w:val="0"/>
                <w:sz w:val="18"/>
              </w:rPr>
              <w:t>Tenderly virtual Base Sepolia. Used for visitor actions, backend-controlled demo verifiers, faucet balances, and time-warped claim flows.</w:t>
            </w:r>
          </w:p>
        </w:tc>
      </w:tr>
      <w:tr>
        <w:tc>
          <w:tcPr>
            <w:tcW w:type="dxa" w:w="2736"/>
            <w:vAlign w:val="center"/>
          </w:tcPr>
          <w:p>
            <w:pPr>
              <w:spacing w:after="0"/>
            </w:pPr>
            <w:r/>
            <w:r>
              <w:rPr>
                <w:b/>
                <w:color w:val="0B2545"/>
                <w:sz w:val="18"/>
              </w:rPr>
              <w:t>Why two deployments</w:t>
            </w:r>
          </w:p>
        </w:tc>
        <w:tc>
          <w:tcPr>
            <w:tcW w:type="dxa" w:w="6768"/>
            <w:vAlign w:val="center"/>
          </w:tcPr>
          <w:p>
            <w:pPr>
              <w:spacing w:after="0"/>
            </w:pPr>
            <w:r/>
            <w:r>
              <w:rPr>
                <w:b w:val="0"/>
                <w:sz w:val="18"/>
              </w:rPr>
              <w:t>Keeps the real testnet deployment credible while allowing a prospect to finish a claim flow in a few minutes.</w:t>
            </w:r>
          </w:p>
        </w:tc>
      </w:tr>
    </w:tbl>
    <w:p/>
    <w:p>
      <w:pPr>
        <w:pStyle w:val="Heading1"/>
      </w:pPr>
      <w:r>
        <w:rPr>
          <w:color w:val="0B2545"/>
          <w:sz w:val="36"/>
        </w:rPr>
        <w:t>5. Incentive Design</w:t>
      </w:r>
    </w:p>
    <w:p>
      <w:pPr>
        <w:pStyle w:val="Heading2"/>
      </w:pPr>
      <w:r>
        <w:rPr>
          <w:color w:val="0B2545"/>
          <w:sz w:val="26"/>
        </w:rPr>
        <w:t>5.1 Staking and Voting</w:t>
      </w:r>
    </w:p>
    <w:p>
      <w:pPr>
        <w:spacing w:after="140" w:line="259" w:lineRule="auto"/>
      </w:pPr>
      <w:r>
        <w:t>Verifiers stake VST to participate in a domain. Claim review uses commit/reveal voting so participants cannot simply copy early votes. Once votes resolve, the system updates claim state, reputation, and payout eligibility.</w:t>
      </w:r>
    </w:p>
    <w:p>
      <w:pPr>
        <w:pStyle w:val="Heading2"/>
      </w:pPr>
      <w:r>
        <w:rPr>
          <w:color w:val="0B2545"/>
          <w:sz w:val="26"/>
        </w:rPr>
        <w:t>5.2 Reputation</w:t>
      </w:r>
    </w:p>
    <w:p>
      <w:pPr>
        <w:spacing w:after="140" w:line="259" w:lineRule="auto"/>
      </w:pPr>
      <w:r>
        <w:t>Soulbound reputation tracks accuracy over time. In the current deployment, reputation is a protocol primitive rather than a consumer-facing identity product: it lets the network distinguish durable expertise from one-off participation.</w:t>
      </w:r>
    </w:p>
    <w:p>
      <w:pPr>
        <w:pStyle w:val="Heading2"/>
      </w:pPr>
      <w:r>
        <w:rPr>
          <w:color w:val="0B2545"/>
          <w:sz w:val="26"/>
        </w:rPr>
        <w:t>5.3 Slashing and Dissent</w:t>
      </w:r>
    </w:p>
    <w:p>
      <w:pPr>
        <w:spacing w:after="140" w:line="259" w:lineRule="auto"/>
      </w:pPr>
      <w:r>
        <w:t>Slashing is reserved for serious divergence from the final adjudicated result, not honest disagreement in a gray area. The launch demo intentionally shows this distinction: a health verifier can dissent on an ambiguous ER appeal without being slashed, but approving clear duplicate-billing fraud can trigger a 50 VST penalty.</w:t>
      </w:r>
    </w:p>
    <w:p>
      <w:pPr>
        <w:spacing w:after="140" w:line="259" w:lineRule="auto"/>
      </w:pPr>
      <w:r>
        <w:t>Contrarian rewards are central to the design. Veristake should not punish a reviewer for being in the minority if the minority is ultimately right. The goal is not blind consensus. The goal is accountable accuracy.</w:t>
      </w:r>
    </w:p>
    <w:p>
      <w:pPr>
        <w:pStyle w:val="Heading1"/>
      </w:pPr>
      <w:r>
        <w:rPr>
          <w:color w:val="0B2545"/>
          <w:sz w:val="36"/>
        </w:rPr>
        <w:t>6. Demo Experience</w:t>
      </w:r>
    </w:p>
    <w:p>
      <w:pPr>
        <w:spacing w:after="140" w:line="259" w:lineRule="auto"/>
      </w:pPr>
      <w:r>
        <w:t>The demo is built for insurance executives who do not want a wallet, testnet ETH, seed phrases, or token onboarding. The target path is: understand the value proposition, pick a persona, see a claim packet, watch verifier activity, and finish with a visible resolution.</w:t>
      </w:r>
    </w:p>
    <w:tbl>
      <w:tblPr>
        <w:tblW w:type="auto" w:w="0"/>
        <w:jc w:val="center"/>
        <w:tblLook w:firstColumn="1" w:firstRow="1" w:lastColumn="0" w:lastRow="0" w:noHBand="0" w:noVBand="1" w:val="04A0"/>
      </w:tblPr>
      <w:tblGrid>
        <w:gridCol w:w="3264"/>
        <w:gridCol w:w="3264"/>
        <w:gridCol w:w="3264"/>
      </w:tblGrid>
      <w:tr>
        <w:trPr>
          <w:tblHeader w:val="true"/>
        </w:trPr>
        <w:tc>
          <w:tcPr>
            <w:tcW w:type="dxa" w:w="1728"/>
            <w:vAlign w:val="center"/>
            <w:shd w:fill="EAF7EF"/>
          </w:tcPr>
          <w:p>
            <w:pPr>
              <w:spacing w:after="0"/>
            </w:pPr>
            <w:r/>
            <w:r>
              <w:rPr>
                <w:b/>
                <w:color w:val="0B2545"/>
                <w:sz w:val="18"/>
              </w:rPr>
              <w:t>Persona</w:t>
            </w:r>
          </w:p>
        </w:tc>
        <w:tc>
          <w:tcPr>
            <w:tcW w:type="dxa" w:w="2448"/>
            <w:vAlign w:val="center"/>
            <w:shd w:fill="EAF7EF"/>
          </w:tcPr>
          <w:p>
            <w:pPr>
              <w:spacing w:after="0"/>
            </w:pPr>
            <w:r/>
            <w:r>
              <w:rPr>
                <w:b/>
                <w:color w:val="0B2545"/>
                <w:sz w:val="18"/>
              </w:rPr>
              <w:t>Scenario</w:t>
            </w:r>
          </w:p>
        </w:tc>
        <w:tc>
          <w:tcPr>
            <w:tcW w:type="dxa" w:w="5328"/>
            <w:vAlign w:val="center"/>
            <w:shd w:fill="EAF7EF"/>
          </w:tcPr>
          <w:p>
            <w:pPr>
              <w:spacing w:after="0"/>
            </w:pPr>
            <w:r/>
            <w:r>
              <w:rPr>
                <w:b/>
                <w:color w:val="0B2545"/>
                <w:sz w:val="18"/>
              </w:rPr>
              <w:t>Expected proof moment</w:t>
            </w:r>
          </w:p>
        </w:tc>
      </w:tr>
      <w:tr>
        <w:tc>
          <w:tcPr>
            <w:tcW w:type="dxa" w:w="1728"/>
            <w:vAlign w:val="center"/>
          </w:tcPr>
          <w:p>
            <w:pPr>
              <w:spacing w:after="0"/>
            </w:pPr>
            <w:r/>
            <w:r>
              <w:rPr>
                <w:b/>
                <w:color w:val="166534"/>
                <w:sz w:val="18"/>
              </w:rPr>
              <w:t>Health claimant</w:t>
            </w:r>
          </w:p>
        </w:tc>
        <w:tc>
          <w:tcPr>
            <w:tcW w:type="dxa" w:w="2448"/>
            <w:vAlign w:val="center"/>
          </w:tcPr>
          <w:p>
            <w:pPr>
              <w:spacing w:after="0"/>
            </w:pPr>
            <w:r/>
            <w:r>
              <w:rPr>
                <w:b/>
                <w:color w:val="0B2545"/>
                <w:sz w:val="18"/>
              </w:rPr>
              <w:t>ER visit denial appeal</w:t>
            </w:r>
          </w:p>
        </w:tc>
        <w:tc>
          <w:tcPr>
            <w:tcW w:type="dxa" w:w="5328"/>
            <w:vAlign w:val="center"/>
          </w:tcPr>
          <w:p>
            <w:pPr>
              <w:spacing w:after="0"/>
            </w:pPr>
            <w:r/>
            <w:r>
              <w:rPr>
                <w:b w:val="0"/>
                <w:sz w:val="18"/>
              </w:rPr>
              <w:t>$4,820 chest-pain ER visit denied as not medically necessary; verifier pool approves 4-1 and payout releases from carrier reserve.</w:t>
            </w:r>
          </w:p>
        </w:tc>
      </w:tr>
      <w:tr>
        <w:tc>
          <w:tcPr>
            <w:tcW w:type="dxa" w:w="1728"/>
            <w:vAlign w:val="center"/>
          </w:tcPr>
          <w:p>
            <w:pPr>
              <w:spacing w:after="0"/>
            </w:pPr>
            <w:r/>
            <w:r>
              <w:rPr>
                <w:b/>
                <w:color w:val="166534"/>
                <w:sz w:val="18"/>
              </w:rPr>
              <w:t>Health verifier</w:t>
            </w:r>
          </w:p>
        </w:tc>
        <w:tc>
          <w:tcPr>
            <w:tcW w:type="dxa" w:w="2448"/>
            <w:vAlign w:val="center"/>
          </w:tcPr>
          <w:p>
            <w:pPr>
              <w:spacing w:after="0"/>
            </w:pPr>
            <w:r/>
            <w:r>
              <w:rPr>
                <w:b/>
                <w:color w:val="0B2545"/>
                <w:sz w:val="18"/>
              </w:rPr>
              <w:t>Three claims, one fraud</w:t>
            </w:r>
          </w:p>
        </w:tc>
        <w:tc>
          <w:tcPr>
            <w:tcW w:type="dxa" w:w="5328"/>
            <w:vAlign w:val="center"/>
          </w:tcPr>
          <w:p>
            <w:pPr>
              <w:spacing w:after="0"/>
            </w:pPr>
            <w:r/>
            <w:r>
              <w:rPr>
                <w:b w:val="0"/>
                <w:sz w:val="18"/>
              </w:rPr>
              <w:t>Visitor reviews an annual physical, the ER appeal, and duplicate-billed PT sessions; wrong fraud approval triggers a 50 VST slash.</w:t>
            </w:r>
          </w:p>
        </w:tc>
      </w:tr>
      <w:tr>
        <w:tc>
          <w:tcPr>
            <w:tcW w:type="dxa" w:w="1728"/>
            <w:vAlign w:val="center"/>
          </w:tcPr>
          <w:p>
            <w:pPr>
              <w:spacing w:after="0"/>
            </w:pPr>
            <w:r/>
            <w:r>
              <w:rPr>
                <w:b/>
                <w:color w:val="166534"/>
                <w:sz w:val="18"/>
              </w:rPr>
              <w:t>Auto claimant</w:t>
            </w:r>
          </w:p>
        </w:tc>
        <w:tc>
          <w:tcPr>
            <w:tcW w:type="dxa" w:w="2448"/>
            <w:vAlign w:val="center"/>
          </w:tcPr>
          <w:p>
            <w:pPr>
              <w:spacing w:after="0"/>
            </w:pPr>
            <w:r/>
            <w:r>
              <w:rPr>
                <w:b/>
                <w:color w:val="0B2545"/>
                <w:sz w:val="18"/>
              </w:rPr>
              <w:t>Rear-end collision delayed payout</w:t>
            </w:r>
          </w:p>
        </w:tc>
        <w:tc>
          <w:tcPr>
            <w:tcW w:type="dxa" w:w="5328"/>
            <w:vAlign w:val="center"/>
          </w:tcPr>
          <w:p>
            <w:pPr>
              <w:spacing w:after="0"/>
            </w:pPr>
            <w:r/>
            <w:r>
              <w:rPr>
                <w:b w:val="0"/>
                <w:sz w:val="18"/>
              </w:rPr>
              <w:t>$7,140 repair estimate vs. $3,200 insurer offer; verifier median resolves at a partial $6,800 payout.</w:t>
            </w:r>
          </w:p>
        </w:tc>
      </w:tr>
      <w:tr>
        <w:tc>
          <w:tcPr>
            <w:tcW w:type="dxa" w:w="1728"/>
            <w:vAlign w:val="center"/>
          </w:tcPr>
          <w:p>
            <w:pPr>
              <w:spacing w:after="0"/>
            </w:pPr>
            <w:r/>
            <w:r>
              <w:rPr>
                <w:b/>
                <w:color w:val="166534"/>
                <w:sz w:val="18"/>
              </w:rPr>
              <w:t>Auto carrier</w:t>
            </w:r>
          </w:p>
        </w:tc>
        <w:tc>
          <w:tcPr>
            <w:tcW w:type="dxa" w:w="2448"/>
            <w:vAlign w:val="center"/>
          </w:tcPr>
          <w:p>
            <w:pPr>
              <w:spacing w:after="0"/>
            </w:pPr>
            <w:r/>
            <w:r>
              <w:rPr>
                <w:b/>
                <w:color w:val="0B2545"/>
                <w:sz w:val="18"/>
              </w:rPr>
              <w:t>Pacific Mutual onboarding</w:t>
            </w:r>
          </w:p>
        </w:tc>
        <w:tc>
          <w:tcPr>
            <w:tcW w:type="dxa" w:w="5328"/>
            <w:vAlign w:val="center"/>
          </w:tcPr>
          <w:p>
            <w:pPr>
              <w:spacing w:after="0"/>
            </w:pPr>
            <w:r/>
            <w:r>
              <w:rPr>
                <w:b w:val="0"/>
                <w:sz w:val="18"/>
              </w:rPr>
              <w:t>Carrier registers, creates an auto-collision policy, funds a $10k reserve, and watches three claims resolve from reserve.</w:t>
            </w:r>
          </w:p>
        </w:tc>
      </w:tr>
      <w:tr>
        <w:tc>
          <w:tcPr>
            <w:tcW w:type="dxa" w:w="1728"/>
            <w:vAlign w:val="center"/>
          </w:tcPr>
          <w:p>
            <w:pPr>
              <w:spacing w:after="0"/>
            </w:pPr>
            <w:r/>
            <w:r>
              <w:rPr>
                <w:b/>
                <w:color w:val="166534"/>
                <w:sz w:val="18"/>
              </w:rPr>
              <w:t>Auto verifier</w:t>
            </w:r>
          </w:p>
        </w:tc>
        <w:tc>
          <w:tcPr>
            <w:tcW w:type="dxa" w:w="2448"/>
            <w:vAlign w:val="center"/>
          </w:tcPr>
          <w:p>
            <w:pPr>
              <w:spacing w:after="0"/>
            </w:pPr>
            <w:r/>
            <w:r>
              <w:rPr>
                <w:b/>
                <w:color w:val="0B2545"/>
                <w:sz w:val="18"/>
              </w:rPr>
              <w:t>Staged-collision fraud pattern</w:t>
            </w:r>
          </w:p>
        </w:tc>
        <w:tc>
          <w:tcPr>
            <w:tcW w:type="dxa" w:w="5328"/>
            <w:vAlign w:val="center"/>
          </w:tcPr>
          <w:p>
            <w:pPr>
              <w:spacing w:after="0"/>
            </w:pPr>
            <w:r/>
            <w:r>
              <w:rPr>
                <w:b w:val="0"/>
                <w:sz w:val="18"/>
              </w:rPr>
              <w:t>Visitor reviews a clean fender-bender, the rear-end claim, and a fraud pattern with repeated VIN/body-shop/attorney signals.</w:t>
            </w:r>
          </w:p>
        </w:tc>
      </w:tr>
    </w:tbl>
    <w:p/>
    <w:p>
      <w:pPr>
        <w:pStyle w:val="Heading2"/>
      </w:pPr>
      <w:r>
        <w:rPr>
          <w:color w:val="0B2545"/>
          <w:sz w:val="26"/>
        </w:rPr>
        <w:t>6.1 Persona Flows</w:t>
      </w:r>
    </w:p>
    <w:p>
      <w:pPr>
        <w:spacing w:after="60" w:line="252" w:lineRule="auto"/>
        <w:ind w:left="346" w:hanging="202"/>
      </w:pPr>
      <w:r>
        <w:rPr>
          <w:color w:val="2563EB"/>
        </w:rPr>
        <w:t xml:space="preserve">• </w:t>
      </w:r>
      <w:r>
        <w:t>Carrier: register Pacific Mutual, register an auto policy, fund a reserve, and watch three claims resolve.</w:t>
      </w:r>
    </w:p>
    <w:p>
      <w:pPr>
        <w:spacing w:after="60" w:line="252" w:lineRule="auto"/>
        <w:ind w:left="346" w:hanging="202"/>
      </w:pPr>
      <w:r>
        <w:rPr>
          <w:color w:val="2563EB"/>
        </w:rPr>
        <w:t xml:space="preserve">• </w:t>
      </w:r>
      <w:r>
        <w:t>Claimant: submit a health ER denial appeal or auto collision dispute and watch the resolution panel update.</w:t>
      </w:r>
    </w:p>
    <w:p>
      <w:pPr>
        <w:spacing w:after="60" w:line="252" w:lineRule="auto"/>
        <w:ind w:left="346" w:hanging="202"/>
      </w:pPr>
      <w:r>
        <w:rPr>
          <w:color w:val="2563EB"/>
        </w:rPr>
        <w:t xml:space="preserve">• </w:t>
      </w:r>
      <w:r>
        <w:t>Verifier: stake demo VST, review three claims, vote, and see reward, accuracy, and slashing outcomes.</w:t>
      </w:r>
    </w:p>
    <w:p>
      <w:pPr>
        <w:pStyle w:val="Heading1"/>
      </w:pPr>
      <w:r>
        <w:rPr>
          <w:color w:val="0B2545"/>
          <w:sz w:val="36"/>
        </w:rPr>
        <w:t>7. Competitive Landscape</w:t>
      </w:r>
    </w:p>
    <w:p>
      <w:pPr>
        <w:spacing w:after="140" w:line="259" w:lineRule="auto"/>
      </w:pPr>
      <w:r>
        <w:t>Veristake is not positioned as another crypto insurance pool. Its differentiation is the combination of human/specialist review, slashing-backed accountability, carrier-reserve payouts, and a regulated-integration posture.</w:t>
      </w:r>
    </w:p>
    <w:tbl>
      <w:tblPr>
        <w:tblW w:type="auto" w:w="0"/>
        <w:jc w:val="center"/>
        <w:tblLook w:firstColumn="1" w:firstRow="1" w:lastColumn="0" w:lastRow="0" w:noHBand="0" w:noVBand="1" w:val="04A0"/>
      </w:tblPr>
      <w:tblGrid>
        <w:gridCol w:w="1632"/>
        <w:gridCol w:w="1632"/>
        <w:gridCol w:w="1632"/>
        <w:gridCol w:w="1632"/>
        <w:gridCol w:w="1632"/>
        <w:gridCol w:w="1632"/>
      </w:tblGrid>
      <w:tr>
        <w:trPr>
          <w:tblHeader w:val="true"/>
        </w:trPr>
        <w:tc>
          <w:tcPr>
            <w:tcW w:type="dxa" w:w="1584"/>
            <w:vAlign w:val="center"/>
            <w:shd w:fill="EAF2FF"/>
          </w:tcPr>
          <w:p>
            <w:pPr>
              <w:spacing w:after="0"/>
            </w:pPr>
            <w:r/>
            <w:r>
              <w:rPr>
                <w:b/>
                <w:color w:val="0B2545"/>
                <w:sz w:val="18"/>
              </w:rPr>
              <w:t>Feature</w:t>
            </w:r>
          </w:p>
        </w:tc>
        <w:tc>
          <w:tcPr>
            <w:tcW w:type="dxa" w:w="2088"/>
            <w:vAlign w:val="center"/>
            <w:shd w:fill="EAF2FF"/>
          </w:tcPr>
          <w:p>
            <w:pPr>
              <w:spacing w:after="0"/>
            </w:pPr>
            <w:r/>
            <w:r>
              <w:rPr>
                <w:b/>
                <w:color w:val="0B2545"/>
                <w:sz w:val="18"/>
              </w:rPr>
              <w:t>Veristake</w:t>
            </w:r>
          </w:p>
        </w:tc>
        <w:tc>
          <w:tcPr>
            <w:tcW w:type="dxa" w:w="1440"/>
            <w:vAlign w:val="center"/>
            <w:shd w:fill="EAF2FF"/>
          </w:tcPr>
          <w:p>
            <w:pPr>
              <w:spacing w:after="0"/>
            </w:pPr>
            <w:r/>
            <w:r>
              <w:rPr>
                <w:b/>
                <w:color w:val="0B2545"/>
                <w:sz w:val="18"/>
              </w:rPr>
              <w:t>Etherisc</w:t>
            </w:r>
          </w:p>
        </w:tc>
        <w:tc>
          <w:tcPr>
            <w:tcW w:type="dxa" w:w="1440"/>
            <w:vAlign w:val="center"/>
            <w:shd w:fill="EAF2FF"/>
          </w:tcPr>
          <w:p>
            <w:pPr>
              <w:spacing w:after="0"/>
            </w:pPr>
            <w:r/>
            <w:r>
              <w:rPr>
                <w:b/>
                <w:color w:val="0B2545"/>
                <w:sz w:val="18"/>
              </w:rPr>
              <w:t>Nexus Mutual</w:t>
            </w:r>
          </w:p>
        </w:tc>
        <w:tc>
          <w:tcPr>
            <w:tcW w:type="dxa" w:w="1440"/>
            <w:vAlign w:val="center"/>
            <w:shd w:fill="EAF2FF"/>
          </w:tcPr>
          <w:p>
            <w:pPr>
              <w:spacing w:after="0"/>
            </w:pPr>
            <w:r/>
            <w:r>
              <w:rPr>
                <w:b/>
                <w:color w:val="0B2545"/>
                <w:sz w:val="18"/>
              </w:rPr>
              <w:t>Kleros</w:t>
            </w:r>
          </w:p>
        </w:tc>
        <w:tc>
          <w:tcPr>
            <w:tcW w:type="dxa" w:w="1584"/>
            <w:vAlign w:val="center"/>
            <w:shd w:fill="EAF2FF"/>
          </w:tcPr>
          <w:p>
            <w:pPr>
              <w:spacing w:after="0"/>
            </w:pPr>
            <w:r/>
            <w:r>
              <w:rPr>
                <w:b/>
                <w:color w:val="0B2545"/>
                <w:sz w:val="18"/>
              </w:rPr>
              <w:t>Status quo</w:t>
            </w:r>
          </w:p>
        </w:tc>
      </w:tr>
      <w:tr>
        <w:tc>
          <w:tcPr>
            <w:tcW w:type="dxa" w:w="1584"/>
            <w:vAlign w:val="center"/>
          </w:tcPr>
          <w:p>
            <w:pPr>
              <w:spacing w:after="0"/>
            </w:pPr>
            <w:r/>
            <w:r>
              <w:rPr>
                <w:b/>
                <w:color w:val="0B2545"/>
                <w:sz w:val="18"/>
              </w:rPr>
              <w:t>Human review</w:t>
            </w:r>
          </w:p>
        </w:tc>
        <w:tc>
          <w:tcPr>
            <w:tcW w:type="dxa" w:w="2088"/>
            <w:vAlign w:val="center"/>
          </w:tcPr>
          <w:p>
            <w:pPr>
              <w:spacing w:after="0"/>
            </w:pPr>
            <w:r/>
            <w:r>
              <w:rPr>
                <w:b w:val="0"/>
                <w:sz w:val="18"/>
              </w:rPr>
              <w:t>Yes; credentialed domain verifiers</w:t>
            </w:r>
          </w:p>
        </w:tc>
        <w:tc>
          <w:tcPr>
            <w:tcW w:type="dxa" w:w="1440"/>
            <w:vAlign w:val="center"/>
          </w:tcPr>
          <w:p>
            <w:pPr>
              <w:spacing w:after="0"/>
            </w:pPr>
            <w:r/>
            <w:r>
              <w:rPr>
                <w:b w:val="0"/>
                <w:sz w:val="18"/>
              </w:rPr>
              <w:t>Limited; mostly parametric</w:t>
            </w:r>
          </w:p>
        </w:tc>
        <w:tc>
          <w:tcPr>
            <w:tcW w:type="dxa" w:w="1440"/>
            <w:vAlign w:val="center"/>
          </w:tcPr>
          <w:p>
            <w:pPr>
              <w:spacing w:after="0"/>
            </w:pPr>
            <w:r/>
            <w:r>
              <w:rPr>
                <w:b w:val="0"/>
                <w:sz w:val="18"/>
              </w:rPr>
              <w:t>DAO/member assessment</w:t>
            </w:r>
          </w:p>
        </w:tc>
        <w:tc>
          <w:tcPr>
            <w:tcW w:type="dxa" w:w="1440"/>
            <w:vAlign w:val="center"/>
          </w:tcPr>
          <w:p>
            <w:pPr>
              <w:spacing w:after="0"/>
            </w:pPr>
            <w:r/>
            <w:r>
              <w:rPr>
                <w:b w:val="0"/>
                <w:sz w:val="18"/>
              </w:rPr>
              <w:t>Yes; generalized arbitration</w:t>
            </w:r>
          </w:p>
        </w:tc>
        <w:tc>
          <w:tcPr>
            <w:tcW w:type="dxa" w:w="1584"/>
            <w:vAlign w:val="center"/>
          </w:tcPr>
          <w:p>
            <w:pPr>
              <w:spacing w:after="0"/>
            </w:pPr>
            <w:r/>
            <w:r>
              <w:rPr>
                <w:b w:val="0"/>
                <w:sz w:val="18"/>
              </w:rPr>
              <w:t>Yes; internal adjusters</w:t>
            </w:r>
          </w:p>
        </w:tc>
      </w:tr>
      <w:tr>
        <w:tc>
          <w:tcPr>
            <w:tcW w:type="dxa" w:w="1584"/>
            <w:vAlign w:val="center"/>
          </w:tcPr>
          <w:p>
            <w:pPr>
              <w:spacing w:after="0"/>
            </w:pPr>
            <w:r/>
            <w:r>
              <w:rPr>
                <w:b/>
                <w:color w:val="0B2545"/>
                <w:sz w:val="18"/>
              </w:rPr>
              <w:t>Economic penalties</w:t>
            </w:r>
          </w:p>
        </w:tc>
        <w:tc>
          <w:tcPr>
            <w:tcW w:type="dxa" w:w="2088"/>
            <w:vAlign w:val="center"/>
          </w:tcPr>
          <w:p>
            <w:pPr>
              <w:spacing w:after="0"/>
            </w:pPr>
            <w:r/>
            <w:r>
              <w:rPr>
                <w:b w:val="0"/>
                <w:sz w:val="18"/>
              </w:rPr>
              <w:t>Yes; VST slashing</w:t>
            </w:r>
          </w:p>
        </w:tc>
        <w:tc>
          <w:tcPr>
            <w:tcW w:type="dxa" w:w="1440"/>
            <w:vAlign w:val="center"/>
          </w:tcPr>
          <w:p>
            <w:pPr>
              <w:spacing w:after="0"/>
            </w:pPr>
            <w:r/>
            <w:r>
              <w:rPr>
                <w:b w:val="0"/>
                <w:sz w:val="18"/>
              </w:rPr>
              <w:t>No verifier-slashing layer</w:t>
            </w:r>
          </w:p>
        </w:tc>
        <w:tc>
          <w:tcPr>
            <w:tcW w:type="dxa" w:w="1440"/>
            <w:vAlign w:val="center"/>
          </w:tcPr>
          <w:p>
            <w:pPr>
              <w:spacing w:after="0"/>
            </w:pPr>
            <w:r/>
            <w:r>
              <w:rPr>
                <w:b w:val="0"/>
                <w:sz w:val="18"/>
              </w:rPr>
              <w:t>Capital-at-risk mutual model</w:t>
            </w:r>
          </w:p>
        </w:tc>
        <w:tc>
          <w:tcPr>
            <w:tcW w:type="dxa" w:w="1440"/>
            <w:vAlign w:val="center"/>
          </w:tcPr>
          <w:p>
            <w:pPr>
              <w:spacing w:after="0"/>
            </w:pPr>
            <w:r/>
            <w:r>
              <w:rPr>
                <w:b w:val="0"/>
                <w:sz w:val="18"/>
              </w:rPr>
              <w:t>Yes; juror incentives</w:t>
            </w:r>
          </w:p>
        </w:tc>
        <w:tc>
          <w:tcPr>
            <w:tcW w:type="dxa" w:w="1584"/>
            <w:vAlign w:val="center"/>
          </w:tcPr>
          <w:p>
            <w:pPr>
              <w:spacing w:after="0"/>
            </w:pPr>
            <w:r/>
            <w:r>
              <w:rPr>
                <w:b w:val="0"/>
                <w:sz w:val="18"/>
              </w:rPr>
              <w:t>Employment/legal controls</w:t>
            </w:r>
          </w:p>
        </w:tc>
      </w:tr>
      <w:tr>
        <w:tc>
          <w:tcPr>
            <w:tcW w:type="dxa" w:w="1584"/>
            <w:vAlign w:val="center"/>
          </w:tcPr>
          <w:p>
            <w:pPr>
              <w:spacing w:after="0"/>
            </w:pPr>
            <w:r/>
            <w:r>
              <w:rPr>
                <w:b/>
                <w:color w:val="0B2545"/>
                <w:sz w:val="18"/>
              </w:rPr>
              <w:t>Contrarian rewards</w:t>
            </w:r>
          </w:p>
        </w:tc>
        <w:tc>
          <w:tcPr>
            <w:tcW w:type="dxa" w:w="2088"/>
            <w:vAlign w:val="center"/>
          </w:tcPr>
          <w:p>
            <w:pPr>
              <w:spacing w:after="0"/>
            </w:pPr>
            <w:r/>
            <w:r>
              <w:rPr>
                <w:b w:val="0"/>
                <w:sz w:val="18"/>
              </w:rPr>
              <w:t>Yes; accurate dissent can be rewarded</w:t>
            </w:r>
          </w:p>
        </w:tc>
        <w:tc>
          <w:tcPr>
            <w:tcW w:type="dxa" w:w="1440"/>
            <w:vAlign w:val="center"/>
          </w:tcPr>
          <w:p>
            <w:pPr>
              <w:spacing w:after="0"/>
            </w:pPr>
            <w:r/>
            <w:r>
              <w:rPr>
                <w:b w:val="0"/>
                <w:sz w:val="18"/>
              </w:rPr>
              <w:t>No</w:t>
            </w:r>
          </w:p>
        </w:tc>
        <w:tc>
          <w:tcPr>
            <w:tcW w:type="dxa" w:w="1440"/>
            <w:vAlign w:val="center"/>
          </w:tcPr>
          <w:p>
            <w:pPr>
              <w:spacing w:after="0"/>
            </w:pPr>
            <w:r/>
            <w:r>
              <w:rPr>
                <w:b w:val="0"/>
                <w:sz w:val="18"/>
              </w:rPr>
              <w:t>Limited</w:t>
            </w:r>
          </w:p>
        </w:tc>
        <w:tc>
          <w:tcPr>
            <w:tcW w:type="dxa" w:w="1440"/>
            <w:vAlign w:val="center"/>
          </w:tcPr>
          <w:p>
            <w:pPr>
              <w:spacing w:after="0"/>
            </w:pPr>
            <w:r/>
            <w:r>
              <w:rPr>
                <w:b w:val="0"/>
                <w:sz w:val="18"/>
              </w:rPr>
              <w:t>No direct carrier claim design</w:t>
            </w:r>
          </w:p>
        </w:tc>
        <w:tc>
          <w:tcPr>
            <w:tcW w:type="dxa" w:w="1584"/>
            <w:vAlign w:val="center"/>
          </w:tcPr>
          <w:p>
            <w:pPr>
              <w:spacing w:after="0"/>
            </w:pPr>
            <w:r/>
            <w:r>
              <w:rPr>
                <w:b w:val="0"/>
                <w:sz w:val="18"/>
              </w:rPr>
              <w:t>No formal market reward</w:t>
            </w:r>
          </w:p>
        </w:tc>
      </w:tr>
      <w:tr>
        <w:tc>
          <w:tcPr>
            <w:tcW w:type="dxa" w:w="1584"/>
            <w:vAlign w:val="center"/>
          </w:tcPr>
          <w:p>
            <w:pPr>
              <w:spacing w:after="0"/>
            </w:pPr>
            <w:r/>
            <w:r>
              <w:rPr>
                <w:b/>
                <w:color w:val="0B2545"/>
                <w:sz w:val="18"/>
              </w:rPr>
              <w:t>Carrier-friendly</w:t>
            </w:r>
          </w:p>
        </w:tc>
        <w:tc>
          <w:tcPr>
            <w:tcW w:type="dxa" w:w="2088"/>
            <w:vAlign w:val="center"/>
          </w:tcPr>
          <w:p>
            <w:pPr>
              <w:spacing w:after="0"/>
            </w:pPr>
            <w:r/>
            <w:r>
              <w:rPr>
                <w:b w:val="0"/>
                <w:sz w:val="18"/>
              </w:rPr>
              <w:t>Designed as protocol layer for licensed carriers</w:t>
            </w:r>
          </w:p>
        </w:tc>
        <w:tc>
          <w:tcPr>
            <w:tcW w:type="dxa" w:w="1440"/>
            <w:vAlign w:val="center"/>
          </w:tcPr>
          <w:p>
            <w:pPr>
              <w:spacing w:after="0"/>
            </w:pPr>
            <w:r/>
            <w:r>
              <w:rPr>
                <w:b w:val="0"/>
                <w:sz w:val="18"/>
              </w:rPr>
              <w:t>Mostly decentralized insurance products</w:t>
            </w:r>
          </w:p>
        </w:tc>
        <w:tc>
          <w:tcPr>
            <w:tcW w:type="dxa" w:w="1440"/>
            <w:vAlign w:val="center"/>
          </w:tcPr>
          <w:p>
            <w:pPr>
              <w:spacing w:after="0"/>
            </w:pPr>
            <w:r/>
            <w:r>
              <w:rPr>
                <w:b w:val="0"/>
                <w:sz w:val="18"/>
              </w:rPr>
              <w:t>Mutual membership model</w:t>
            </w:r>
          </w:p>
        </w:tc>
        <w:tc>
          <w:tcPr>
            <w:tcW w:type="dxa" w:w="1440"/>
            <w:vAlign w:val="center"/>
          </w:tcPr>
          <w:p>
            <w:pPr>
              <w:spacing w:after="0"/>
            </w:pPr>
            <w:r/>
            <w:r>
              <w:rPr>
                <w:b w:val="0"/>
                <w:sz w:val="18"/>
              </w:rPr>
              <w:t>General dispute protocol</w:t>
            </w:r>
          </w:p>
        </w:tc>
        <w:tc>
          <w:tcPr>
            <w:tcW w:type="dxa" w:w="1584"/>
            <w:vAlign w:val="center"/>
          </w:tcPr>
          <w:p>
            <w:pPr>
              <w:spacing w:after="0"/>
            </w:pPr>
            <w:r/>
            <w:r>
              <w:rPr>
                <w:b w:val="0"/>
                <w:sz w:val="18"/>
              </w:rPr>
              <w:t>Native workflow but opaque</w:t>
            </w:r>
          </w:p>
        </w:tc>
      </w:tr>
      <w:tr>
        <w:tc>
          <w:tcPr>
            <w:tcW w:type="dxa" w:w="1584"/>
            <w:vAlign w:val="center"/>
          </w:tcPr>
          <w:p>
            <w:pPr>
              <w:spacing w:after="0"/>
            </w:pPr>
            <w:r/>
            <w:r>
              <w:rPr>
                <w:b/>
                <w:color w:val="0B2545"/>
                <w:sz w:val="18"/>
              </w:rPr>
              <w:t>Regulated-friendly</w:t>
            </w:r>
          </w:p>
        </w:tc>
        <w:tc>
          <w:tcPr>
            <w:tcW w:type="dxa" w:w="2088"/>
            <w:vAlign w:val="center"/>
          </w:tcPr>
          <w:p>
            <w:pPr>
              <w:spacing w:after="0"/>
            </w:pPr>
            <w:r/>
            <w:r>
              <w:rPr>
                <w:b w:val="0"/>
                <w:sz w:val="18"/>
              </w:rPr>
              <w:t>Carrier keeps underwriting authority and reserves</w:t>
            </w:r>
          </w:p>
        </w:tc>
        <w:tc>
          <w:tcPr>
            <w:tcW w:type="dxa" w:w="1440"/>
            <w:vAlign w:val="center"/>
          </w:tcPr>
          <w:p>
            <w:pPr>
              <w:spacing w:after="0"/>
            </w:pPr>
            <w:r/>
            <w:r>
              <w:rPr>
                <w:b w:val="0"/>
                <w:sz w:val="18"/>
              </w:rPr>
              <w:t>Limited</w:t>
            </w:r>
          </w:p>
        </w:tc>
        <w:tc>
          <w:tcPr>
            <w:tcW w:type="dxa" w:w="1440"/>
            <w:vAlign w:val="center"/>
          </w:tcPr>
          <w:p>
            <w:pPr>
              <w:spacing w:after="0"/>
            </w:pPr>
            <w:r/>
            <w:r>
              <w:rPr>
                <w:b w:val="0"/>
                <w:sz w:val="18"/>
              </w:rPr>
              <w:t>Limited</w:t>
            </w:r>
          </w:p>
        </w:tc>
        <w:tc>
          <w:tcPr>
            <w:tcW w:type="dxa" w:w="1440"/>
            <w:vAlign w:val="center"/>
          </w:tcPr>
          <w:p>
            <w:pPr>
              <w:spacing w:after="0"/>
            </w:pPr>
            <w:r/>
            <w:r>
              <w:rPr>
                <w:b w:val="0"/>
                <w:sz w:val="18"/>
              </w:rPr>
              <w:t>Limited</w:t>
            </w:r>
          </w:p>
        </w:tc>
        <w:tc>
          <w:tcPr>
            <w:tcW w:type="dxa" w:w="1584"/>
            <w:vAlign w:val="center"/>
          </w:tcPr>
          <w:p>
            <w:pPr>
              <w:spacing w:after="0"/>
            </w:pPr>
            <w:r/>
            <w:r>
              <w:rPr>
                <w:b w:val="0"/>
                <w:sz w:val="18"/>
              </w:rPr>
              <w:t>High, but biased by incentives</w:t>
            </w:r>
          </w:p>
        </w:tc>
      </w:tr>
      <w:tr>
        <w:tc>
          <w:tcPr>
            <w:tcW w:type="dxa" w:w="1584"/>
            <w:vAlign w:val="center"/>
          </w:tcPr>
          <w:p>
            <w:pPr>
              <w:spacing w:after="0"/>
            </w:pPr>
            <w:r/>
            <w:r>
              <w:rPr>
                <w:b/>
                <w:color w:val="0B2545"/>
                <w:sz w:val="18"/>
              </w:rPr>
              <w:t>Privacy-aware</w:t>
            </w:r>
          </w:p>
        </w:tc>
        <w:tc>
          <w:tcPr>
            <w:tcW w:type="dxa" w:w="2088"/>
            <w:vAlign w:val="center"/>
          </w:tcPr>
          <w:p>
            <w:pPr>
              <w:spacing w:after="0"/>
            </w:pPr>
            <w:r/>
            <w:r>
              <w:rPr>
                <w:b w:val="0"/>
                <w:sz w:val="18"/>
              </w:rPr>
              <w:t>No PII on-chain; private evidence surfaces planned</w:t>
            </w:r>
          </w:p>
        </w:tc>
        <w:tc>
          <w:tcPr>
            <w:tcW w:type="dxa" w:w="1440"/>
            <w:vAlign w:val="center"/>
          </w:tcPr>
          <w:p>
            <w:pPr>
              <w:spacing w:after="0"/>
            </w:pPr>
            <w:r/>
            <w:r>
              <w:rPr>
                <w:b w:val="0"/>
                <w:sz w:val="18"/>
              </w:rPr>
              <w:t>Basic</w:t>
            </w:r>
          </w:p>
        </w:tc>
        <w:tc>
          <w:tcPr>
            <w:tcW w:type="dxa" w:w="1440"/>
            <w:vAlign w:val="center"/>
          </w:tcPr>
          <w:p>
            <w:pPr>
              <w:spacing w:after="0"/>
            </w:pPr>
            <w:r/>
            <w:r>
              <w:rPr>
                <w:b w:val="0"/>
                <w:sz w:val="18"/>
              </w:rPr>
              <w:t>Basic</w:t>
            </w:r>
          </w:p>
        </w:tc>
        <w:tc>
          <w:tcPr>
            <w:tcW w:type="dxa" w:w="1440"/>
            <w:vAlign w:val="center"/>
          </w:tcPr>
          <w:p>
            <w:pPr>
              <w:spacing w:after="0"/>
            </w:pPr>
            <w:r/>
            <w:r>
              <w:rPr>
                <w:b w:val="0"/>
                <w:sz w:val="18"/>
              </w:rPr>
              <w:t>Case-dependent</w:t>
            </w:r>
          </w:p>
        </w:tc>
        <w:tc>
          <w:tcPr>
            <w:tcW w:type="dxa" w:w="1584"/>
            <w:vAlign w:val="center"/>
          </w:tcPr>
          <w:p>
            <w:pPr>
              <w:spacing w:after="0"/>
            </w:pPr>
            <w:r/>
            <w:r>
              <w:rPr>
                <w:b w:val="0"/>
                <w:sz w:val="18"/>
              </w:rPr>
              <w:t>Internal systems only</w:t>
            </w:r>
          </w:p>
        </w:tc>
      </w:tr>
    </w:tbl>
    <w:p/>
    <w:p>
      <w:pPr>
        <w:pStyle w:val="Heading1"/>
      </w:pPr>
      <w:r>
        <w:rPr>
          <w:color w:val="0B2545"/>
          <w:sz w:val="36"/>
        </w:rPr>
        <w:t>8. Privacy, Compliance, and Legal Posture</w:t>
      </w:r>
    </w:p>
    <w:p>
      <w:pPr>
        <w:spacing w:after="60" w:line="252" w:lineRule="auto"/>
        <w:ind w:left="346" w:hanging="202"/>
      </w:pPr>
      <w:r>
        <w:rPr>
          <w:color w:val="2563EB"/>
        </w:rPr>
        <w:t xml:space="preserve">• </w:t>
      </w:r>
      <w:r>
        <w:t>Veristake is software infrastructure, not an insurance carrier.</w:t>
      </w:r>
    </w:p>
    <w:p>
      <w:pPr>
        <w:spacing w:after="60" w:line="252" w:lineRule="auto"/>
        <w:ind w:left="346" w:hanging="202"/>
      </w:pPr>
      <w:r>
        <w:rPr>
          <w:color w:val="2563EB"/>
        </w:rPr>
        <w:t xml:space="preserve">• </w:t>
      </w:r>
      <w:r>
        <w:t>The carrier remains the regulated party responsible for policies, underwriting, and claims obligations.</w:t>
      </w:r>
    </w:p>
    <w:p>
      <w:pPr>
        <w:spacing w:after="60" w:line="252" w:lineRule="auto"/>
        <w:ind w:left="346" w:hanging="202"/>
      </w:pPr>
      <w:r>
        <w:rPr>
          <w:color w:val="2563EB"/>
        </w:rPr>
        <w:t xml:space="preserve">• </w:t>
      </w:r>
      <w:r>
        <w:t>Claim evidence should be stored off-chain with access control; on-chain state should avoid PII.</w:t>
      </w:r>
    </w:p>
    <w:p>
      <w:pPr>
        <w:spacing w:after="60" w:line="252" w:lineRule="auto"/>
        <w:ind w:left="346" w:hanging="202"/>
      </w:pPr>
      <w:r>
        <w:rPr>
          <w:color w:val="2563EB"/>
        </w:rPr>
        <w:t xml:space="preserve">• </w:t>
      </w:r>
      <w:r>
        <w:t>Credentialing, KYC, TEEs, ZK proofs, and formal legal review are roadmap items, not claims of completed production compliance.</w:t>
      </w:r>
    </w:p>
    <w:p>
      <w:pPr>
        <w:spacing w:after="60" w:line="252" w:lineRule="auto"/>
        <w:ind w:left="346" w:hanging="202"/>
      </w:pPr>
      <w:r>
        <w:rPr>
          <w:color w:val="2563EB"/>
        </w:rPr>
        <w:t xml:space="preserve">• </w:t>
      </w:r>
      <w:r>
        <w:t>The public legal page is explicitly a draft pending founder and counsel review.</w:t>
      </w:r>
    </w:p>
    <w:p>
      <w:pPr>
        <w:pStyle w:val="Heading1"/>
      </w:pPr>
      <w:r>
        <w:rPr>
          <w:color w:val="0B2545"/>
          <w:sz w:val="36"/>
        </w:rPr>
        <w:t>9. Business Model</w:t>
      </w:r>
    </w:p>
    <w:p>
      <w:pPr>
        <w:spacing w:after="140" w:line="259" w:lineRule="auto"/>
      </w:pPr>
      <w:r>
        <w:t>The commercial model should stay simple for early carrier conversations. Veristake sells access to a verification layer: software integration, domain-specific verifier liquidity, and auditable claim-resolution infrastructure.</w:t>
      </w:r>
    </w:p>
    <w:p>
      <w:pPr>
        <w:spacing w:after="60" w:line="252" w:lineRule="auto"/>
        <w:ind w:left="346" w:hanging="202"/>
      </w:pPr>
      <w:r>
        <w:rPr>
          <w:color w:val="2563EB"/>
        </w:rPr>
        <w:t xml:space="preserve">• </w:t>
      </w:r>
      <w:r>
        <w:t>Enterprise protocol licensing or SaaS fees for carrier integration.</w:t>
      </w:r>
    </w:p>
    <w:p>
      <w:pPr>
        <w:spacing w:after="60" w:line="252" w:lineRule="auto"/>
        <w:ind w:left="346" w:hanging="202"/>
      </w:pPr>
      <w:r>
        <w:rPr>
          <w:color w:val="2563EB"/>
        </w:rPr>
        <w:t xml:space="preserve">• </w:t>
      </w:r>
      <w:r>
        <w:t>Claim review fees paid by carriers, brokers, or program administrators.</w:t>
      </w:r>
    </w:p>
    <w:p>
      <w:pPr>
        <w:spacing w:after="60" w:line="252" w:lineRule="auto"/>
        <w:ind w:left="346" w:hanging="202"/>
      </w:pPr>
      <w:r>
        <w:rPr>
          <w:color w:val="2563EB"/>
        </w:rPr>
        <w:t xml:space="preserve">• </w:t>
      </w:r>
      <w:r>
        <w:t>Optional treasury share from protocol fees, subject to legal and tax review.</w:t>
      </w:r>
    </w:p>
    <w:p>
      <w:pPr>
        <w:spacing w:after="60" w:line="252" w:lineRule="auto"/>
        <w:ind w:left="346" w:hanging="202"/>
      </w:pPr>
      <w:r>
        <w:rPr>
          <w:color w:val="2563EB"/>
        </w:rPr>
        <w:t xml:space="preserve">• </w:t>
      </w:r>
      <w:r>
        <w:t>VST supports verifier staking and accountability; it should not be marketed as consumer insurance coverage.</w:t>
      </w:r>
    </w:p>
    <w:p>
      <w:pPr>
        <w:pStyle w:val="Heading1"/>
      </w:pPr>
      <w:r>
        <w:rPr>
          <w:color w:val="0B2545"/>
          <w:sz w:val="36"/>
        </w:rPr>
        <w:t>10. Roadmap</w:t>
      </w:r>
    </w:p>
    <w:tbl>
      <w:tblPr>
        <w:tblW w:type="auto" w:w="0"/>
        <w:jc w:val="center"/>
        <w:tblLook w:firstColumn="1" w:firstRow="1" w:lastColumn="0" w:lastRow="0" w:noHBand="0" w:noVBand="1" w:val="04A0"/>
      </w:tblPr>
      <w:tblGrid>
        <w:gridCol w:w="3264"/>
        <w:gridCol w:w="3264"/>
        <w:gridCol w:w="3264"/>
      </w:tblGrid>
      <w:tr>
        <w:trPr>
          <w:tblHeader w:val="true"/>
        </w:trPr>
        <w:tc>
          <w:tcPr>
            <w:tcW w:type="dxa" w:w="1296"/>
            <w:vAlign w:val="center"/>
            <w:shd w:fill="FFF7ED"/>
          </w:tcPr>
          <w:p>
            <w:pPr>
              <w:spacing w:after="0"/>
            </w:pPr>
            <w:r/>
            <w:r>
              <w:rPr>
                <w:b/>
                <w:color w:val="0B2545"/>
                <w:sz w:val="18"/>
              </w:rPr>
              <w:t>Status</w:t>
            </w:r>
          </w:p>
        </w:tc>
        <w:tc>
          <w:tcPr>
            <w:tcW w:type="dxa" w:w="2592"/>
            <w:vAlign w:val="center"/>
            <w:shd w:fill="FFF7ED"/>
          </w:tcPr>
          <w:p>
            <w:pPr>
              <w:spacing w:after="0"/>
            </w:pPr>
            <w:r/>
            <w:r>
              <w:rPr>
                <w:b/>
                <w:color w:val="0B2545"/>
                <w:sz w:val="18"/>
              </w:rPr>
              <w:t>Milestone</w:t>
            </w:r>
          </w:p>
        </w:tc>
        <w:tc>
          <w:tcPr>
            <w:tcW w:type="dxa" w:w="5616"/>
            <w:vAlign w:val="center"/>
            <w:shd w:fill="FFF7ED"/>
          </w:tcPr>
          <w:p>
            <w:pPr>
              <w:spacing w:after="0"/>
            </w:pPr>
            <w:r/>
            <w:r>
              <w:rPr>
                <w:b/>
                <w:color w:val="0B2545"/>
                <w:sz w:val="18"/>
              </w:rPr>
              <w:t>Deliverable</w:t>
            </w:r>
          </w:p>
        </w:tc>
      </w:tr>
      <w:tr>
        <w:tc>
          <w:tcPr>
            <w:tcW w:type="dxa" w:w="1296"/>
            <w:vAlign w:val="center"/>
          </w:tcPr>
          <w:p>
            <w:pPr>
              <w:spacing w:after="0"/>
            </w:pPr>
            <w:r/>
            <w:r>
              <w:rPr>
                <w:b/>
                <w:color w:val="166534"/>
                <w:sz w:val="18"/>
              </w:rPr>
              <w:t>Completed</w:t>
            </w:r>
          </w:p>
        </w:tc>
        <w:tc>
          <w:tcPr>
            <w:tcW w:type="dxa" w:w="2592"/>
            <w:vAlign w:val="center"/>
          </w:tcPr>
          <w:p>
            <w:pPr>
              <w:spacing w:after="0"/>
            </w:pPr>
            <w:r/>
            <w:r>
              <w:rPr>
                <w:b/>
                <w:color w:val="0B2545"/>
                <w:sz w:val="18"/>
              </w:rPr>
              <w:t>Phase 1 contracts</w:t>
            </w:r>
          </w:p>
        </w:tc>
        <w:tc>
          <w:tcPr>
            <w:tcW w:type="dxa" w:w="5616"/>
            <w:vAlign w:val="center"/>
          </w:tcPr>
          <w:p>
            <w:pPr>
              <w:spacing w:after="0"/>
            </w:pPr>
            <w:r/>
            <w:r>
              <w:rPr>
                <w:b w:val="0"/>
                <w:sz w:val="18"/>
              </w:rPr>
              <w:t>Foundry system with registry, voting, staking, reputation, slashing, carrier reserve, and deployment scripts.</w:t>
            </w:r>
          </w:p>
        </w:tc>
      </w:tr>
      <w:tr>
        <w:tc>
          <w:tcPr>
            <w:tcW w:type="dxa" w:w="1296"/>
            <w:vAlign w:val="center"/>
          </w:tcPr>
          <w:p>
            <w:pPr>
              <w:spacing w:after="0"/>
            </w:pPr>
            <w:r/>
            <w:r>
              <w:rPr>
                <w:b/>
                <w:color w:val="166534"/>
                <w:sz w:val="18"/>
              </w:rPr>
              <w:t>Completed</w:t>
            </w:r>
          </w:p>
        </w:tc>
        <w:tc>
          <w:tcPr>
            <w:tcW w:type="dxa" w:w="2592"/>
            <w:vAlign w:val="center"/>
          </w:tcPr>
          <w:p>
            <w:pPr>
              <w:spacing w:after="0"/>
            </w:pPr>
            <w:r/>
            <w:r>
              <w:rPr>
                <w:b/>
                <w:color w:val="0B2545"/>
                <w:sz w:val="18"/>
              </w:rPr>
              <w:t>Phase 2 demo surface</w:t>
            </w:r>
          </w:p>
        </w:tc>
        <w:tc>
          <w:tcPr>
            <w:tcW w:type="dxa" w:w="5616"/>
            <w:vAlign w:val="center"/>
          </w:tcPr>
          <w:p>
            <w:pPr>
              <w:spacing w:after="0"/>
            </w:pPr>
            <w:r/>
            <w:r>
              <w:rPr>
                <w:b w:val="0"/>
                <w:sz w:val="18"/>
              </w:rPr>
              <w:t>Next.js site, sourced landing page, three persona flows, screenshots, narrated walkthrough, legal/footer/metadata polish.</w:t>
            </w:r>
          </w:p>
        </w:tc>
      </w:tr>
      <w:tr>
        <w:tc>
          <w:tcPr>
            <w:tcW w:type="dxa" w:w="1296"/>
            <w:vAlign w:val="center"/>
          </w:tcPr>
          <w:p>
            <w:pPr>
              <w:spacing w:after="0"/>
            </w:pPr>
            <w:r/>
            <w:r>
              <w:rPr>
                <w:b/>
                <w:color w:val="166534"/>
                <w:sz w:val="18"/>
              </w:rPr>
              <w:t>Completed</w:t>
            </w:r>
          </w:p>
        </w:tc>
        <w:tc>
          <w:tcPr>
            <w:tcW w:type="dxa" w:w="2592"/>
            <w:vAlign w:val="center"/>
          </w:tcPr>
          <w:p>
            <w:pPr>
              <w:spacing w:after="0"/>
            </w:pPr>
            <w:r/>
            <w:r>
              <w:rPr>
                <w:b/>
                <w:color w:val="0B2545"/>
                <w:sz w:val="18"/>
              </w:rPr>
              <w:t>Production-grade testnet dashboard</w:t>
            </w:r>
          </w:p>
        </w:tc>
        <w:tc>
          <w:tcPr>
            <w:tcW w:type="dxa" w:w="5616"/>
            <w:vAlign w:val="center"/>
          </w:tcPr>
          <w:p>
            <w:pPr>
              <w:spacing w:after="0"/>
            </w:pPr>
            <w:r/>
            <w:r>
              <w:rPr>
                <w:b w:val="0"/>
                <w:sz w:val="18"/>
              </w:rPr>
              <w:t>Base Sepolia deployment seeded with 5 claims, 2 carriers, 1 slashing event, and 1,950 VST staked for live read-only metrics.</w:t>
            </w:r>
          </w:p>
        </w:tc>
      </w:tr>
      <w:tr>
        <w:tc>
          <w:tcPr>
            <w:tcW w:type="dxa" w:w="1296"/>
            <w:vAlign w:val="center"/>
          </w:tcPr>
          <w:p>
            <w:pPr>
              <w:spacing w:after="0"/>
            </w:pPr>
            <w:r/>
            <w:r>
              <w:rPr>
                <w:b/>
                <w:color w:val="92400E"/>
                <w:sz w:val="18"/>
              </w:rPr>
              <w:t>Next</w:t>
            </w:r>
          </w:p>
        </w:tc>
        <w:tc>
          <w:tcPr>
            <w:tcW w:type="dxa" w:w="2592"/>
            <w:vAlign w:val="center"/>
          </w:tcPr>
          <w:p>
            <w:pPr>
              <w:spacing w:after="0"/>
            </w:pPr>
            <w:r/>
            <w:r>
              <w:rPr>
                <w:b/>
                <w:color w:val="0B2545"/>
                <w:sz w:val="18"/>
              </w:rPr>
              <w:t>Tenderly/Privy full demo activation</w:t>
            </w:r>
          </w:p>
        </w:tc>
        <w:tc>
          <w:tcPr>
            <w:tcW w:type="dxa" w:w="5616"/>
            <w:vAlign w:val="center"/>
          </w:tcPr>
          <w:p>
            <w:pPr>
              <w:spacing w:after="0"/>
            </w:pPr>
            <w:r/>
            <w:r>
              <w:rPr>
                <w:b w:val="0"/>
                <w:sz w:val="18"/>
              </w:rPr>
              <w:t>Founder-provided Tenderly and Privy secrets enable real embedded-wallet demo writes in the sandbox.</w:t>
            </w:r>
          </w:p>
        </w:tc>
      </w:tr>
      <w:tr>
        <w:tc>
          <w:tcPr>
            <w:tcW w:type="dxa" w:w="1296"/>
            <w:vAlign w:val="center"/>
          </w:tcPr>
          <w:p>
            <w:pPr>
              <w:spacing w:after="0"/>
            </w:pPr>
            <w:r/>
            <w:r>
              <w:rPr>
                <w:b/>
                <w:color w:val="92400E"/>
                <w:sz w:val="18"/>
              </w:rPr>
              <w:t>Next</w:t>
            </w:r>
          </w:p>
        </w:tc>
        <w:tc>
          <w:tcPr>
            <w:tcW w:type="dxa" w:w="2592"/>
            <w:vAlign w:val="center"/>
          </w:tcPr>
          <w:p>
            <w:pPr>
              <w:spacing w:after="0"/>
            </w:pPr>
            <w:r/>
            <w:r>
              <w:rPr>
                <w:b/>
                <w:color w:val="0B2545"/>
                <w:sz w:val="18"/>
              </w:rPr>
              <w:t>Pilot integration package</w:t>
            </w:r>
          </w:p>
        </w:tc>
        <w:tc>
          <w:tcPr>
            <w:tcW w:type="dxa" w:w="5616"/>
            <w:vAlign w:val="center"/>
          </w:tcPr>
          <w:p>
            <w:pPr>
              <w:spacing w:after="0"/>
            </w:pPr>
            <w:r/>
            <w:r>
              <w:rPr>
                <w:b w:val="0"/>
                <w:sz w:val="18"/>
              </w:rPr>
              <w:t>API wrapper, carrier onboarding docs, compliance questionnaire, and sandbox policy templates for health and auto carriers.</w:t>
            </w:r>
          </w:p>
        </w:tc>
      </w:tr>
      <w:tr>
        <w:tc>
          <w:tcPr>
            <w:tcW w:type="dxa" w:w="1296"/>
            <w:vAlign w:val="center"/>
          </w:tcPr>
          <w:p>
            <w:pPr>
              <w:spacing w:after="0"/>
            </w:pPr>
            <w:r/>
            <w:r>
              <w:rPr>
                <w:b/>
                <w:color w:val="475569"/>
                <w:sz w:val="18"/>
              </w:rPr>
              <w:t>Later</w:t>
            </w:r>
          </w:p>
        </w:tc>
        <w:tc>
          <w:tcPr>
            <w:tcW w:type="dxa" w:w="2592"/>
            <w:vAlign w:val="center"/>
          </w:tcPr>
          <w:p>
            <w:pPr>
              <w:spacing w:after="0"/>
            </w:pPr>
            <w:r/>
            <w:r>
              <w:rPr>
                <w:b/>
                <w:color w:val="0B2545"/>
                <w:sz w:val="18"/>
              </w:rPr>
              <w:t>Privacy hardening</w:t>
            </w:r>
          </w:p>
        </w:tc>
        <w:tc>
          <w:tcPr>
            <w:tcW w:type="dxa" w:w="5616"/>
            <w:vAlign w:val="center"/>
          </w:tcPr>
          <w:p>
            <w:pPr>
              <w:spacing w:after="0"/>
            </w:pPr>
            <w:r/>
            <w:r>
              <w:rPr>
                <w:b w:val="0"/>
                <w:sz w:val="18"/>
              </w:rPr>
              <w:t>Credentialing, evidence redaction, optional TEE/ZK proof paths, and formal security/legal review.</w:t>
            </w:r>
          </w:p>
        </w:tc>
      </w:tr>
    </w:tbl>
    <w:p/>
    <w:p>
      <w:pPr>
        <w:pStyle w:val="Heading1"/>
      </w:pPr>
      <w:r>
        <w:rPr>
          <w:color w:val="0B2545"/>
          <w:sz w:val="36"/>
        </w:rPr>
        <w:t>11. Team</w:t>
      </w:r>
    </w:p>
    <w:p>
      <w:pPr>
        <w:spacing w:after="140" w:line="259" w:lineRule="auto"/>
      </w:pPr>
      <w:r>
        <w:t>Oscar Li — Founder &amp; CEO. Leads carrier strategy, compliance framing, product direction, and fundraising.</w:t>
      </w:r>
    </w:p>
    <w:p>
      <w:pPr>
        <w:spacing w:after="140" w:line="259" w:lineRule="auto"/>
      </w:pPr>
      <w:r>
        <w:t>Sam Wang — Co-Founder &amp; CTO. Leads protocol architecture, smart contracts, verifier infrastructure, and deployment workflow.</w:t>
      </w:r>
    </w:p>
    <w:p>
      <w:pPr>
        <w:spacing w:after="140" w:line="259" w:lineRule="auto"/>
      </w:pPr>
      <w:r>
        <w:t>Advisory needs: insurance regulatory counsel, health billing reviewers, auto claims specialists, actuarial/reinsurance advisors, and privacy/security reviewers.</w:t>
      </w:r>
    </w:p>
    <w:p>
      <w:pPr>
        <w:pStyle w:val="Heading1"/>
      </w:pPr>
      <w:r>
        <w:rPr>
          <w:color w:val="0B2545"/>
          <w:sz w:val="36"/>
        </w:rPr>
        <w:t>12. Investor and Carrier FAQ</w:t>
      </w:r>
    </w:p>
    <w:p>
      <w:pPr>
        <w:spacing w:after="20"/>
      </w:pPr>
      <w:r>
        <w:rPr>
          <w:b/>
          <w:color w:val="0B2545"/>
        </w:rPr>
        <w:t>Is Veristake an insurance carrier?</w:t>
      </w:r>
    </w:p>
    <w:p>
      <w:pPr>
        <w:spacing w:after="140" w:line="259" w:lineRule="auto"/>
      </w:pPr>
      <w:r>
        <w:t>No. Veristake is software infrastructure for verification. Licensed carriers keep policies, reserves, underwriting authority, and legal obligations.</w:t>
      </w:r>
    </w:p>
    <w:p>
      <w:pPr>
        <w:spacing w:after="20"/>
      </w:pPr>
      <w:r>
        <w:rPr>
          <w:b/>
          <w:color w:val="0B2545"/>
        </w:rPr>
        <w:t>Why would a carrier use it?</w:t>
      </w:r>
    </w:p>
    <w:p>
      <w:pPr>
        <w:spacing w:after="140" w:line="259" w:lineRule="auto"/>
      </w:pPr>
      <w:r>
        <w:t>To add independent, economically accountable review for disputed or high-friction claims without building a verifier market from scratch.</w:t>
      </w:r>
    </w:p>
    <w:p>
      <w:pPr>
        <w:spacing w:after="20"/>
      </w:pPr>
      <w:r>
        <w:rPr>
          <w:b/>
          <w:color w:val="0B2545"/>
        </w:rPr>
        <w:t>Why would verifiers act honestly?</w:t>
      </w:r>
    </w:p>
    <w:p>
      <w:pPr>
        <w:spacing w:after="140" w:line="259" w:lineRule="auto"/>
      </w:pPr>
      <w:r>
        <w:t>They stake VST, build reputation, and face slashing for clearly wrong or reckless review. Correct minority review can be rewarded.</w:t>
      </w:r>
    </w:p>
    <w:p>
      <w:pPr>
        <w:spacing w:after="20"/>
      </w:pPr>
      <w:r>
        <w:rPr>
          <w:b/>
          <w:color w:val="0B2545"/>
        </w:rPr>
        <w:t>Why health and auto first?</w:t>
      </w:r>
    </w:p>
    <w:p>
      <w:pPr>
        <w:spacing w:after="140" w:line="259" w:lineRule="auto"/>
      </w:pPr>
      <w:r>
        <w:t>The sourced denial, appeal, and complaint data make the trust problem easy to explain, and the claim packets can be structured enough for a controlled demo.</w:t>
      </w:r>
    </w:p>
    <w:p>
      <w:pPr>
        <w:spacing w:after="20"/>
      </w:pPr>
      <w:r>
        <w:rPr>
          <w:b/>
          <w:color w:val="0B2545"/>
        </w:rPr>
        <w:t>What is live today?</w:t>
      </w:r>
    </w:p>
    <w:p>
      <w:pPr>
        <w:spacing w:after="140" w:line="259" w:lineRule="auto"/>
      </w:pPr>
      <w:r>
        <w:t>A deployed site, production-grade Base Sepolia dashboard, seeded protocol metrics, contract system, screenshot/video assets, and setup/deploy automation.</w:t>
      </w:r>
    </w:p>
    <w:p>
      <w:pPr>
        <w:spacing w:after="20"/>
      </w:pPr>
      <w:r>
        <w:rPr>
          <w:b/>
          <w:color w:val="0B2545"/>
        </w:rPr>
        <w:t>What is still pending?</w:t>
      </w:r>
    </w:p>
    <w:p>
      <w:pPr>
        <w:spacing w:after="140" w:line="259" w:lineRule="auto"/>
      </w:pPr>
      <w:r>
        <w:t>Full Tenderly/Privy production secrets, formal legal review, custom domain, real carrier logos, and pilot customer validation.</w:t>
      </w:r>
    </w:p>
    <w:p>
      <w:pPr>
        <w:pStyle w:val="Heading1"/>
      </w:pPr>
      <w:r>
        <w:rPr>
          <w:color w:val="0B2545"/>
          <w:sz w:val="36"/>
        </w:rPr>
        <w:t>13. References</w:t>
      </w:r>
    </w:p>
    <w:p>
      <w:pPr>
        <w:spacing w:after="60" w:line="252" w:lineRule="auto"/>
        <w:ind w:left="346" w:hanging="202"/>
      </w:pPr>
      <w:r>
        <w:rPr>
          <w:color w:val="2563EB"/>
        </w:rPr>
        <w:t xml:space="preserve">• </w:t>
      </w:r>
      <w:r>
        <w:t>KFF. Claims Denials and Appeals in ACA Marketplace Plans in 2024. https://www.kff.org/patient-consumer-protections/claims-denials-and-appeals-in-aca-marketplace-plans-in-2024/</w:t>
      </w:r>
    </w:p>
    <w:p>
      <w:pPr>
        <w:spacing w:after="60" w:line="252" w:lineRule="auto"/>
        <w:ind w:left="346" w:hanging="202"/>
      </w:pPr>
      <w:r>
        <w:rPr>
          <w:color w:val="2563EB"/>
        </w:rPr>
        <w:t xml:space="preserve">• </w:t>
      </w:r>
      <w:r>
        <w:t>KFF. Medicare Advantage Insurers Made Nearly 53 Million Prior Authorization Determinations in 2024. https://www.kff.org/medicare/nearly-50-million-prior-authorization-requests-were-sent-to-medicare-advantage-insurers-in-2023/</w:t>
      </w:r>
    </w:p>
    <w:p>
      <w:pPr>
        <w:spacing w:after="60" w:line="252" w:lineRule="auto"/>
        <w:ind w:left="346" w:hanging="202"/>
      </w:pPr>
      <w:r>
        <w:rPr>
          <w:color w:val="2563EB"/>
        </w:rPr>
        <w:t xml:space="preserve">• </w:t>
      </w:r>
      <w:r>
        <w:t>ValuePenguin analysis of NAIC Consumer Information Source data. Most Common Insurance Complaints. https://www.valuepenguin.com/most-common-insurance-complaints</w:t>
      </w:r>
    </w:p>
    <w:p>
      <w:pPr>
        <w:spacing w:after="60" w:line="252" w:lineRule="auto"/>
        <w:ind w:left="346" w:hanging="202"/>
      </w:pPr>
      <w:r>
        <w:rPr>
          <w:color w:val="2563EB"/>
        </w:rPr>
        <w:t xml:space="preserve">• </w:t>
      </w:r>
      <w:r>
        <w:t>Veristake demo site. https://veristake-demo.vercel.app</w:t>
      </w:r>
    </w:p>
    <w:p>
      <w:pPr>
        <w:spacing w:after="60" w:line="252" w:lineRule="auto"/>
        <w:ind w:left="346" w:hanging="202"/>
      </w:pPr>
      <w:r>
        <w:rPr>
          <w:color w:val="2563EB"/>
        </w:rPr>
        <w:t xml:space="preserve">• </w:t>
      </w:r>
      <w:r>
        <w:t>Veristake public dashboard. https://veristake-demo.vercel.app/dashboard</w:t>
      </w:r>
    </w:p>
    <w:p>
      <w:pPr>
        <w:spacing w:after="60" w:line="252" w:lineRule="auto"/>
        <w:ind w:left="346" w:hanging="202"/>
      </w:pPr>
      <w:r>
        <w:rPr>
          <w:color w:val="2563EB"/>
        </w:rPr>
        <w:t xml:space="preserve">• </w:t>
      </w:r>
      <w:r>
        <w:t>Veristake repository. https://github.com/oscar174831/veristake</w:t>
      </w:r>
    </w:p>
    <w:p>
      <w:pPr>
        <w:pStyle w:val="Heading1"/>
      </w:pPr>
      <w:r>
        <w:rPr>
          <w:color w:val="0B2545"/>
          <w:sz w:val="36"/>
        </w:rPr>
        <w:t>Contact</w:t>
      </w:r>
    </w:p>
    <w:p>
      <w:pPr>
        <w:spacing w:after="140" w:line="259" w:lineRule="auto"/>
      </w:pPr>
      <w:r>
        <w:t>Project email: hello@veristake.xyz</w:t>
      </w:r>
    </w:p>
    <w:p>
      <w:pPr>
        <w:spacing w:after="140" w:line="259" w:lineRule="auto"/>
      </w:pPr>
      <w:r>
        <w:t>Founder contact: yinghai.li@vanderbilt.edu</w:t>
      </w:r>
    </w:p>
    <w:p>
      <w:pPr>
        <w:spacing w:after="140" w:line="259" w:lineRule="auto"/>
      </w:pPr>
      <w:r>
        <w:t>Live demo: https://veristake-demo.vercel.app</w:t>
      </w:r>
    </w:p>
    <w:p>
      <w:pPr>
        <w:spacing w:after="140" w:line="259" w:lineRule="auto"/>
      </w:pPr>
      <w:r>
        <w:t>GitHub: https://github.com/oscar174831/veristake</w:t>
      </w:r>
    </w:p>
    <w:sectPr w:rsidR="00445A1D">
      <w:pgSz w:w="12240" w:h="15840"/>
      <w:pgMar w:top="1080" w:right="1224" w:bottom="1080" w:left="122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83855"/>
    <w:multiLevelType w:val="hybridMultilevel"/>
    <w:tmpl w:val="8C647048"/>
    <w:lvl w:ilvl="0" w:tplc="05AAAEE6">
      <w:start w:val="1"/>
      <w:numFmt w:val="decimal"/>
      <w:lvlText w:val="%1."/>
      <w:lvlJc w:val="left"/>
      <w:pPr>
        <w:ind w:left="327"/>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1" w:tplc="6008AAC8">
      <w:start w:val="1"/>
      <w:numFmt w:val="lowerLetter"/>
      <w:lvlText w:val="%2"/>
      <w:lvlJc w:val="left"/>
      <w:pPr>
        <w:ind w:left="115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2" w:tplc="3FFC32E4">
      <w:start w:val="1"/>
      <w:numFmt w:val="lowerRoman"/>
      <w:lvlText w:val="%3"/>
      <w:lvlJc w:val="left"/>
      <w:pPr>
        <w:ind w:left="187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3" w:tplc="B9488FFE">
      <w:start w:val="1"/>
      <w:numFmt w:val="decimal"/>
      <w:lvlText w:val="%4"/>
      <w:lvlJc w:val="left"/>
      <w:pPr>
        <w:ind w:left="259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4" w:tplc="989C3916">
      <w:start w:val="1"/>
      <w:numFmt w:val="lowerLetter"/>
      <w:lvlText w:val="%5"/>
      <w:lvlJc w:val="left"/>
      <w:pPr>
        <w:ind w:left="331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5" w:tplc="8A960D50">
      <w:start w:val="1"/>
      <w:numFmt w:val="lowerRoman"/>
      <w:lvlText w:val="%6"/>
      <w:lvlJc w:val="left"/>
      <w:pPr>
        <w:ind w:left="403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6" w:tplc="F24CD1E2">
      <w:start w:val="1"/>
      <w:numFmt w:val="decimal"/>
      <w:lvlText w:val="%7"/>
      <w:lvlJc w:val="left"/>
      <w:pPr>
        <w:ind w:left="475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7" w:tplc="5D1A39CE">
      <w:start w:val="1"/>
      <w:numFmt w:val="lowerLetter"/>
      <w:lvlText w:val="%8"/>
      <w:lvlJc w:val="left"/>
      <w:pPr>
        <w:ind w:left="547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8" w:tplc="083C1FB4">
      <w:start w:val="1"/>
      <w:numFmt w:val="lowerRoman"/>
      <w:lvlText w:val="%9"/>
      <w:lvlJc w:val="left"/>
      <w:pPr>
        <w:ind w:left="619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abstractNum>
  <w:abstractNum w:abstractNumId="1" w15:restartNumberingAfterBreak="0">
    <w:nsid w:val="63F62497"/>
    <w:multiLevelType w:val="hybridMultilevel"/>
    <w:tmpl w:val="E422884E"/>
    <w:lvl w:ilvl="0" w:tplc="7DD0171C">
      <w:start w:val="1"/>
      <w:numFmt w:val="decimal"/>
      <w:lvlText w:val="%1."/>
      <w:lvlJc w:val="left"/>
      <w:pPr>
        <w:ind w:left="389"/>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1" w:tplc="D33095FC">
      <w:start w:val="1"/>
      <w:numFmt w:val="lowerLetter"/>
      <w:lvlText w:val="%2"/>
      <w:lvlJc w:val="left"/>
      <w:pPr>
        <w:ind w:left="115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2" w:tplc="77BCEEF0">
      <w:start w:val="1"/>
      <w:numFmt w:val="lowerRoman"/>
      <w:lvlText w:val="%3"/>
      <w:lvlJc w:val="left"/>
      <w:pPr>
        <w:ind w:left="187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3" w:tplc="2CF283AC">
      <w:start w:val="1"/>
      <w:numFmt w:val="decimal"/>
      <w:lvlText w:val="%4"/>
      <w:lvlJc w:val="left"/>
      <w:pPr>
        <w:ind w:left="259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4" w:tplc="F4E248C0">
      <w:start w:val="1"/>
      <w:numFmt w:val="lowerLetter"/>
      <w:lvlText w:val="%5"/>
      <w:lvlJc w:val="left"/>
      <w:pPr>
        <w:ind w:left="331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5" w:tplc="6C00B534">
      <w:start w:val="1"/>
      <w:numFmt w:val="lowerRoman"/>
      <w:lvlText w:val="%6"/>
      <w:lvlJc w:val="left"/>
      <w:pPr>
        <w:ind w:left="403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6" w:tplc="24B205A0">
      <w:start w:val="1"/>
      <w:numFmt w:val="decimal"/>
      <w:lvlText w:val="%7"/>
      <w:lvlJc w:val="left"/>
      <w:pPr>
        <w:ind w:left="475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7" w:tplc="2BB4168A">
      <w:start w:val="1"/>
      <w:numFmt w:val="lowerLetter"/>
      <w:lvlText w:val="%8"/>
      <w:lvlJc w:val="left"/>
      <w:pPr>
        <w:ind w:left="547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8" w:tplc="2F60E2B6">
      <w:start w:val="1"/>
      <w:numFmt w:val="lowerRoman"/>
      <w:lvlText w:val="%9"/>
      <w:lvlJc w:val="left"/>
      <w:pPr>
        <w:ind w:left="619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abstractNum>
  <w:abstractNum w:abstractNumId="2" w15:restartNumberingAfterBreak="0">
    <w:nsid w:val="64043389"/>
    <w:multiLevelType w:val="hybridMultilevel"/>
    <w:tmpl w:val="0EB809E0"/>
    <w:lvl w:ilvl="0" w:tplc="522CCDD6">
      <w:start w:val="1"/>
      <w:numFmt w:val="decimal"/>
      <w:lvlText w:val="%1."/>
      <w:lvlJc w:val="left"/>
      <w:pPr>
        <w:ind w:left="327"/>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1" w:tplc="2E1EBC12">
      <w:start w:val="1"/>
      <w:numFmt w:val="lowerLetter"/>
      <w:lvlText w:val="%2"/>
      <w:lvlJc w:val="left"/>
      <w:pPr>
        <w:ind w:left="115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2" w:tplc="B490A7C0">
      <w:start w:val="1"/>
      <w:numFmt w:val="lowerRoman"/>
      <w:lvlText w:val="%3"/>
      <w:lvlJc w:val="left"/>
      <w:pPr>
        <w:ind w:left="187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3" w:tplc="1E9A687C">
      <w:start w:val="1"/>
      <w:numFmt w:val="decimal"/>
      <w:lvlText w:val="%4"/>
      <w:lvlJc w:val="left"/>
      <w:pPr>
        <w:ind w:left="259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4" w:tplc="EC4A5708">
      <w:start w:val="1"/>
      <w:numFmt w:val="lowerLetter"/>
      <w:lvlText w:val="%5"/>
      <w:lvlJc w:val="left"/>
      <w:pPr>
        <w:ind w:left="331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5" w:tplc="472CF1FE">
      <w:start w:val="1"/>
      <w:numFmt w:val="lowerRoman"/>
      <w:lvlText w:val="%6"/>
      <w:lvlJc w:val="left"/>
      <w:pPr>
        <w:ind w:left="403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6" w:tplc="44FE4F2A">
      <w:start w:val="1"/>
      <w:numFmt w:val="decimal"/>
      <w:lvlText w:val="%7"/>
      <w:lvlJc w:val="left"/>
      <w:pPr>
        <w:ind w:left="475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7" w:tplc="5F00002C">
      <w:start w:val="1"/>
      <w:numFmt w:val="lowerLetter"/>
      <w:lvlText w:val="%8"/>
      <w:lvlJc w:val="left"/>
      <w:pPr>
        <w:ind w:left="547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8" w:tplc="0076FFD4">
      <w:start w:val="1"/>
      <w:numFmt w:val="lowerRoman"/>
      <w:lvlText w:val="%9"/>
      <w:lvlJc w:val="left"/>
      <w:pPr>
        <w:ind w:left="619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abstractNum>
  <w:num w:numId="1" w16cid:durableId="288977542">
    <w:abstractNumId w:val="2"/>
  </w:num>
  <w:num w:numId="2" w16cid:durableId="875854979">
    <w:abstractNumId w:val="1"/>
  </w:num>
  <w:num w:numId="3" w16cid:durableId="4054186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A1D"/>
    <w:rsid w:val="00445A1D"/>
    <w:rsid w:val="007D7BA7"/>
    <w:rsid w:val="00E561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C9512A"/>
  <w15:docId w15:val="{96972AE1-2D9D-4DD1-B63F-083E8A958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4" w:line="265" w:lineRule="auto"/>
      <w:ind w:firstLine="3"/>
    </w:pPr>
    <w:rPr>
      <w:rFonts w:ascii="Aptos" w:eastAsia="Calibri" w:hAnsi="Aptos" w:cs="Calibri"/>
      <w:color w:val="494949"/>
      <w:sz w:val="20"/>
    </w:rPr>
  </w:style>
  <w:style w:type="paragraph" w:styleId="Heading1">
    <w:name w:val="heading 1"/>
    <w:next w:val="Normal"/>
    <w:link w:val="Heading1Char"/>
    <w:uiPriority w:val="9"/>
    <w:qFormat/>
    <w:pPr>
      <w:keepNext/>
      <w:keepLines/>
      <w:spacing w:after="163" w:line="259" w:lineRule="auto"/>
      <w:ind w:left="10" w:hanging="10"/>
      <w:outlineLvl w:val="0"/>
    </w:pPr>
    <w:rPr>
      <w:rFonts w:ascii="Aptos Display" w:eastAsia="Calibri" w:hAnsi="Aptos Display" w:cs="Calibri"/>
      <w:color w:val="0B2545"/>
      <w:sz w:val="23"/>
    </w:rPr>
  </w:style>
  <w:style w:type="paragraph" w:styleId="Heading2">
    <w:name w:val="heading 2"/>
    <w:next w:val="Normal"/>
    <w:link w:val="Heading2Char"/>
    <w:uiPriority w:val="9"/>
    <w:unhideWhenUsed/>
    <w:qFormat/>
    <w:pPr>
      <w:keepNext/>
      <w:keepLines/>
      <w:spacing w:after="130" w:line="259" w:lineRule="auto"/>
      <w:ind w:left="10" w:hanging="10"/>
      <w:outlineLvl w:val="1"/>
    </w:pPr>
    <w:rPr>
      <w:rFonts w:ascii="Aptos Display" w:eastAsia="Calibri" w:hAnsi="Aptos Display" w:cs="Calibri"/>
      <w:color w:val="0B254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333333"/>
      <w:sz w:val="22"/>
    </w:rPr>
  </w:style>
  <w:style w:type="character" w:customStyle="1" w:styleId="Heading1Char">
    <w:name w:val="Heading 1 Char"/>
    <w:link w:val="Heading1"/>
    <w:rPr>
      <w:rFonts w:ascii="Calibri" w:eastAsia="Calibri" w:hAnsi="Calibri" w:cs="Calibri"/>
      <w:color w:val="333333"/>
      <w:sz w:val="23"/>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naic.org/"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propublica.org/series/after-the-flood" TargetMode="External"/><Relationship Id="rId12" Type="http://schemas.openxmlformats.org/officeDocument/2006/relationships/hyperlink" Target="https://etherisc.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propublica.org/series/after-the-flood" TargetMode="External"/><Relationship Id="rId11" Type="http://schemas.openxmlformats.org/officeDocument/2006/relationships/hyperlink" Target="https://www.arbol.io/" TargetMode="External"/><Relationship Id="rId5" Type="http://schemas.openxmlformats.org/officeDocument/2006/relationships/hyperlink" Target="https://www.propublica.org/series/after-the-flood" TargetMode="External"/><Relationship Id="rId10" Type="http://schemas.openxmlformats.org/officeDocument/2006/relationships/hyperlink" Target="https://www.naic.org/" TargetMode="External"/><Relationship Id="rId4" Type="http://schemas.openxmlformats.org/officeDocument/2006/relationships/webSettings" Target="webSettings.xml"/><Relationship Id="rId9" Type="http://schemas.openxmlformats.org/officeDocument/2006/relationships/hyperlink" Target="https://www.naic.org/"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2444</Words>
  <Characters>14496</Characters>
  <Application>Microsoft Office Word</Application>
  <DocSecurity>4</DocSecurity>
  <Lines>467</Lines>
  <Paragraphs>434</Paragraphs>
  <ScaleCrop>false</ScaleCrop>
  <Company/>
  <LinksUpToDate>false</LinksUpToDate>
  <CharactersWithSpaces>16506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Veristake Whitepaper v2.0</dc:title>
  <dc:subject>Insurance claims, verified by economics</dc:subject>
  <dc:creator>Oscar Li, Sam Wang</dc:creator>
  <cp:keywords>Veristake, insurance, claims, verification, health, auto, Base Sepolia</cp:keywords>
  <cp:lastModifiedBy>Yinghai Li</cp:lastModifiedBy>
  <cp:revision>2</cp:revision>
  <dcterms:created xsi:type="dcterms:W3CDTF">2026-05-18T23:39:00Z</dcterms:created>
  <dcterms:modified xsi:type="dcterms:W3CDTF">2026-05-18T23:39:00Z</dcterms:modified>
  <dc:description>Revised to match the Phase 2 final product.</dc:description>
</cp:coreProperties>
</file>