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jc w:val="center"/>
      </w:pPr>
      <w:r>
        <w:rPr>
          <w:b/>
          <w:color w:val="0B2545"/>
          <w:sz w:val="64"/>
        </w:rPr>
        <w:t>Veristake</w:t>
      </w:r>
    </w:p>
    <w:p>
      <w:pPr>
        <w:spacing w:after="80"/>
        <w:jc w:val="center"/>
      </w:pPr>
      <w:r>
        <w:rPr>
          <w:i/>
          <w:color w:val="475569"/>
          <w:sz w:val="30"/>
        </w:rPr>
        <w:t>Insurance claims, verified by economics.</w:t>
      </w:r>
    </w:p>
    <w:p>
      <w:pPr>
        <w:jc w:val="center"/>
      </w:pPr>
      <w:r>
        <w:rPr>
          <w:b/>
          <w:color w:val="0B2545"/>
          <w:sz w:val="24"/>
        </w:rPr>
        <w:t>Whitepaper v2.0 — Product Revision</w:t>
      </w:r>
    </w:p>
    <w:p>
      <w:pPr>
        <w:jc w:val="center"/>
      </w:pPr>
      <w:r>
        <w:t>Author: Oscar Li</w:t>
        <w:br/>
        <w:t>Updated: May 19, 2026</w:t>
        <w:br/>
        <w:t>Live demo: https://veristake-demo.vercel.app</w:t>
      </w:r>
    </w:p>
    <w:tbl>
      <w:tblPr>
        <w:tblW w:type="auto" w:w="0"/>
        <w:jc w:val="center"/>
        <w:tblLook w:firstColumn="1" w:firstRow="1" w:lastColumn="0" w:lastRow="0" w:noHBand="0" w:noVBand="1" w:val="04A0"/>
      </w:tblPr>
      <w:tblGrid>
        <w:gridCol w:w="9792"/>
      </w:tblGrid>
      <w:tr>
        <w:trPr>
          <w:tblHeader w:val="true"/>
        </w:trPr>
        <w:tc>
          <w:tcPr>
            <w:tcW w:type="dxa" w:w="9792"/>
            <w:shd w:fill="EAF2FF"/>
          </w:tcPr>
          <w:p>
            <w:pPr>
              <w:spacing w:after="120"/>
            </w:pPr>
            <w:r>
              <w:rPr>
                <w:b/>
                <w:color w:val="0B2545"/>
                <w:sz w:val="24"/>
              </w:rPr>
              <w:t>Investor TLDR</w:t>
            </w:r>
          </w:p>
          <w:p>
            <w:pPr>
              <w:spacing w:after="80"/>
            </w:pPr>
            <w:r>
              <w:rPr>
                <w:color w:val="1F2937"/>
                <w:sz w:val="21"/>
              </w:rPr>
              <w:t>Veristake is the verification layer for disputed insurance claims. Health and auto carriers keep underwriting authority and reserves, while Veristake routes contested claim packets to credentialed verifiers who stake capital, build reputation, and can be penalized for reckless decisions.</w:t>
            </w:r>
          </w:p>
          <w:p>
            <w:pPr>
              <w:spacing w:after="80"/>
            </w:pPr>
            <w:r>
              <w:rPr>
                <w:color w:val="1F2937"/>
                <w:sz w:val="21"/>
              </w:rPr>
              <w:t>The result is faster, auditable, bias-resistant claim resolution without making Veristake an insurer.</w:t>
            </w:r>
          </w:p>
        </w:tc>
      </w:tr>
    </w:tbl>
    <w:p/>
    <w:p>
      <w:r>
        <w:br w:type="page"/>
      </w:r>
    </w:p>
    <w:p>
      <w:pPr>
        <w:pStyle w:val="Heading1"/>
      </w:pPr>
      <w:r>
        <w:rPr>
          <w:color w:val="0B2545"/>
          <w:sz w:val="36"/>
        </w:rPr>
        <w:t>Executive Summary</w:t>
      </w:r>
    </w:p>
    <w:p>
      <w:pPr>
        <w:spacing w:after="140" w:line="259" w:lineRule="auto"/>
      </w:pPr>
      <w:r>
        <w:t>Veristake is a disputed-claim verification protocol layer for licensed health and auto carriers. The commercial wedge is carrier-routed second-look review: denied appeals, delayed payouts, complex evidence packets, suspected fraud, and other high-friction claims that need outside adjudication capacity, bias-resistant review, and an auditable trail without handing underwriting authority to a crypto-native insurance product.</w:t>
      </w:r>
    </w:p>
    <w:p>
      <w:pPr>
        <w:spacing w:after="140" w:line="259" w:lineRule="auto"/>
      </w:pPr>
      <w:r>
        <w:t>The final Phase 2 product now demonstrates this end-to-end: a public landing page for non-crypto insurance executives, a live Base Sepolia dashboard reading production-grade testnet contracts, and a no-wallet demo surface showing three views of one carrier workflow: carrier onboarding, dispute intake, and verifier review.</w:t>
      </w:r>
    </w:p>
    <w:p>
      <w:pPr>
        <w:spacing w:after="140" w:line="259" w:lineRule="auto"/>
      </w:pPr>
      <w:r>
        <w:t>The core mechanism is simple. Credentialed verifiers put VST at risk, review structured claim packets, commit and reveal votes, and build a reputation history. Accurate review is rewarded; provably wrong or reckless review can be slashed. But Veristake is not raw majority rule: verifier influence should reflect credential scope, historical accuracy, reputation, stake, and case fit, with appeal and arbiter correction for hard cases.</w:t>
      </w:r>
    </w:p>
    <w:p>
      <w:pPr>
        <w:spacing w:after="60" w:line="252" w:lineRule="auto"/>
        <w:ind w:left="346" w:hanging="202"/>
      </w:pPr>
      <w:r>
        <w:rPr>
          <w:color w:val="2563EB"/>
        </w:rPr>
        <w:t xml:space="preserve">• </w:t>
      </w:r>
      <w:r>
        <w:t>Health and auto are the only launch domains in the current product.</w:t>
      </w:r>
    </w:p>
    <w:p>
      <w:pPr/>
      <w:r>
        <w:t>• Veristake is not intended to process every routine claim or operate as a consumer claims service; the wedge is carrier-routed, high-friction, or fraud-sensitive claims where external review has high value density.</w:t>
      </w:r>
    </w:p>
    <w:p>
      <w:pPr>
        <w:spacing w:after="60" w:line="252" w:lineRule="auto"/>
        <w:ind w:left="346" w:hanging="202"/>
      </w:pPr>
      <w:r>
        <w:rPr>
          <w:color w:val="2563EB"/>
        </w:rPr>
        <w:t xml:space="preserve">• </w:t>
      </w:r>
      <w:r>
        <w:t>The dashboard reads the production-grade Base Sepolia deployment; visitors do not write to it.</w:t>
      </w:r>
    </w:p>
    <w:p>
      <w:pPr>
        <w:spacing w:after="60" w:line="252" w:lineRule="auto"/>
        <w:ind w:left="346" w:hanging="202"/>
      </w:pPr>
      <w:r>
        <w:rPr>
          <w:color w:val="2563EB"/>
        </w:rPr>
        <w:t xml:space="preserve">• </w:t>
      </w:r>
      <w:r>
        <w:t>Demo writes are intended for a Tenderly Base Sepolia virtual testnet with compressed timing and backend-controlled verifier wallets.</w:t>
      </w:r>
    </w:p>
    <w:p>
      <w:pPr>
        <w:spacing w:after="60" w:line="252" w:lineRule="auto"/>
        <w:ind w:left="346" w:hanging="202"/>
      </w:pPr>
      <w:r>
        <w:rPr>
          <w:color w:val="2563EB"/>
        </w:rPr>
        <w:t xml:space="preserve">• </w:t>
      </w:r>
      <w:r>
        <w:t>No personally identifiable claim evidence belongs on-chain; on-chain data is metadata, state, stake, votes, reputation, reserve, and payout movement.</w:t>
      </w:r>
    </w:p>
    <w:p>
      <w:pPr>
        <w:pStyle w:val="Heading1"/>
      </w:pPr>
      <w:r>
        <w:rPr>
          <w:color w:val="0B2545"/>
          <w:sz w:val="36"/>
        </w:rPr>
        <w:t>1. The Problem</w:t>
      </w:r>
    </w:p>
    <w:p>
      <w:pPr>
        <w:pStyle w:val="Heading2"/>
      </w:pPr>
      <w:r>
        <w:rPr>
          <w:color w:val="0B2545"/>
          <w:sz w:val="26"/>
        </w:rPr>
        <w:t>1.1 Denials Are Not a Marginal Edge Case</w:t>
      </w:r>
    </w:p>
    <w:p>
      <w:pPr>
        <w:spacing w:after="140" w:line="259" w:lineRule="auto"/>
      </w:pPr>
      <w:r>
        <w:t>Insurance executives already know the operational tension: claims teams must control fraud and leakage, yet policyholders and regulators punish opaque denials. Veristake focuses on this tension instead of trying to become a carrier.</w:t>
      </w:r>
    </w:p>
    <w:tbl>
      <w:tblPr>
        <w:tblW w:type="auto" w:w="0"/>
        <w:jc w:val="center"/>
        <w:tblLook w:firstColumn="1" w:firstRow="1" w:lastColumn="0" w:lastRow="0" w:noHBand="0" w:noVBand="1" w:val="04A0"/>
      </w:tblPr>
      <w:tblGrid>
        <w:gridCol w:w="3264"/>
        <w:gridCol w:w="3264"/>
        <w:gridCol w:w="3264"/>
      </w:tblGrid>
      <w:tr>
        <w:trPr>
          <w:tblHeader w:val="true"/>
        </w:trPr>
        <w:tc>
          <w:tcPr>
            <w:tcW w:type="dxa" w:w="1440"/>
            <w:vAlign w:val="center"/>
            <w:shd w:fill="EAF2FF"/>
          </w:tcPr>
          <w:p>
            <w:pPr>
              <w:spacing w:after="0"/>
            </w:pPr>
            <w:r/>
            <w:r>
              <w:rPr>
                <w:b/>
                <w:color w:val="0B2545"/>
                <w:sz w:val="18"/>
              </w:rPr>
              <w:t>Statistic</w:t>
            </w:r>
          </w:p>
        </w:tc>
        <w:tc>
          <w:tcPr>
            <w:tcW w:type="dxa" w:w="4320"/>
            <w:vAlign w:val="center"/>
            <w:shd w:fill="EAF2FF"/>
          </w:tcPr>
          <w:p>
            <w:pPr>
              <w:spacing w:after="0"/>
            </w:pPr>
            <w:r/>
            <w:r>
              <w:rPr>
                <w:b/>
                <w:color w:val="0B2545"/>
                <w:sz w:val="18"/>
              </w:rPr>
              <w:t>Why it matters</w:t>
            </w:r>
          </w:p>
        </w:tc>
        <w:tc>
          <w:tcPr>
            <w:tcW w:type="dxa" w:w="3744"/>
            <w:vAlign w:val="center"/>
            <w:shd w:fill="EAF2FF"/>
          </w:tcPr>
          <w:p>
            <w:pPr>
              <w:spacing w:after="0"/>
            </w:pPr>
            <w:r/>
            <w:r>
              <w:rPr>
                <w:b/>
                <w:color w:val="0B2545"/>
                <w:sz w:val="18"/>
              </w:rPr>
              <w:t>Source used in product</w:t>
            </w:r>
          </w:p>
        </w:tc>
      </w:tr>
      <w:tr>
        <w:tc>
          <w:tcPr>
            <w:tcW w:type="dxa" w:w="1440"/>
            <w:vAlign w:val="center"/>
          </w:tcPr>
          <w:p>
            <w:pPr>
              <w:spacing w:after="0"/>
            </w:pPr>
            <w:r/>
            <w:r>
              <w:rPr>
                <w:b/>
                <w:color w:val="2563EB"/>
                <w:sz w:val="18"/>
              </w:rPr>
              <w:t>80.7%</w:t>
            </w:r>
          </w:p>
        </w:tc>
        <w:tc>
          <w:tcPr>
            <w:tcW w:type="dxa" w:w="4320"/>
            <w:vAlign w:val="center"/>
          </w:tcPr>
          <w:p>
            <w:pPr>
              <w:spacing w:after="0"/>
            </w:pPr>
            <w:r/>
            <w:r>
              <w:rPr>
                <w:b w:val="0"/>
                <w:sz w:val="18"/>
              </w:rPr>
              <w:t>Medicare Advantage prior-authorization denials overturned on appeal in 2024.</w:t>
            </w:r>
          </w:p>
        </w:tc>
        <w:tc>
          <w:tcPr>
            <w:tcW w:type="dxa" w:w="3744"/>
            <w:vAlign w:val="center"/>
          </w:tcPr>
          <w:p>
            <w:pPr>
              <w:spacing w:after="0"/>
            </w:pPr>
            <w:r/>
            <w:r>
              <w:rPr>
                <w:b w:val="0"/>
                <w:sz w:val="18"/>
              </w:rPr>
              <w:t>KFF, Medicare Advantage prior authorization determinations in 2024.</w:t>
            </w:r>
          </w:p>
        </w:tc>
      </w:tr>
      <w:tr>
        <w:tc>
          <w:tcPr>
            <w:tcW w:type="dxa" w:w="1440"/>
            <w:vAlign w:val="center"/>
          </w:tcPr>
          <w:p>
            <w:pPr>
              <w:spacing w:after="0"/>
            </w:pPr>
            <w:r/>
            <w:r>
              <w:rPr>
                <w:b/>
                <w:color w:val="2563EB"/>
                <w:sz w:val="18"/>
              </w:rPr>
              <w:t>19%</w:t>
            </w:r>
          </w:p>
        </w:tc>
        <w:tc>
          <w:tcPr>
            <w:tcW w:type="dxa" w:w="4320"/>
            <w:vAlign w:val="center"/>
          </w:tcPr>
          <w:p>
            <w:pPr>
              <w:spacing w:after="0"/>
            </w:pPr>
            <w:r/>
            <w:r>
              <w:rPr>
                <w:b w:val="0"/>
                <w:sz w:val="18"/>
              </w:rPr>
              <w:t>In-network ACA marketplace health claims denied in 2024.</w:t>
            </w:r>
          </w:p>
        </w:tc>
        <w:tc>
          <w:tcPr>
            <w:tcW w:type="dxa" w:w="3744"/>
            <w:vAlign w:val="center"/>
          </w:tcPr>
          <w:p>
            <w:pPr>
              <w:spacing w:after="0"/>
            </w:pPr>
            <w:r/>
            <w:r>
              <w:rPr>
                <w:b w:val="0"/>
                <w:sz w:val="18"/>
              </w:rPr>
              <w:t>KFF, Claims Denials and Appeals in ACA Marketplace Plans in 2024.</w:t>
            </w:r>
          </w:p>
        </w:tc>
      </w:tr>
      <w:tr>
        <w:tc>
          <w:tcPr>
            <w:tcW w:type="dxa" w:w="1440"/>
            <w:vAlign w:val="center"/>
          </w:tcPr>
          <w:p>
            <w:pPr>
              <w:spacing w:after="0"/>
            </w:pPr>
            <w:r/>
            <w:r>
              <w:rPr>
                <w:b/>
                <w:color w:val="2563EB"/>
                <w:sz w:val="18"/>
              </w:rPr>
              <w:t>37%</w:t>
            </w:r>
          </w:p>
        </w:tc>
        <w:tc>
          <w:tcPr>
            <w:tcW w:type="dxa" w:w="4320"/>
            <w:vAlign w:val="center"/>
          </w:tcPr>
          <w:p>
            <w:pPr>
              <w:spacing w:after="0"/>
            </w:pPr>
            <w:r/>
            <w:r>
              <w:rPr>
                <w:b w:val="0"/>
                <w:sz w:val="18"/>
              </w:rPr>
              <w:t>Out-of-network ACA marketplace health claims denied in 2024.</w:t>
            </w:r>
          </w:p>
        </w:tc>
        <w:tc>
          <w:tcPr>
            <w:tcW w:type="dxa" w:w="3744"/>
            <w:vAlign w:val="center"/>
          </w:tcPr>
          <w:p>
            <w:pPr>
              <w:spacing w:after="0"/>
            </w:pPr>
            <w:r/>
            <w:r>
              <w:rPr>
                <w:b w:val="0"/>
                <w:sz w:val="18"/>
              </w:rPr>
              <w:t>KFF, same source.</w:t>
            </w:r>
          </w:p>
        </w:tc>
      </w:tr>
      <w:tr>
        <w:tc>
          <w:tcPr>
            <w:tcW w:type="dxa" w:w="1440"/>
            <w:vAlign w:val="center"/>
          </w:tcPr>
          <w:p>
            <w:pPr>
              <w:spacing w:after="0"/>
            </w:pPr>
            <w:r/>
            <w:r>
              <w:rPr>
                <w:b/>
                <w:color w:val="2563EB"/>
                <w:sz w:val="18"/>
              </w:rPr>
              <w:t>34%</w:t>
            </w:r>
          </w:p>
        </w:tc>
        <w:tc>
          <w:tcPr>
            <w:tcW w:type="dxa" w:w="4320"/>
            <w:vAlign w:val="center"/>
          </w:tcPr>
          <w:p>
            <w:pPr>
              <w:spacing w:after="0"/>
            </w:pPr>
            <w:r/>
            <w:r>
              <w:rPr>
                <w:b w:val="0"/>
                <w:sz w:val="18"/>
              </w:rPr>
              <w:t>ACA marketplace denial appeals reversed by insurers in 2024.</w:t>
            </w:r>
          </w:p>
        </w:tc>
        <w:tc>
          <w:tcPr>
            <w:tcW w:type="dxa" w:w="3744"/>
            <w:vAlign w:val="center"/>
          </w:tcPr>
          <w:p>
            <w:pPr>
              <w:spacing w:after="0"/>
            </w:pPr>
            <w:r/>
            <w:r>
              <w:rPr>
                <w:b w:val="0"/>
                <w:sz w:val="18"/>
              </w:rPr>
              <w:t>KFF, same source.</w:t>
            </w:r>
          </w:p>
        </w:tc>
      </w:tr>
      <w:tr>
        <w:tc>
          <w:tcPr>
            <w:tcW w:type="dxa" w:w="1440"/>
            <w:vAlign w:val="center"/>
          </w:tcPr>
          <w:p>
            <w:pPr>
              <w:spacing w:after="0"/>
            </w:pPr>
            <w:r/>
            <w:r>
              <w:rPr>
                <w:b/>
                <w:color w:val="2563EB"/>
                <w:sz w:val="18"/>
              </w:rPr>
              <w:t>Less than 1%</w:t>
            </w:r>
          </w:p>
        </w:tc>
        <w:tc>
          <w:tcPr>
            <w:tcW w:type="dxa" w:w="4320"/>
            <w:vAlign w:val="center"/>
          </w:tcPr>
          <w:p>
            <w:pPr>
              <w:spacing w:after="0"/>
            </w:pPr>
            <w:r/>
            <w:r>
              <w:rPr>
                <w:b w:val="0"/>
                <w:sz w:val="18"/>
              </w:rPr>
              <w:t>Denied ACA marketplace claims that patients formally appealed in 2024.</w:t>
            </w:r>
          </w:p>
        </w:tc>
        <w:tc>
          <w:tcPr>
            <w:tcW w:type="dxa" w:w="3744"/>
            <w:vAlign w:val="center"/>
          </w:tcPr>
          <w:p>
            <w:pPr>
              <w:spacing w:after="0"/>
            </w:pPr>
            <w:r/>
            <w:r>
              <w:rPr>
                <w:b w:val="0"/>
                <w:sz w:val="18"/>
              </w:rPr>
              <w:t>KFF, same source.</w:t>
            </w:r>
          </w:p>
        </w:tc>
      </w:tr>
      <w:tr>
        <w:tc>
          <w:tcPr>
            <w:tcW w:type="dxa" w:w="1440"/>
            <w:vAlign w:val="center"/>
          </w:tcPr>
          <w:p>
            <w:pPr>
              <w:spacing w:after="0"/>
            </w:pPr>
            <w:r/>
            <w:r>
              <w:rPr>
                <w:b/>
                <w:color w:val="2563EB"/>
                <w:sz w:val="18"/>
              </w:rPr>
              <w:t>65.2%</w:t>
            </w:r>
          </w:p>
        </w:tc>
        <w:tc>
          <w:tcPr>
            <w:tcW w:type="dxa" w:w="4320"/>
            <w:vAlign w:val="center"/>
          </w:tcPr>
          <w:p>
            <w:pPr>
              <w:spacing w:after="0"/>
            </w:pPr>
            <w:r/>
            <w:r>
              <w:rPr>
                <w:b w:val="0"/>
                <w:sz w:val="18"/>
              </w:rPr>
              <w:t>Closed insurance complaints involving claim handling in 2024.</w:t>
            </w:r>
          </w:p>
        </w:tc>
        <w:tc>
          <w:tcPr>
            <w:tcW w:type="dxa" w:w="3744"/>
            <w:vAlign w:val="center"/>
          </w:tcPr>
          <w:p>
            <w:pPr>
              <w:spacing w:after="0"/>
            </w:pPr>
            <w:r/>
            <w:r>
              <w:rPr>
                <w:b w:val="0"/>
                <w:sz w:val="18"/>
              </w:rPr>
              <w:t>NAIC Consumer Information Source data, summarized by ValuePenguin.</w:t>
            </w:r>
          </w:p>
        </w:tc>
      </w:tr>
      <w:tr>
        <w:tc>
          <w:tcPr>
            <w:tcW w:type="dxa" w:w="1440"/>
            <w:vAlign w:val="center"/>
          </w:tcPr>
          <w:p>
            <w:pPr>
              <w:spacing w:after="0"/>
            </w:pPr>
            <w:r/>
            <w:r>
              <w:rPr>
                <w:b/>
                <w:color w:val="2563EB"/>
                <w:sz w:val="18"/>
              </w:rPr>
              <w:t>+31.6%</w:t>
            </w:r>
          </w:p>
        </w:tc>
        <w:tc>
          <w:tcPr>
            <w:tcW w:type="dxa" w:w="4320"/>
            <w:vAlign w:val="center"/>
          </w:tcPr>
          <w:p>
            <w:pPr>
              <w:spacing w:after="0"/>
            </w:pPr>
            <w:r/>
            <w:r>
              <w:rPr>
                <w:b w:val="0"/>
                <w:sz w:val="18"/>
              </w:rPr>
              <w:t>Auto insurance complaint growth from 2021 to 2024.</w:t>
            </w:r>
          </w:p>
        </w:tc>
        <w:tc>
          <w:tcPr>
            <w:tcW w:type="dxa" w:w="3744"/>
            <w:vAlign w:val="center"/>
          </w:tcPr>
          <w:p>
            <w:pPr>
              <w:spacing w:after="0"/>
            </w:pPr>
            <w:r/>
            <w:r>
              <w:rPr>
                <w:b w:val="0"/>
                <w:sz w:val="18"/>
              </w:rPr>
              <w:t>NAIC Consumer Information Source data, summarized by ValuePenguin.</w:t>
            </w:r>
          </w:p>
        </w:tc>
      </w:tr>
      <w:tr>
        <w:tc>
          <w:tcPr>
            <w:tcW w:type="dxa" w:w="1440"/>
            <w:vAlign w:val="center"/>
          </w:tcPr>
          <w:p>
            <w:pPr>
              <w:spacing w:after="0"/>
            </w:pPr>
            <w:r/>
            <w:r>
              <w:rPr>
                <w:b/>
                <w:color w:val="2563EB"/>
                <w:sz w:val="18"/>
              </w:rPr>
              <w:t>29,734</w:t>
            </w:r>
          </w:p>
        </w:tc>
        <w:tc>
          <w:tcPr>
            <w:tcW w:type="dxa" w:w="4320"/>
            <w:vAlign w:val="center"/>
          </w:tcPr>
          <w:p>
            <w:pPr>
              <w:spacing w:after="0"/>
            </w:pPr>
            <w:r/>
            <w:r>
              <w:rPr>
                <w:b w:val="0"/>
                <w:sz w:val="18"/>
              </w:rPr>
              <w:t>Auto insurance complaints in 2024.</w:t>
            </w:r>
          </w:p>
        </w:tc>
        <w:tc>
          <w:tcPr>
            <w:tcW w:type="dxa" w:w="3744"/>
            <w:vAlign w:val="center"/>
          </w:tcPr>
          <w:p>
            <w:pPr>
              <w:spacing w:after="0"/>
            </w:pPr>
            <w:r/>
            <w:r>
              <w:rPr>
                <w:b w:val="0"/>
                <w:sz w:val="18"/>
              </w:rPr>
              <w:t>NAIC Consumer Information Source data, summarized by ValuePenguin.</w:t>
            </w:r>
          </w:p>
        </w:tc>
      </w:tr>
    </w:tbl>
    <w:p/>
    <w:p>
      <w:pPr>
        <w:pStyle w:val="Heading2"/>
      </w:pPr>
      <w:r>
        <w:rPr>
          <w:color w:val="0B2545"/>
          <w:sz w:val="26"/>
        </w:rPr>
        <w:t>1.2 The Incentive Conflict</w:t>
      </w:r>
    </w:p>
    <w:p>
      <w:pPr>
        <w:spacing w:after="140" w:line="259" w:lineRule="auto"/>
      </w:pPr>
      <w:r>
        <w:t>Traditional claim handling is centralized inside the carrier or its vendors. That makes sense legally, but it creates a credibility problem: the same institution that funds the reserve often controls the first denial, the first appeal path, and the evidence record. Automation alone does not solve this. A faster denial is not a fairer denial.</w:t>
      </w:r>
    </w:p>
    <w:p>
      <w:pPr>
        <w:spacing w:after="140" w:line="259" w:lineRule="auto"/>
      </w:pPr>
      <w:r>
        <w:t>The product thesis is that the missing layer is not another AI adjuster. It is economic accountability around human and specialist review: outside verifiers must have something to lose when they ignore evidence, and something to gain when they correctly challenge consensus.</w:t>
      </w:r>
    </w:p>
    <w:p>
      <w:pPr>
        <w:pStyle w:val="Heading1"/>
      </w:pPr>
      <w:r>
        <w:rPr>
          <w:color w:val="0B2545"/>
          <w:sz w:val="36"/>
        </w:rPr>
        <w:t>2. What Veristake Is</w:t>
      </w:r>
    </w:p>
    <w:tbl>
      <w:tblPr>
        <w:tblW w:type="auto" w:w="0"/>
        <w:jc w:val="center"/>
        <w:tblLook w:firstColumn="1" w:firstRow="1" w:lastColumn="0" w:lastRow="0" w:noHBand="0" w:noVBand="1" w:val="04A0"/>
      </w:tblPr>
      <w:tblGrid>
        <w:gridCol w:w="4896"/>
        <w:gridCol w:w="4896"/>
      </w:tblGrid>
      <w:tr>
        <w:trPr>
          <w:tblHeader w:val="true"/>
        </w:trPr>
        <w:tc>
          <w:tcPr>
            <w:tcW w:type="dxa" w:w="2736"/>
            <w:vAlign w:val="center"/>
            <w:shd w:fill="F1F5F9"/>
          </w:tcPr>
          <w:p>
            <w:pPr>
              <w:spacing w:after="0"/>
            </w:pPr>
            <w:r/>
            <w:r>
              <w:rPr>
                <w:b/>
                <w:color w:val="0B2545"/>
                <w:sz w:val="18"/>
              </w:rPr>
              <w:t>Item</w:t>
            </w:r>
          </w:p>
        </w:tc>
        <w:tc>
          <w:tcPr>
            <w:tcW w:type="dxa" w:w="6768"/>
            <w:vAlign w:val="center"/>
            <w:shd w:fill="F1F5F9"/>
          </w:tcPr>
          <w:p>
            <w:pPr>
              <w:spacing w:after="0"/>
            </w:pPr>
            <w:r/>
            <w:r>
              <w:rPr>
                <w:b/>
                <w:color w:val="0B2545"/>
                <w:sz w:val="18"/>
              </w:rPr>
              <w:t>Current product position</w:t>
            </w:r>
          </w:p>
        </w:tc>
      </w:tr>
      <w:tr>
        <w:tc>
          <w:tcPr>
            <w:tcW w:type="dxa" w:w="2736"/>
            <w:vAlign w:val="center"/>
          </w:tcPr>
          <w:p>
            <w:pPr>
              <w:spacing w:after="0"/>
            </w:pPr>
            <w:r/>
            <w:r>
              <w:rPr>
                <w:b/>
                <w:color w:val="0B2545"/>
                <w:sz w:val="18"/>
              </w:rPr>
              <w:t>Category</w:t>
            </w:r>
          </w:p>
        </w:tc>
        <w:tc>
          <w:tcPr>
            <w:tcW w:type="dxa" w:w="6768"/>
            <w:vAlign w:val="center"/>
          </w:tcPr>
          <w:p>
            <w:pPr>
              <w:spacing w:after="0"/>
            </w:pPr>
            <w:r/>
            <w:r>
              <w:rPr>
                <w:b w:val="0"/>
                <w:sz w:val="18"/>
              </w:rPr>
              <w:t>Verification protocol layer for licensed insurance carriers.</w:t>
            </w:r>
          </w:p>
        </w:tc>
      </w:tr>
      <w:tr>
        <w:tc>
          <w:tcPr>
            <w:tcW w:type="dxa" w:w="2736"/>
            <w:vAlign w:val="center"/>
          </w:tcPr>
          <w:p>
            <w:pPr>
              <w:spacing w:after="0"/>
            </w:pPr>
            <w:r/>
            <w:r>
              <w:rPr>
                <w:b/>
                <w:color w:val="0B2545"/>
                <w:sz w:val="18"/>
              </w:rPr>
              <w:t>Launch domains</w:t>
            </w:r>
          </w:p>
        </w:tc>
        <w:tc>
          <w:tcPr>
            <w:tcW w:type="dxa" w:w="6768"/>
            <w:vAlign w:val="center"/>
          </w:tcPr>
          <w:p>
            <w:pPr>
              <w:spacing w:after="0"/>
            </w:pPr>
            <w:r/>
            <w:r>
              <w:rPr>
                <w:b w:val="0"/>
                <w:sz w:val="18"/>
              </w:rPr>
              <w:t>Health and auto only. Property, cyber, and other markets are intentionally out of scope for this phase.</w:t>
            </w:r>
          </w:p>
        </w:tc>
      </w:tr>
      <w:tr>
        <w:tc>
          <w:tcPr>
            <w:tcW w:type="dxa" w:w="2736"/>
            <w:vAlign w:val="center"/>
          </w:tcPr>
          <w:p>
            <w:pPr>
              <w:spacing w:after="0"/>
            </w:pPr>
            <w:r/>
            <w:r>
              <w:rPr>
                <w:b/>
                <w:color w:val="0B2545"/>
                <w:sz w:val="18"/>
              </w:rPr>
              <w:t>Buyer</w:t>
            </w:r>
          </w:p>
        </w:tc>
        <w:tc>
          <w:tcPr>
            <w:tcW w:type="dxa" w:w="6768"/>
            <w:vAlign w:val="center"/>
          </w:tcPr>
          <w:p>
            <w:pPr>
              <w:spacing w:after="0"/>
            </w:pPr>
            <w:r/>
            <w:r>
              <w:rPr>
                <w:b w:val="0"/>
                <w:sz w:val="18"/>
              </w:rPr>
              <w:t>US health carriers, US auto carriers, brokers, reinsurers, and insurtech product leads.</w:t>
            </w:r>
          </w:p>
        </w:tc>
      </w:tr>
      <w:tr>
        <w:tc>
          <w:tcPr>
            <w:tcW w:type="dxa" w:w="2736"/>
            <w:vAlign w:val="center"/>
          </w:tcPr>
          <w:p>
            <w:pPr>
              <w:spacing w:after="0"/>
            </w:pPr>
            <w:r/>
            <w:r>
              <w:rPr>
                <w:b/>
                <w:color w:val="0B2545"/>
                <w:sz w:val="18"/>
              </w:rPr>
              <w:t>Visitor promise</w:t>
            </w:r>
          </w:p>
        </w:tc>
        <w:tc>
          <w:tcPr>
            <w:tcW w:type="dxa" w:w="6768"/>
            <w:vAlign w:val="center"/>
          </w:tcPr>
          <w:p>
            <w:r>
              <w:t>Arrive, understand, try a no-wallet carrier workflow, watch a carrier-routed dispute resolve, and leave with an outcome that can be shown internally.</w:t>
            </w:r>
          </w:p>
        </w:tc>
      </w:tr>
      <w:tr>
        <w:tc>
          <w:tcPr>
            <w:tcW w:type="dxa" w:w="2736"/>
            <w:vAlign w:val="center"/>
          </w:tcPr>
          <w:p>
            <w:pPr>
              <w:spacing w:after="0"/>
            </w:pPr>
            <w:r/>
            <w:r>
              <w:rPr>
                <w:b/>
                <w:color w:val="0B2545"/>
                <w:sz w:val="18"/>
              </w:rPr>
              <w:t>Legal posture</w:t>
            </w:r>
          </w:p>
        </w:tc>
        <w:tc>
          <w:tcPr>
            <w:tcW w:type="dxa" w:w="6768"/>
            <w:vAlign w:val="center"/>
          </w:tcPr>
          <w:p>
            <w:pPr>
              <w:spacing w:after="0"/>
            </w:pPr>
            <w:r/>
            <w:r>
              <w:rPr>
                <w:b w:val="0"/>
                <w:sz w:val="18"/>
              </w:rPr>
              <w:t>Software infrastructure. Not an insurance carrier; does not underwrite, sell, or adjudicate policies independently.</w:t>
            </w:r>
          </w:p>
        </w:tc>
      </w:tr>
    </w:tbl>
    <w:p/>
    <w:p>
      <w:pPr>
        <w:pStyle w:val="Heading2"/>
      </w:pPr>
      <w:r>
        <w:rPr>
          <w:color w:val="0B2545"/>
          <w:sz w:val="26"/>
        </w:rPr>
        <w:t>2.1 Carrier-Friendly by Design</w:t>
      </w:r>
    </w:p>
    <w:p>
      <w:pPr>
        <w:spacing w:after="60" w:line="252" w:lineRule="auto"/>
        <w:ind w:left="346" w:hanging="202"/>
      </w:pPr>
      <w:r>
        <w:rPr>
          <w:color w:val="2563EB"/>
        </w:rPr>
        <w:t xml:space="preserve">• </w:t>
      </w:r>
      <w:r>
        <w:t>The carrier keeps underwriting authority, pricing, policy language, compliance obligations, and customer relationship.</w:t>
      </w:r>
    </w:p>
    <w:p>
      <w:pPr>
        <w:spacing w:after="60" w:line="252" w:lineRule="auto"/>
        <w:ind w:left="346" w:hanging="202"/>
      </w:pPr>
      <w:r>
        <w:rPr>
          <w:color w:val="2563EB"/>
        </w:rPr>
        <w:t xml:space="preserve">• </w:t>
      </w:r>
      <w:r>
        <w:t>Payouts come from carrier-funded reserves, not from Veristake balance-sheet risk.</w:t>
      </w:r>
    </w:p>
    <w:p>
      <w:pPr>
        <w:spacing w:after="60" w:line="252" w:lineRule="auto"/>
        <w:ind w:left="346" w:hanging="202"/>
      </w:pPr>
      <w:r>
        <w:rPr>
          <w:color w:val="2563EB"/>
        </w:rPr>
        <w:t xml:space="preserve">• </w:t>
      </w:r>
      <w:r>
        <w:t>Verifier pools can be limited by domain, credentials, geography, or policy program.</w:t>
      </w:r>
    </w:p>
    <w:p>
      <w:pPr>
        <w:spacing w:after="60" w:line="252" w:lineRule="auto"/>
        <w:ind w:left="346" w:hanging="202"/>
      </w:pPr>
      <w:r>
        <w:rPr>
          <w:color w:val="2563EB"/>
        </w:rPr>
        <w:t xml:space="preserve">• </w:t>
      </w:r>
      <w:r>
        <w:t>The audit trail can support internal quality review, regulator response, reinsurer reporting, and broker transparency.</w:t>
      </w:r>
    </w:p>
    <w:p>
      <w:pPr>
        <w:pStyle w:val="Heading2"/>
      </w:pPr>
      <w:r>
        <w:t>2.2 Why Disputed Claims First</w:t>
      </w:r>
    </w:p>
    <w:p>
      <w:pPr/>
      <w:r>
        <w:t>Veristake should not sit in front of every claim. Routine, low-dollar, low-dispute claims should continue moving through carrier systems, automation, and ordinary adjuster workflows. External verifier review has a cost, so it belongs where the incremental trust, auditability, and fraud-control value is highest.</w:t>
      </w:r>
    </w:p>
    <w:p>
      <w:pPr/>
      <w:r>
        <w:t>• Cost efficiency: outside review is reserved for appeals, complex evidence packets, suspected fraud, delayed payouts, or large disputes rather than commodity processing.</w:t>
      </w:r>
    </w:p>
    <w:p>
      <w:pPr/>
      <w:r>
        <w:t>• Regulatory positioning: Veristake remains a verification layer inside a licensed carrier pipeline, not a TPA, claims core, or insurer substitute.</w:t>
      </w:r>
    </w:p>
    <w:p>
      <w:pPr/>
      <w:r>
        <w:t>• Value density: disputed claims are where members may distrust carrier judgment and carriers need independent evidence review without surrendering reserves or policy authority.</w:t>
      </w:r>
    </w:p>
    <w:p>
      <w:pPr>
        <w:pStyle w:val="Heading1"/>
      </w:pPr>
      <w:r>
        <w:rPr>
          <w:color w:val="0B2545"/>
          <w:sz w:val="36"/>
        </w:rPr>
        <w:t>3. Product Status</w:t>
      </w:r>
    </w:p>
    <w:tbl>
      <w:tblPr>
        <w:tblW w:type="auto" w:w="0"/>
        <w:jc w:val="center"/>
        <w:tblLook w:firstColumn="1" w:firstRow="1" w:lastColumn="0" w:lastRow="0" w:noHBand="0" w:noVBand="1" w:val="04A0"/>
      </w:tblPr>
      <w:tblGrid>
        <w:gridCol w:w="4896"/>
        <w:gridCol w:w="4896"/>
      </w:tblGrid>
      <w:tr>
        <w:trPr>
          <w:tblHeader w:val="true"/>
        </w:trPr>
        <w:tc>
          <w:tcPr>
            <w:tcW w:type="dxa" w:w="2736"/>
            <w:vAlign w:val="center"/>
            <w:shd w:fill="F1F5F9"/>
          </w:tcPr>
          <w:p>
            <w:pPr>
              <w:spacing w:after="0"/>
            </w:pPr>
            <w:r/>
            <w:r>
              <w:rPr>
                <w:b/>
                <w:color w:val="0B2545"/>
                <w:sz w:val="18"/>
              </w:rPr>
              <w:t>Item</w:t>
            </w:r>
          </w:p>
        </w:tc>
        <w:tc>
          <w:tcPr>
            <w:tcW w:type="dxa" w:w="6768"/>
            <w:vAlign w:val="center"/>
            <w:shd w:fill="F1F5F9"/>
          </w:tcPr>
          <w:p>
            <w:pPr>
              <w:spacing w:after="0"/>
            </w:pPr>
            <w:r/>
            <w:r>
              <w:rPr>
                <w:b/>
                <w:color w:val="0B2545"/>
                <w:sz w:val="18"/>
              </w:rPr>
              <w:t>Current product position</w:t>
            </w:r>
          </w:p>
        </w:tc>
      </w:tr>
      <w:tr>
        <w:tc>
          <w:tcPr>
            <w:tcW w:type="dxa" w:w="2736"/>
            <w:vAlign w:val="center"/>
          </w:tcPr>
          <w:p>
            <w:pPr>
              <w:spacing w:after="0"/>
            </w:pPr>
            <w:r/>
            <w:r>
              <w:rPr>
                <w:b/>
                <w:color w:val="0B2545"/>
                <w:sz w:val="18"/>
              </w:rPr>
              <w:t>Live site</w:t>
            </w:r>
          </w:p>
        </w:tc>
        <w:tc>
          <w:tcPr>
            <w:tcW w:type="dxa" w:w="6768"/>
            <w:vAlign w:val="center"/>
          </w:tcPr>
          <w:p>
            <w:pPr>
              <w:spacing w:after="0"/>
            </w:pPr>
            <w:r/>
            <w:r>
              <w:rPr>
                <w:b w:val="0"/>
                <w:sz w:val="18"/>
              </w:rPr>
              <w:t>https://veristake-demo.vercel.app</w:t>
            </w:r>
          </w:p>
        </w:tc>
      </w:tr>
      <w:tr>
        <w:tc>
          <w:tcPr>
            <w:tcW w:type="dxa" w:w="2736"/>
            <w:vAlign w:val="center"/>
          </w:tcPr>
          <w:p>
            <w:pPr>
              <w:spacing w:after="0"/>
            </w:pPr>
            <w:r/>
            <w:r>
              <w:rPr>
                <w:b/>
                <w:color w:val="0B2545"/>
                <w:sz w:val="18"/>
              </w:rPr>
              <w:t>Public dashboard</w:t>
            </w:r>
          </w:p>
        </w:tc>
        <w:tc>
          <w:tcPr>
            <w:tcW w:type="dxa" w:w="6768"/>
            <w:vAlign w:val="center"/>
          </w:tcPr>
          <w:p>
            <w:pPr>
              <w:spacing w:after="0"/>
            </w:pPr>
            <w:r/>
            <w:r>
              <w:rPr>
                <w:b w:val="0"/>
                <w:sz w:val="18"/>
              </w:rPr>
              <w:t>Reads production-grade Base Sepolia contract data from deployment block 41,708,833.</w:t>
            </w:r>
          </w:p>
        </w:tc>
      </w:tr>
      <w:tr>
        <w:tc>
          <w:tcPr>
            <w:tcW w:type="dxa" w:w="2736"/>
            <w:vAlign w:val="center"/>
          </w:tcPr>
          <w:p>
            <w:pPr>
              <w:spacing w:after="0"/>
            </w:pPr>
            <w:r/>
            <w:r>
              <w:rPr>
                <w:b/>
                <w:color w:val="0B2545"/>
                <w:sz w:val="18"/>
              </w:rPr>
              <w:t>Seeded dashboard state</w:t>
            </w:r>
          </w:p>
        </w:tc>
        <w:tc>
          <w:tcPr>
            <w:tcW w:type="dxa" w:w="6768"/>
            <w:vAlign w:val="center"/>
          </w:tcPr>
          <w:p>
            <w:pPr>
              <w:spacing w:after="0"/>
            </w:pPr>
            <w:r/>
            <w:r>
              <w:rPr>
                <w:b w:val="0"/>
                <w:sz w:val="18"/>
              </w:rPr>
              <w:t>5 claims, 2 carrier registrations, 1 slashing event, and 1,950 VST staked as demonstration data.</w:t>
            </w:r>
          </w:p>
        </w:tc>
      </w:tr>
      <w:tr>
        <w:tc>
          <w:tcPr>
            <w:tcW w:type="dxa" w:w="2736"/>
            <w:vAlign w:val="center"/>
          </w:tcPr>
          <w:p>
            <w:pPr>
              <w:spacing w:after="0"/>
            </w:pPr>
            <w:r/>
            <w:r>
              <w:rPr>
                <w:b/>
                <w:color w:val="0B2545"/>
                <w:sz w:val="18"/>
              </w:rPr>
              <w:t>Hero proof asset</w:t>
            </w:r>
          </w:p>
        </w:tc>
        <w:tc>
          <w:tcPr>
            <w:tcW w:type="dxa" w:w="6768"/>
            <w:vAlign w:val="center"/>
          </w:tcPr>
          <w:p>
            <w:r>
              <w:t>Narrated carrier-wedge walkthrough video with poster art and no subtitles.</w:t>
            </w:r>
          </w:p>
        </w:tc>
      </w:tr>
      <w:tr>
        <w:tc>
          <w:tcPr>
            <w:tcW w:type="dxa" w:w="2736"/>
            <w:vAlign w:val="center"/>
          </w:tcPr>
          <w:p>
            <w:pPr>
              <w:spacing w:after="0"/>
            </w:pPr>
            <w:r/>
            <w:r>
              <w:rPr>
                <w:b/>
                <w:color w:val="0B2545"/>
                <w:sz w:val="18"/>
              </w:rPr>
              <w:t>Operational endpoints</w:t>
            </w:r>
          </w:p>
        </w:tc>
        <w:tc>
          <w:tcPr>
            <w:tcW w:type="dxa" w:w="6768"/>
            <w:vAlign w:val="center"/>
          </w:tcPr>
          <w:p>
            <w:pPr>
              <w:spacing w:after="0"/>
            </w:pPr>
            <w:r/>
            <w:r>
              <w:rPr>
                <w:b w:val="0"/>
                <w:sz w:val="18"/>
              </w:rPr>
              <w:t>Health endpoint, sitemap, robots, OG metadata, legal placeholder, analytics hooks, and error-tracking hooks are implemented.</w:t>
            </w:r>
          </w:p>
        </w:tc>
      </w:tr>
    </w:tbl>
    <w:p/>
    <w:tbl>
      <w:tblPr>
        <w:tblW w:type="auto" w:w="0"/>
        <w:jc w:val="center"/>
        <w:tblLook w:firstColumn="1" w:firstRow="1" w:lastColumn="0" w:lastRow="0" w:noHBand="0" w:noVBand="1" w:val="04A0"/>
      </w:tblPr>
      <w:tblGrid>
        <w:gridCol w:w="9792"/>
      </w:tblGrid>
      <w:tr>
        <w:trPr>
          <w:tblHeader w:val="true"/>
        </w:trPr>
        <w:tc>
          <w:tcPr>
            <w:tcW w:type="dxa" w:w="9792"/>
            <w:shd w:fill="FFF7ED"/>
          </w:tcPr>
          <w:p>
            <w:pPr>
              <w:spacing w:after="60"/>
            </w:pPr>
            <w:r>
              <w:rPr>
                <w:b/>
                <w:color w:val="0B2545"/>
                <w:sz w:val="21"/>
              </w:rPr>
              <w:t>Important limitation</w:t>
            </w:r>
          </w:p>
          <w:p>
            <w:pPr>
              <w:spacing w:after="40"/>
            </w:pPr>
            <w:r>
              <w:t>The live dashboard is real Base Sepolia testnet data. The full embedded-wallet demo requires founder-provided Tenderly, Privy, faucet, and session-store secrets before it becomes fully transactional in production.</w:t>
            </w:r>
          </w:p>
        </w:tc>
      </w:tr>
    </w:tbl>
    <w:p/>
    <w:p>
      <w:pPr>
        <w:pStyle w:val="Heading1"/>
      </w:pPr>
      <w:r>
        <w:rPr>
          <w:color w:val="0B2545"/>
          <w:sz w:val="36"/>
        </w:rPr>
        <w:t>4. Protocol Architecture</w:t>
      </w:r>
    </w:p>
    <w:p>
      <w:pPr>
        <w:pStyle w:val="Heading2"/>
      </w:pPr>
      <w:r>
        <w:rPr>
          <w:color w:val="0B2545"/>
          <w:sz w:val="26"/>
        </w:rPr>
        <w:t>4.1 End-to-End Claim Flow</w:t>
      </w:r>
    </w:p>
    <w:p>
      <w:pPr>
        <w:spacing w:after="60" w:line="252" w:lineRule="auto"/>
        <w:ind w:left="346" w:hanging="202"/>
      </w:pPr>
      <w:r>
        <w:rPr>
          <w:color w:val="2563EB"/>
        </w:rPr>
        <w:t xml:space="preserve">• </w:t>
      </w:r>
      <w:r>
        <w:t>Carrier registers itself and a policy through CarrierGateway.</w:t>
      </w:r>
    </w:p>
    <w:p>
      <w:pPr>
        <w:spacing w:after="60" w:line="252" w:lineRule="auto"/>
        <w:ind w:left="346" w:hanging="202"/>
      </w:pPr>
      <w:r>
        <w:rPr>
          <w:color w:val="2563EB"/>
        </w:rPr>
        <w:t xml:space="preserve">• </w:t>
      </w:r>
      <w:r>
        <w:t>Carrier funds a payout reserve for that policy.</w:t>
      </w:r>
    </w:p>
    <w:p>
      <w:pPr>
        <w:spacing w:after="60" w:line="252" w:lineRule="auto"/>
        <w:ind w:left="346" w:hanging="202"/>
      </w:pPr>
      <w:r>
        <w:t>• Carrier routes a disputed, high-friction, or fraud-sensitive claim packet to ClaimRegistry through a configured intake path.</w:t>
      </w:r>
    </w:p>
    <w:p>
      <w:pPr>
        <w:spacing w:after="60" w:line="252" w:lineRule="auto"/>
        <w:ind w:left="346" w:hanging="202"/>
      </w:pPr>
      <w:r>
        <w:rPr>
          <w:color w:val="2563EB"/>
        </w:rPr>
        <w:t xml:space="preserve">• </w:t>
      </w:r>
      <w:r>
        <w:t>Eligible verifiers stake VST and enter the domain pool.</w:t>
      </w:r>
    </w:p>
    <w:p>
      <w:pPr>
        <w:spacing w:after="60" w:line="252" w:lineRule="auto"/>
        <w:ind w:left="346" w:hanging="202"/>
      </w:pPr>
      <w:r>
        <w:rPr>
          <w:color w:val="2563EB"/>
        </w:rPr>
        <w:t xml:space="preserve">• </w:t>
      </w:r>
      <w:r>
        <w:t>Voting runs through commit, reveal, resolution, optional appeal, and finalization.</w:t>
      </w:r>
    </w:p>
    <w:p>
      <w:pPr>
        <w:spacing w:after="60" w:line="252" w:lineRule="auto"/>
        <w:ind w:left="346" w:hanging="202"/>
      </w:pPr>
      <w:r>
        <w:rPr>
          <w:color w:val="2563EB"/>
        </w:rPr>
        <w:t xml:space="preserve">• </w:t>
      </w:r>
      <w:r>
        <w:t>CarrierGateway releases approved or partial payouts from the carrier reserve.</w:t>
      </w:r>
    </w:p>
    <w:p>
      <w:pPr>
        <w:spacing w:after="60" w:line="252" w:lineRule="auto"/>
        <w:ind w:left="346" w:hanging="202"/>
      </w:pPr>
      <w:r>
        <w:rPr>
          <w:color w:val="2563EB"/>
        </w:rPr>
        <w:t xml:space="preserve">• </w:t>
      </w:r>
      <w:r>
        <w:t>Reputation and slashing contracts update verifier accuracy and penalties.</w:t>
      </w:r>
    </w:p>
    <w:p>
      <w:pPr>
        <w:pStyle w:val="Heading2"/>
      </w:pPr>
      <w:r>
        <w:rPr>
          <w:color w:val="0B2545"/>
          <w:sz w:val="26"/>
        </w:rPr>
        <w:t>4.2 Contract Modules</w:t>
      </w:r>
    </w:p>
    <w:tbl>
      <w:tblPr>
        <w:tblW w:type="auto" w:w="0"/>
        <w:jc w:val="center"/>
        <w:tblLook w:firstColumn="1" w:firstRow="1" w:lastColumn="0" w:lastRow="0" w:noHBand="0" w:noVBand="1" w:val="04A0"/>
      </w:tblPr>
      <w:tblGrid>
        <w:gridCol w:w="4896"/>
        <w:gridCol w:w="4896"/>
      </w:tblGrid>
      <w:tr>
        <w:trPr>
          <w:tblHeader w:val="true"/>
        </w:trPr>
        <w:tc>
          <w:tcPr>
            <w:tcW w:type="dxa" w:w="2448"/>
            <w:vAlign w:val="center"/>
            <w:shd w:fill="EAF7EF"/>
          </w:tcPr>
          <w:p>
            <w:pPr>
              <w:spacing w:after="0"/>
            </w:pPr>
            <w:r/>
            <w:r>
              <w:rPr>
                <w:b/>
                <w:color w:val="0B2545"/>
                <w:sz w:val="18"/>
              </w:rPr>
              <w:t>Module</w:t>
            </w:r>
          </w:p>
        </w:tc>
        <w:tc>
          <w:tcPr>
            <w:tcW w:type="dxa" w:w="7056"/>
            <w:vAlign w:val="center"/>
            <w:shd w:fill="EAF7EF"/>
          </w:tcPr>
          <w:p>
            <w:pPr>
              <w:spacing w:after="0"/>
            </w:pPr>
            <w:r/>
            <w:r>
              <w:rPr>
                <w:b/>
                <w:color w:val="0B2545"/>
                <w:sz w:val="18"/>
              </w:rPr>
              <w:t>Role</w:t>
            </w:r>
          </w:p>
        </w:tc>
      </w:tr>
      <w:tr>
        <w:tc>
          <w:tcPr>
            <w:tcW w:type="dxa" w:w="2448"/>
            <w:vAlign w:val="center"/>
          </w:tcPr>
          <w:p>
            <w:pPr>
              <w:spacing w:after="0"/>
            </w:pPr>
            <w:r/>
            <w:r>
              <w:rPr>
                <w:b/>
                <w:color w:val="166534"/>
                <w:sz w:val="18"/>
              </w:rPr>
              <w:t>ClaimRegistry</w:t>
            </w:r>
          </w:p>
        </w:tc>
        <w:tc>
          <w:tcPr>
            <w:tcW w:type="dxa" w:w="7056"/>
            <w:vAlign w:val="center"/>
          </w:tcPr>
          <w:p>
            <w:pPr>
              <w:spacing w:after="0"/>
            </w:pPr>
            <w:r/>
            <w:r>
              <w:rPr>
                <w:b w:val="0"/>
                <w:sz w:val="18"/>
              </w:rPr>
              <w:t>Registers claim metadata, domain, requested amount, policy link, and lifecycle state.</w:t>
            </w:r>
          </w:p>
        </w:tc>
      </w:tr>
      <w:tr>
        <w:tc>
          <w:tcPr>
            <w:tcW w:type="dxa" w:w="2448"/>
            <w:vAlign w:val="center"/>
          </w:tcPr>
          <w:p>
            <w:pPr>
              <w:spacing w:after="0"/>
            </w:pPr>
            <w:r/>
            <w:r>
              <w:rPr>
                <w:b/>
                <w:color w:val="166534"/>
                <w:sz w:val="18"/>
              </w:rPr>
              <w:t>Voting</w:t>
            </w:r>
          </w:p>
        </w:tc>
        <w:tc>
          <w:tcPr>
            <w:tcW w:type="dxa" w:w="7056"/>
            <w:vAlign w:val="center"/>
          </w:tcPr>
          <w:p>
            <w:pPr>
              <w:spacing w:after="0"/>
            </w:pPr>
            <w:r/>
            <w:r>
              <w:rPr>
                <w:b w:val="0"/>
                <w:sz w:val="18"/>
              </w:rPr>
              <w:t>Runs commit/reveal voting, challenge windows, outcomes, and production/demo parameter windows.</w:t>
            </w:r>
          </w:p>
        </w:tc>
      </w:tr>
      <w:tr>
        <w:tc>
          <w:tcPr>
            <w:tcW w:type="dxa" w:w="2448"/>
            <w:vAlign w:val="center"/>
          </w:tcPr>
          <w:p>
            <w:pPr>
              <w:spacing w:after="0"/>
            </w:pPr>
            <w:r/>
            <w:r>
              <w:rPr>
                <w:b/>
                <w:color w:val="166534"/>
                <w:sz w:val="18"/>
              </w:rPr>
              <w:t>VerifierStaking</w:t>
            </w:r>
          </w:p>
        </w:tc>
        <w:tc>
          <w:tcPr>
            <w:tcW w:type="dxa" w:w="7056"/>
            <w:vAlign w:val="center"/>
          </w:tcPr>
          <w:p>
            <w:pPr>
              <w:spacing w:after="0"/>
            </w:pPr>
            <w:r/>
            <w:r>
              <w:rPr>
                <w:b w:val="0"/>
                <w:sz w:val="18"/>
              </w:rPr>
              <w:t>Manages VST stake, domain pool registration, and verifier participation.</w:t>
            </w:r>
          </w:p>
        </w:tc>
      </w:tr>
      <w:tr>
        <w:tc>
          <w:tcPr>
            <w:tcW w:type="dxa" w:w="2448"/>
            <w:vAlign w:val="center"/>
          </w:tcPr>
          <w:p>
            <w:pPr>
              <w:spacing w:after="0"/>
            </w:pPr>
            <w:r/>
            <w:r>
              <w:rPr>
                <w:b/>
                <w:color w:val="166534"/>
                <w:sz w:val="18"/>
              </w:rPr>
              <w:t>SoulboundReputation</w:t>
            </w:r>
          </w:p>
        </w:tc>
        <w:tc>
          <w:tcPr>
            <w:tcW w:type="dxa" w:w="7056"/>
            <w:vAlign w:val="center"/>
          </w:tcPr>
          <w:p>
            <w:pPr>
              <w:spacing w:after="0"/>
            </w:pPr>
            <w:r/>
            <w:r>
              <w:rPr>
                <w:b w:val="0"/>
                <w:sz w:val="18"/>
              </w:rPr>
              <w:t>Tracks historical verifier accuracy and supports accuracy-weighted trust.</w:t>
            </w:r>
          </w:p>
        </w:tc>
      </w:tr>
      <w:tr>
        <w:tc>
          <w:tcPr>
            <w:tcW w:type="dxa" w:w="2448"/>
            <w:vAlign w:val="center"/>
          </w:tcPr>
          <w:p>
            <w:pPr>
              <w:spacing w:after="0"/>
            </w:pPr>
            <w:r/>
            <w:r>
              <w:rPr>
                <w:b/>
                <w:color w:val="166534"/>
                <w:sz w:val="18"/>
              </w:rPr>
              <w:t>CarrierGateway</w:t>
            </w:r>
          </w:p>
        </w:tc>
        <w:tc>
          <w:tcPr>
            <w:tcW w:type="dxa" w:w="7056"/>
            <w:vAlign w:val="center"/>
          </w:tcPr>
          <w:p>
            <w:pPr>
              <w:spacing w:after="0"/>
            </w:pPr>
            <w:r/>
            <w:r>
              <w:rPr>
                <w:b w:val="0"/>
                <w:sz w:val="18"/>
              </w:rPr>
              <w:t>Registers carriers and policies, funds carrier payout reserves, and releases approved payouts.</w:t>
            </w:r>
          </w:p>
        </w:tc>
      </w:tr>
      <w:tr>
        <w:tc>
          <w:tcPr>
            <w:tcW w:type="dxa" w:w="2448"/>
            <w:vAlign w:val="center"/>
          </w:tcPr>
          <w:p>
            <w:pPr>
              <w:spacing w:after="0"/>
            </w:pPr>
            <w:r/>
            <w:r>
              <w:rPr>
                <w:b/>
                <w:color w:val="166534"/>
                <w:sz w:val="18"/>
              </w:rPr>
              <w:t>Slashing</w:t>
            </w:r>
          </w:p>
        </w:tc>
        <w:tc>
          <w:tcPr>
            <w:tcW w:type="dxa" w:w="7056"/>
            <w:vAlign w:val="center"/>
          </w:tcPr>
          <w:p>
            <w:pPr>
              <w:spacing w:after="0"/>
            </w:pPr>
            <w:r/>
            <w:r>
              <w:rPr>
                <w:b w:val="0"/>
                <w:sz w:val="18"/>
              </w:rPr>
              <w:t>Applies disagreement tolerance, supermajority thresholds, and bond redistribution.</w:t>
            </w:r>
          </w:p>
        </w:tc>
      </w:tr>
      <w:tr>
        <w:tc>
          <w:tcPr>
            <w:tcW w:type="dxa" w:w="2448"/>
            <w:vAlign w:val="center"/>
          </w:tcPr>
          <w:p>
            <w:pPr>
              <w:spacing w:after="0"/>
            </w:pPr>
            <w:r/>
            <w:r>
              <w:rPr>
                <w:b/>
                <w:color w:val="166534"/>
                <w:sz w:val="18"/>
              </w:rPr>
              <w:t>ArbiterEscalation</w:t>
            </w:r>
          </w:p>
        </w:tc>
        <w:tc>
          <w:tcPr>
            <w:tcW w:type="dxa" w:w="7056"/>
            <w:vAlign w:val="center"/>
          </w:tcPr>
          <w:p>
            <w:pPr>
              <w:spacing w:after="0"/>
            </w:pPr>
            <w:r/>
            <w:r>
              <w:rPr>
                <w:b w:val="0"/>
                <w:sz w:val="18"/>
              </w:rPr>
              <w:t>Supports appealed or ambiguous decisions through a second adjudication layer.</w:t>
            </w:r>
          </w:p>
        </w:tc>
      </w:tr>
      <w:tr>
        <w:tc>
          <w:tcPr>
            <w:tcW w:type="dxa" w:w="2448"/>
            <w:vAlign w:val="center"/>
          </w:tcPr>
          <w:p>
            <w:pPr>
              <w:spacing w:after="0"/>
            </w:pPr>
            <w:r/>
            <w:r>
              <w:rPr>
                <w:b/>
                <w:color w:val="166534"/>
                <w:sz w:val="18"/>
              </w:rPr>
              <w:t>VST</w:t>
            </w:r>
          </w:p>
        </w:tc>
        <w:tc>
          <w:tcPr>
            <w:tcW w:type="dxa" w:w="7056"/>
            <w:vAlign w:val="center"/>
          </w:tcPr>
          <w:p>
            <w:pPr>
              <w:spacing w:after="0"/>
            </w:pPr>
            <w:r/>
            <w:r>
              <w:rPr>
                <w:b w:val="0"/>
                <w:sz w:val="18"/>
              </w:rPr>
              <w:t>Verifier Staking Token used for demo/protocol staking and slashing-accountability mechanics.</w:t>
            </w:r>
          </w:p>
        </w:tc>
      </w:tr>
      <w:tr>
        <w:tc>
          <w:tcPr>
            <w:tcW w:type="dxa" w:w="2448"/>
            <w:vAlign w:val="center"/>
          </w:tcPr>
          <w:p>
            <w:pPr>
              <w:spacing w:after="0"/>
            </w:pPr>
            <w:r/>
            <w:r>
              <w:rPr>
                <w:b/>
                <w:color w:val="166534"/>
                <w:sz w:val="18"/>
              </w:rPr>
              <w:t>TimelockController</w:t>
            </w:r>
          </w:p>
        </w:tc>
        <w:tc>
          <w:tcPr>
            <w:tcW w:type="dxa" w:w="7056"/>
            <w:vAlign w:val="center"/>
          </w:tcPr>
          <w:p>
            <w:pPr>
              <w:spacing w:after="0"/>
            </w:pPr>
            <w:r/>
            <w:r>
              <w:rPr>
                <w:b w:val="0"/>
                <w:sz w:val="18"/>
              </w:rPr>
              <w:t>Owns production administration after setup so protocol changes are delayed and auditable.</w:t>
            </w:r>
          </w:p>
        </w:tc>
      </w:tr>
    </w:tbl>
    <w:p/>
    <w:p>
      <w:pPr>
        <w:pStyle w:val="Heading2"/>
      </w:pPr>
      <w:r>
        <w:rPr>
          <w:color w:val="0B2545"/>
          <w:sz w:val="26"/>
        </w:rPr>
        <w:t>4.3 Dual Deployment Model</w:t>
      </w:r>
    </w:p>
    <w:p>
      <w:pPr>
        <w:spacing w:after="140" w:line="259" w:lineRule="auto"/>
      </w:pPr>
      <w:r>
        <w:t>Veristake separates proof and speed. The public dashboard reads a production-grade Base Sepolia deployment with default long windows. The guided demo writes to a Tenderly Base Sepolia virtual testnet where timing can be compressed for sales demos.</w:t>
      </w:r>
    </w:p>
    <w:tbl>
      <w:tblPr>
        <w:tblW w:type="auto" w:w="0"/>
        <w:jc w:val="center"/>
        <w:tblLook w:firstColumn="1" w:firstRow="1" w:lastColumn="0" w:lastRow="0" w:noHBand="0" w:noVBand="1" w:val="04A0"/>
      </w:tblPr>
      <w:tblGrid>
        <w:gridCol w:w="4896"/>
        <w:gridCol w:w="4896"/>
      </w:tblGrid>
      <w:tr>
        <w:trPr>
          <w:tblHeader w:val="true"/>
        </w:trPr>
        <w:tc>
          <w:tcPr>
            <w:tcW w:type="dxa" w:w="2736"/>
            <w:vAlign w:val="center"/>
            <w:shd w:fill="EAF2FF"/>
          </w:tcPr>
          <w:p>
            <w:pPr>
              <w:spacing w:after="0"/>
            </w:pPr>
            <w:r/>
            <w:r>
              <w:rPr>
                <w:b/>
                <w:color w:val="0B2545"/>
                <w:sz w:val="18"/>
              </w:rPr>
              <w:t>Item</w:t>
            </w:r>
          </w:p>
        </w:tc>
        <w:tc>
          <w:tcPr>
            <w:tcW w:type="dxa" w:w="6768"/>
            <w:vAlign w:val="center"/>
            <w:shd w:fill="EAF2FF"/>
          </w:tcPr>
          <w:p>
            <w:pPr>
              <w:spacing w:after="0"/>
            </w:pPr>
            <w:r/>
            <w:r>
              <w:rPr>
                <w:b/>
                <w:color w:val="0B2545"/>
                <w:sz w:val="18"/>
              </w:rPr>
              <w:t>Current product position</w:t>
            </w:r>
          </w:p>
        </w:tc>
      </w:tr>
      <w:tr>
        <w:tc>
          <w:tcPr>
            <w:tcW w:type="dxa" w:w="2736"/>
            <w:vAlign w:val="center"/>
          </w:tcPr>
          <w:p>
            <w:pPr>
              <w:spacing w:after="0"/>
            </w:pPr>
            <w:r/>
            <w:r>
              <w:rPr>
                <w:b/>
                <w:color w:val="0B2545"/>
                <w:sz w:val="18"/>
              </w:rPr>
              <w:t>Production-grade testnet</w:t>
            </w:r>
          </w:p>
        </w:tc>
        <w:tc>
          <w:tcPr>
            <w:tcW w:type="dxa" w:w="6768"/>
            <w:vAlign w:val="center"/>
          </w:tcPr>
          <w:p>
            <w:pPr>
              <w:spacing w:after="0"/>
            </w:pPr>
            <w:r/>
            <w:r>
              <w:rPr>
                <w:b w:val="0"/>
                <w:sz w:val="18"/>
              </w:rPr>
              <w:t>Real Base Sepolia. Used for public read-only dashboard metrics and audit-clean testnet history.</w:t>
            </w:r>
          </w:p>
        </w:tc>
      </w:tr>
      <w:tr>
        <w:tc>
          <w:tcPr>
            <w:tcW w:type="dxa" w:w="2736"/>
            <w:vAlign w:val="center"/>
          </w:tcPr>
          <w:p>
            <w:pPr>
              <w:spacing w:after="0"/>
            </w:pPr>
            <w:r/>
            <w:r>
              <w:rPr>
                <w:b/>
                <w:color w:val="0B2545"/>
                <w:sz w:val="18"/>
              </w:rPr>
              <w:t>Demo sandbox</w:t>
            </w:r>
          </w:p>
        </w:tc>
        <w:tc>
          <w:tcPr>
            <w:tcW w:type="dxa" w:w="6768"/>
            <w:vAlign w:val="center"/>
          </w:tcPr>
          <w:p>
            <w:pPr>
              <w:spacing w:after="0"/>
            </w:pPr>
            <w:r/>
            <w:r>
              <w:rPr>
                <w:b w:val="0"/>
                <w:sz w:val="18"/>
              </w:rPr>
              <w:t>Tenderly virtual Base Sepolia. Used for visitor actions, backend-controlled demo verifiers, faucet balances, and time-warped claim flows.</w:t>
            </w:r>
          </w:p>
        </w:tc>
      </w:tr>
      <w:tr>
        <w:tc>
          <w:tcPr>
            <w:tcW w:type="dxa" w:w="2736"/>
            <w:vAlign w:val="center"/>
          </w:tcPr>
          <w:p>
            <w:pPr>
              <w:spacing w:after="0"/>
            </w:pPr>
            <w:r/>
            <w:r>
              <w:rPr>
                <w:b/>
                <w:color w:val="0B2545"/>
                <w:sz w:val="18"/>
              </w:rPr>
              <w:t>Why two deployments</w:t>
            </w:r>
          </w:p>
        </w:tc>
        <w:tc>
          <w:tcPr>
            <w:tcW w:type="dxa" w:w="6768"/>
            <w:vAlign w:val="center"/>
          </w:tcPr>
          <w:p>
            <w:pPr>
              <w:spacing w:after="0"/>
            </w:pPr>
            <w:r/>
            <w:r>
              <w:rPr>
                <w:b w:val="0"/>
                <w:sz w:val="18"/>
              </w:rPr>
              <w:t>Keeps the real testnet deployment credible while allowing a prospect to finish a claim flow in a few minutes.</w:t>
            </w:r>
          </w:p>
        </w:tc>
      </w:tr>
    </w:tbl>
    <w:p/>
    <w:p>
      <w:pPr>
        <w:pStyle w:val="Heading1"/>
      </w:pPr>
      <w:r>
        <w:rPr>
          <w:color w:val="0B2545"/>
          <w:sz w:val="36"/>
        </w:rPr>
        <w:t>5. Incentive Design</w:t>
      </w:r>
    </w:p>
    <w:p>
      <w:pPr>
        <w:pStyle w:val="Heading2"/>
      </w:pPr>
      <w:r>
        <w:rPr>
          <w:color w:val="0B2545"/>
          <w:sz w:val="26"/>
        </w:rPr>
        <w:t>5.1 Staking and Voting</w:t>
      </w:r>
    </w:p>
    <w:p>
      <w:pPr>
        <w:spacing w:after="140" w:line="259" w:lineRule="auto"/>
      </w:pPr>
      <w:r>
        <w:t>Verifiers stake VST to participate in a domain. Claim review uses commit/reveal voting so participants cannot simply copy early votes. Once votes resolve, the system updates claim state, reputation, and payout eligibility.</w:t>
      </w:r>
    </w:p>
    <w:p>
      <w:pPr>
        <w:pStyle w:val="Heading2"/>
      </w:pPr>
      <w:r>
        <w:rPr>
          <w:color w:val="0B2545"/>
          <w:sz w:val="26"/>
        </w:rPr>
        <w:t>5.2 Reputation</w:t>
      </w:r>
    </w:p>
    <w:p>
      <w:pPr>
        <w:spacing w:after="140" w:line="259" w:lineRule="auto"/>
      </w:pPr>
      <w:r>
        <w:t>Soulbound reputation tracks accuracy over time. In the current deployment, reputation is a protocol primitive rather than a consumer-facing identity product: it lets the network distinguish durable expertise from one-off participation.</w:t>
      </w:r>
    </w:p>
    <w:p>
      <w:pPr>
        <w:pStyle w:val="Heading2"/>
      </w:pPr>
      <w:r>
        <w:rPr>
          <w:color w:val="0B2545"/>
          <w:sz w:val="26"/>
        </w:rPr>
        <w:t>5.3 Slashing and Dissent</w:t>
      </w:r>
    </w:p>
    <w:p>
      <w:pPr>
        <w:spacing w:after="140" w:line="259" w:lineRule="auto"/>
      </w:pPr>
      <w:r>
        <w:t>Slashing is reserved for serious divergence from the final adjudicated result, not honest disagreement in a gray area. The launch demo intentionally shows this distinction: a health verifier can dissent on an ambiguous ER appeal without being slashed, but approving clear duplicate-billing fraud can trigger a 50 VST penalty.</w:t>
      </w:r>
    </w:p>
    <w:p>
      <w:pPr>
        <w:spacing w:after="140" w:line="259" w:lineRule="auto"/>
      </w:pPr>
      <w:r>
        <w:t>Contrarian rewards are central to the design. Veristake should not punish a reviewer for being in the minority if the minority is ultimately right. The goal is not blind consensus. The goal is accountable accuracy.</w:t>
      </w:r>
    </w:p>
    <w:p>
      <w:pPr>
        <w:pStyle w:val="Heading2"/>
      </w:pPr>
      <w:r>
        <w:t>5.4 Accuracy Is Not Raw Majority Rule</w:t>
      </w:r>
    </w:p>
    <w:p>
      <w:pPr/>
      <w:r>
        <w:t>A verifier market only works if it resists herd mentality. Veristake therefore should not be understood as community arbitration where the largest group automatically determines truth. The protocol needs a professional weighting model: credential scope, domain relevance, historical accuracy, reputation, stake at risk, and conflict signals should all affect influence.</w:t>
      </w:r>
    </w:p>
    <w:p>
      <w:pPr/>
      <w:r>
        <w:t>Economic incentives are necessary but not sufficient. Stake and slashing make reckless review costly, but they do not by themselves establish medical necessity, collision causation, fraud, or policy interpretation. Accuracy also depends on evidence standards, verifier credentialing, calibrated reputation, appeal rights, and, for hard cases, arbiter-panel correction.</w:t>
      </w:r>
    </w:p>
    <w:p>
      <w:pPr/>
      <w:r>
        <w:t>This is why honest dissent should be protected. A minority verifier who is later vindicated should be eligible for contrarian rewards, while a verifier who follows the majority into a clearly wrong outcome should still face reputation loss or slashing if the error is reckless and out of tolerance.</w:t>
      </w:r>
    </w:p>
    <w:p>
      <w:pPr>
        <w:pStyle w:val="Heading1"/>
      </w:pPr>
      <w:r>
        <w:rPr>
          <w:color w:val="0B2545"/>
          <w:sz w:val="36"/>
        </w:rPr>
        <w:t>6. Demo Experience</w:t>
      </w:r>
    </w:p>
    <w:p>
      <w:pPr>
        <w:spacing w:after="140" w:line="259" w:lineRule="auto"/>
      </w:pPr>
      <w:r>
        <w:t>The demo is built for insurance executives who do not want a wallet, testnet ETH, seed phrases, or token onboarding. The target path is: understand the carrier value proposition, see carrier onboarding, route a carrier-selected dispute packet, watch verifier activity, and finish with a visible resolution.</w:t>
      </w:r>
    </w:p>
    <w:tbl>
      <w:tblPr>
        <w:tblW w:type="auto" w:w="0"/>
        <w:jc w:val="center"/>
        <w:tblLook w:firstColumn="1" w:firstRow="1" w:lastColumn="0" w:lastRow="0" w:noHBand="0" w:noVBand="1" w:val="04A0"/>
      </w:tblPr>
      <w:tblGrid>
        <w:gridCol w:w="3264"/>
        <w:gridCol w:w="3264"/>
        <w:gridCol w:w="3264"/>
      </w:tblGrid>
      <w:tr>
        <w:trPr>
          <w:tblHeader w:val="true"/>
        </w:trPr>
        <w:tc>
          <w:tcPr>
            <w:tcW w:type="dxa" w:w="1728"/>
            <w:vAlign w:val="center"/>
            <w:shd w:fill="EAF7EF"/>
          </w:tcPr>
          <w:p>
            <w:pPr>
              <w:spacing w:after="0"/>
            </w:pPr>
            <w:r/>
            <w:r>
              <w:rPr>
                <w:b/>
                <w:color w:val="0B2545"/>
                <w:sz w:val="18"/>
              </w:rPr>
              <w:t>Persona</w:t>
            </w:r>
          </w:p>
        </w:tc>
        <w:tc>
          <w:tcPr>
            <w:tcW w:type="dxa" w:w="2448"/>
            <w:vAlign w:val="center"/>
            <w:shd w:fill="EAF7EF"/>
          </w:tcPr>
          <w:p>
            <w:pPr>
              <w:spacing w:after="0"/>
            </w:pPr>
            <w:r/>
            <w:r>
              <w:rPr>
                <w:b/>
                <w:color w:val="0B2545"/>
                <w:sz w:val="18"/>
              </w:rPr>
              <w:t>Scenario</w:t>
            </w:r>
          </w:p>
        </w:tc>
        <w:tc>
          <w:tcPr>
            <w:tcW w:type="dxa" w:w="5328"/>
            <w:vAlign w:val="center"/>
            <w:shd w:fill="EAF7EF"/>
          </w:tcPr>
          <w:p>
            <w:pPr>
              <w:spacing w:after="0"/>
            </w:pPr>
            <w:r/>
            <w:r>
              <w:rPr>
                <w:b/>
                <w:color w:val="0B2545"/>
                <w:sz w:val="18"/>
              </w:rPr>
              <w:t>Expected proof moment</w:t>
            </w:r>
          </w:p>
        </w:tc>
      </w:tr>
      <w:tr>
        <w:tc>
          <w:tcPr>
            <w:tcW w:type="dxa" w:w="1728"/>
            <w:vAlign w:val="center"/>
          </w:tcPr>
          <w:p>
            <w:r>
              <w:t>Health dispute intake</w:t>
            </w:r>
          </w:p>
        </w:tc>
        <w:tc>
          <w:tcPr>
            <w:tcW w:type="dxa" w:w="2448"/>
            <w:vAlign w:val="center"/>
          </w:tcPr>
          <w:p>
            <w:pPr>
              <w:spacing w:after="0"/>
            </w:pPr>
            <w:r/>
            <w:r>
              <w:rPr>
                <w:b/>
                <w:color w:val="0B2545"/>
                <w:sz w:val="18"/>
              </w:rPr>
              <w:t>ER visit denial appeal</w:t>
            </w:r>
          </w:p>
        </w:tc>
        <w:tc>
          <w:tcPr>
            <w:tcW w:type="dxa" w:w="5328"/>
            <w:vAlign w:val="center"/>
          </w:tcPr>
          <w:p>
            <w:r>
              <w:t>$4,820 chest-pain ER visit routed by the carrier after denial as not medically necessary; verifier pool approves 4-1 and payout releases from carrier reserve.</w:t>
            </w:r>
          </w:p>
        </w:tc>
      </w:tr>
      <w:tr>
        <w:tc>
          <w:tcPr>
            <w:tcW w:type="dxa" w:w="1728"/>
            <w:vAlign w:val="center"/>
          </w:tcPr>
          <w:p>
            <w:pPr>
              <w:spacing w:after="0"/>
            </w:pPr>
            <w:r/>
            <w:r>
              <w:rPr>
                <w:b/>
                <w:color w:val="166534"/>
                <w:sz w:val="18"/>
              </w:rPr>
              <w:t>Health verifier</w:t>
            </w:r>
          </w:p>
        </w:tc>
        <w:tc>
          <w:tcPr>
            <w:tcW w:type="dxa" w:w="2448"/>
            <w:vAlign w:val="center"/>
          </w:tcPr>
          <w:p>
            <w:pPr>
              <w:spacing w:after="0"/>
            </w:pPr>
            <w:r/>
            <w:r>
              <w:rPr>
                <w:b/>
                <w:color w:val="0B2545"/>
                <w:sz w:val="18"/>
              </w:rPr>
              <w:t>Three claims, one fraud</w:t>
            </w:r>
          </w:p>
        </w:tc>
        <w:tc>
          <w:tcPr>
            <w:tcW w:type="dxa" w:w="5328"/>
            <w:vAlign w:val="center"/>
          </w:tcPr>
          <w:p>
            <w:pPr>
              <w:spacing w:after="0"/>
            </w:pPr>
            <w:r/>
            <w:r>
              <w:rPr>
                <w:b w:val="0"/>
                <w:sz w:val="18"/>
              </w:rPr>
              <w:t>Visitor reviews an annual physical, the ER appeal, and duplicate-billed PT sessions; wrong fraud approval triggers a 50 VST slash.</w:t>
            </w:r>
          </w:p>
        </w:tc>
      </w:tr>
      <w:tr>
        <w:tc>
          <w:tcPr>
            <w:tcW w:type="dxa" w:w="1728"/>
            <w:vAlign w:val="center"/>
          </w:tcPr>
          <w:p>
            <w:r>
              <w:t>Auto dispute intake</w:t>
            </w:r>
          </w:p>
        </w:tc>
        <w:tc>
          <w:tcPr>
            <w:tcW w:type="dxa" w:w="2448"/>
            <w:vAlign w:val="center"/>
          </w:tcPr>
          <w:p>
            <w:pPr>
              <w:spacing w:after="0"/>
            </w:pPr>
            <w:r/>
            <w:r>
              <w:rPr>
                <w:b/>
                <w:color w:val="0B2545"/>
                <w:sz w:val="18"/>
              </w:rPr>
              <w:t>Rear-end collision delayed payout</w:t>
            </w:r>
          </w:p>
        </w:tc>
        <w:tc>
          <w:tcPr>
            <w:tcW w:type="dxa" w:w="5328"/>
            <w:vAlign w:val="center"/>
          </w:tcPr>
          <w:p>
            <w:r>
              <w:t>$7,140 repair estimate vs. $3,200 insurer offer; carrier routes the dispute and verifier median resolves at a partial $6,800 payout.</w:t>
            </w:r>
          </w:p>
        </w:tc>
      </w:tr>
      <w:tr>
        <w:tc>
          <w:tcPr>
            <w:tcW w:type="dxa" w:w="1728"/>
            <w:vAlign w:val="center"/>
          </w:tcPr>
          <w:p>
            <w:pPr>
              <w:spacing w:after="0"/>
            </w:pPr>
            <w:r/>
            <w:r>
              <w:rPr>
                <w:b/>
                <w:color w:val="166534"/>
                <w:sz w:val="18"/>
              </w:rPr>
              <w:t>Auto carrier</w:t>
            </w:r>
          </w:p>
        </w:tc>
        <w:tc>
          <w:tcPr>
            <w:tcW w:type="dxa" w:w="2448"/>
            <w:vAlign w:val="center"/>
          </w:tcPr>
          <w:p>
            <w:pPr>
              <w:spacing w:after="0"/>
            </w:pPr>
            <w:r/>
            <w:r>
              <w:rPr>
                <w:b/>
                <w:color w:val="0B2545"/>
                <w:sz w:val="18"/>
              </w:rPr>
              <w:t>Pacific Mutual onboarding</w:t>
            </w:r>
          </w:p>
        </w:tc>
        <w:tc>
          <w:tcPr>
            <w:tcW w:type="dxa" w:w="5328"/>
            <w:vAlign w:val="center"/>
          </w:tcPr>
          <w:p>
            <w:pPr>
              <w:spacing w:after="0"/>
            </w:pPr>
            <w:r/>
            <w:r>
              <w:rPr>
                <w:b w:val="0"/>
                <w:sz w:val="18"/>
              </w:rPr>
              <w:t>Carrier registers, creates an auto-collision policy, funds a $10k reserve, and watches three claims resolve from reserve.</w:t>
            </w:r>
          </w:p>
        </w:tc>
      </w:tr>
      <w:tr>
        <w:tc>
          <w:tcPr>
            <w:tcW w:type="dxa" w:w="1728"/>
            <w:vAlign w:val="center"/>
          </w:tcPr>
          <w:p>
            <w:pPr>
              <w:spacing w:after="0"/>
            </w:pPr>
            <w:r/>
            <w:r>
              <w:rPr>
                <w:b/>
                <w:color w:val="166534"/>
                <w:sz w:val="18"/>
              </w:rPr>
              <w:t>Auto verifier</w:t>
            </w:r>
          </w:p>
        </w:tc>
        <w:tc>
          <w:tcPr>
            <w:tcW w:type="dxa" w:w="2448"/>
            <w:vAlign w:val="center"/>
          </w:tcPr>
          <w:p>
            <w:pPr>
              <w:spacing w:after="0"/>
            </w:pPr>
            <w:r/>
            <w:r>
              <w:rPr>
                <w:b/>
                <w:color w:val="0B2545"/>
                <w:sz w:val="18"/>
              </w:rPr>
              <w:t>Staged-collision fraud pattern</w:t>
            </w:r>
          </w:p>
        </w:tc>
        <w:tc>
          <w:tcPr>
            <w:tcW w:type="dxa" w:w="5328"/>
            <w:vAlign w:val="center"/>
          </w:tcPr>
          <w:p>
            <w:pPr>
              <w:spacing w:after="0"/>
            </w:pPr>
            <w:r/>
            <w:r>
              <w:rPr>
                <w:b w:val="0"/>
                <w:sz w:val="18"/>
              </w:rPr>
              <w:t>Visitor reviews a clean fender-bender, the rear-end claim, and a fraud pattern with repeated VIN/body-shop/attorney signals.</w:t>
            </w:r>
          </w:p>
        </w:tc>
      </w:tr>
    </w:tbl>
    <w:p/>
    <w:p>
      <w:pPr>
        <w:pStyle w:val="Heading2"/>
      </w:pPr>
      <w:r>
        <w:t>6.1 Workflow Views</w:t>
      </w:r>
    </w:p>
    <w:p>
      <w:pPr>
        <w:spacing w:after="60" w:line="252" w:lineRule="auto"/>
        <w:ind w:left="346" w:hanging="202"/>
      </w:pPr>
      <w:r>
        <w:rPr>
          <w:color w:val="2563EB"/>
        </w:rPr>
        <w:t xml:space="preserve">• </w:t>
      </w:r>
      <w:r>
        <w:t>Carrier: register Pacific Mutual, register an auto policy, fund a reserve, and watch three claims resolve.</w:t>
      </w:r>
    </w:p>
    <w:p>
      <w:pPr>
        <w:spacing w:after="60" w:line="252" w:lineRule="auto"/>
        <w:ind w:left="346" w:hanging="202"/>
      </w:pPr>
      <w:r>
        <w:t>• Dispute intake: route a health ER denial appeal or auto collision dispute selected by the carrier and watch the resolution panel update.</w:t>
      </w:r>
    </w:p>
    <w:p>
      <w:pPr>
        <w:spacing w:after="60" w:line="252" w:lineRule="auto"/>
        <w:ind w:left="346" w:hanging="202"/>
      </w:pPr>
      <w:r>
        <w:rPr>
          <w:color w:val="2563EB"/>
        </w:rPr>
        <w:t xml:space="preserve">• </w:t>
      </w:r>
      <w:r>
        <w:t>Verifier: stake demo VST, review three claims, vote, and see reward, accuracy, and slashing outcomes.</w:t>
      </w:r>
    </w:p>
    <w:p>
      <w:pPr>
        <w:pStyle w:val="Heading1"/>
      </w:pPr>
      <w:r>
        <w:rPr>
          <w:color w:val="0B2545"/>
          <w:sz w:val="36"/>
        </w:rPr>
        <w:t>7. Competitive Landscape</w:t>
      </w:r>
    </w:p>
    <w:p>
      <w:pPr>
        <w:spacing w:after="140" w:line="259" w:lineRule="auto"/>
      </w:pPr>
      <w:r>
        <w:t>Veristake is not positioned as another crypto insurance pool. Its differentiation is the combination of human/specialist review, slashing-backed accountability, carrier-reserve payouts, and a regulated-integration posture.</w:t>
      </w:r>
    </w:p>
    <w:tbl>
      <w:tblPr>
        <w:tblW w:type="auto" w:w="0"/>
        <w:jc w:val="center"/>
        <w:tblLook w:firstColumn="1" w:firstRow="1" w:lastColumn="0" w:lastRow="0" w:noHBand="0" w:noVBand="1" w:val="04A0"/>
      </w:tblPr>
      <w:tblGrid>
        <w:gridCol w:w="1632"/>
        <w:gridCol w:w="1632"/>
        <w:gridCol w:w="1632"/>
        <w:gridCol w:w="1632"/>
        <w:gridCol w:w="1632"/>
        <w:gridCol w:w="1632"/>
      </w:tblGrid>
      <w:tr>
        <w:trPr>
          <w:tblHeader w:val="true"/>
        </w:trPr>
        <w:tc>
          <w:tcPr>
            <w:tcW w:type="dxa" w:w="1584"/>
            <w:vAlign w:val="center"/>
            <w:shd w:fill="EAF2FF"/>
          </w:tcPr>
          <w:p>
            <w:pPr>
              <w:spacing w:after="0"/>
            </w:pPr>
            <w:r/>
            <w:r>
              <w:rPr>
                <w:b/>
                <w:color w:val="0B2545"/>
                <w:sz w:val="18"/>
              </w:rPr>
              <w:t>Feature</w:t>
            </w:r>
          </w:p>
        </w:tc>
        <w:tc>
          <w:tcPr>
            <w:tcW w:type="dxa" w:w="2088"/>
            <w:vAlign w:val="center"/>
            <w:shd w:fill="EAF2FF"/>
          </w:tcPr>
          <w:p>
            <w:pPr>
              <w:spacing w:after="0"/>
            </w:pPr>
            <w:r/>
            <w:r>
              <w:rPr>
                <w:b/>
                <w:color w:val="0B2545"/>
                <w:sz w:val="18"/>
              </w:rPr>
              <w:t>Veristake</w:t>
            </w:r>
          </w:p>
        </w:tc>
        <w:tc>
          <w:tcPr>
            <w:tcW w:type="dxa" w:w="1440"/>
            <w:vAlign w:val="center"/>
            <w:shd w:fill="EAF2FF"/>
          </w:tcPr>
          <w:p>
            <w:pPr>
              <w:spacing w:after="0"/>
            </w:pPr>
            <w:r/>
            <w:r>
              <w:rPr>
                <w:b/>
                <w:color w:val="0B2545"/>
                <w:sz w:val="18"/>
              </w:rPr>
              <w:t>Etherisc</w:t>
            </w:r>
          </w:p>
        </w:tc>
        <w:tc>
          <w:tcPr>
            <w:tcW w:type="dxa" w:w="1440"/>
            <w:vAlign w:val="center"/>
            <w:shd w:fill="EAF2FF"/>
          </w:tcPr>
          <w:p>
            <w:pPr>
              <w:spacing w:after="0"/>
            </w:pPr>
            <w:r/>
            <w:r>
              <w:rPr>
                <w:b/>
                <w:color w:val="0B2545"/>
                <w:sz w:val="18"/>
              </w:rPr>
              <w:t>Nexus Mutual</w:t>
            </w:r>
          </w:p>
        </w:tc>
        <w:tc>
          <w:tcPr>
            <w:tcW w:type="dxa" w:w="1440"/>
            <w:vAlign w:val="center"/>
            <w:shd w:fill="EAF2FF"/>
          </w:tcPr>
          <w:p>
            <w:pPr>
              <w:spacing w:after="0"/>
            </w:pPr>
            <w:r/>
            <w:r>
              <w:rPr>
                <w:b/>
                <w:color w:val="0B2545"/>
                <w:sz w:val="18"/>
              </w:rPr>
              <w:t>Kleros</w:t>
            </w:r>
          </w:p>
        </w:tc>
        <w:tc>
          <w:tcPr>
            <w:tcW w:type="dxa" w:w="1584"/>
            <w:vAlign w:val="center"/>
            <w:shd w:fill="EAF2FF"/>
          </w:tcPr>
          <w:p>
            <w:pPr>
              <w:spacing w:after="0"/>
            </w:pPr>
            <w:r/>
            <w:r>
              <w:rPr>
                <w:b/>
                <w:color w:val="0B2545"/>
                <w:sz w:val="18"/>
              </w:rPr>
              <w:t>Status quo</w:t>
            </w:r>
          </w:p>
        </w:tc>
      </w:tr>
      <w:tr>
        <w:tc>
          <w:tcPr>
            <w:tcW w:type="dxa" w:w="1584"/>
            <w:vAlign w:val="center"/>
          </w:tcPr>
          <w:p>
            <w:pPr>
              <w:spacing w:after="0"/>
            </w:pPr>
            <w:r/>
            <w:r>
              <w:rPr>
                <w:b/>
                <w:color w:val="0B2545"/>
                <w:sz w:val="18"/>
              </w:rPr>
              <w:t>Human review</w:t>
            </w:r>
          </w:p>
        </w:tc>
        <w:tc>
          <w:tcPr>
            <w:tcW w:type="dxa" w:w="2088"/>
            <w:vAlign w:val="center"/>
          </w:tcPr>
          <w:p>
            <w:pPr>
              <w:spacing w:after="0"/>
            </w:pPr>
            <w:r/>
            <w:r>
              <w:rPr>
                <w:b w:val="0"/>
                <w:sz w:val="18"/>
              </w:rPr>
              <w:t>Yes; credentialed domain verifiers</w:t>
            </w:r>
          </w:p>
        </w:tc>
        <w:tc>
          <w:tcPr>
            <w:tcW w:type="dxa" w:w="1440"/>
            <w:vAlign w:val="center"/>
          </w:tcPr>
          <w:p>
            <w:pPr>
              <w:spacing w:after="0"/>
            </w:pPr>
            <w:r/>
            <w:r>
              <w:rPr>
                <w:b w:val="0"/>
                <w:sz w:val="18"/>
              </w:rPr>
              <w:t>Limited; mostly parametric</w:t>
            </w:r>
          </w:p>
        </w:tc>
        <w:tc>
          <w:tcPr>
            <w:tcW w:type="dxa" w:w="1440"/>
            <w:vAlign w:val="center"/>
          </w:tcPr>
          <w:p>
            <w:pPr>
              <w:spacing w:after="0"/>
            </w:pPr>
            <w:r/>
            <w:r>
              <w:rPr>
                <w:b w:val="0"/>
                <w:sz w:val="18"/>
              </w:rPr>
              <w:t>DAO/member assessment</w:t>
            </w:r>
          </w:p>
        </w:tc>
        <w:tc>
          <w:tcPr>
            <w:tcW w:type="dxa" w:w="1440"/>
            <w:vAlign w:val="center"/>
          </w:tcPr>
          <w:p>
            <w:pPr>
              <w:spacing w:after="0"/>
            </w:pPr>
            <w:r/>
            <w:r>
              <w:rPr>
                <w:b w:val="0"/>
                <w:sz w:val="18"/>
              </w:rPr>
              <w:t>Yes; generalized arbitration</w:t>
            </w:r>
          </w:p>
        </w:tc>
        <w:tc>
          <w:tcPr>
            <w:tcW w:type="dxa" w:w="1584"/>
            <w:vAlign w:val="center"/>
          </w:tcPr>
          <w:p>
            <w:pPr>
              <w:spacing w:after="0"/>
            </w:pPr>
            <w:r/>
            <w:r>
              <w:rPr>
                <w:b w:val="0"/>
                <w:sz w:val="18"/>
              </w:rPr>
              <w:t>Yes; internal adjusters</w:t>
            </w:r>
          </w:p>
        </w:tc>
      </w:tr>
      <w:tr>
        <w:tc>
          <w:tcPr>
            <w:tcW w:type="dxa" w:w="1584"/>
            <w:vAlign w:val="center"/>
          </w:tcPr>
          <w:p>
            <w:pPr>
              <w:spacing w:after="0"/>
            </w:pPr>
            <w:r/>
            <w:r>
              <w:rPr>
                <w:b/>
                <w:color w:val="0B2545"/>
                <w:sz w:val="18"/>
              </w:rPr>
              <w:t>Economic penalties</w:t>
            </w:r>
          </w:p>
        </w:tc>
        <w:tc>
          <w:tcPr>
            <w:tcW w:type="dxa" w:w="2088"/>
            <w:vAlign w:val="center"/>
          </w:tcPr>
          <w:p>
            <w:pPr>
              <w:spacing w:after="0"/>
            </w:pPr>
            <w:r/>
            <w:r>
              <w:rPr>
                <w:b w:val="0"/>
                <w:sz w:val="18"/>
              </w:rPr>
              <w:t>Yes; VST slashing</w:t>
            </w:r>
          </w:p>
        </w:tc>
        <w:tc>
          <w:tcPr>
            <w:tcW w:type="dxa" w:w="1440"/>
            <w:vAlign w:val="center"/>
          </w:tcPr>
          <w:p>
            <w:pPr>
              <w:spacing w:after="0"/>
            </w:pPr>
            <w:r/>
            <w:r>
              <w:rPr>
                <w:b w:val="0"/>
                <w:sz w:val="18"/>
              </w:rPr>
              <w:t>No verifier-slashing layer</w:t>
            </w:r>
          </w:p>
        </w:tc>
        <w:tc>
          <w:tcPr>
            <w:tcW w:type="dxa" w:w="1440"/>
            <w:vAlign w:val="center"/>
          </w:tcPr>
          <w:p>
            <w:pPr>
              <w:spacing w:after="0"/>
            </w:pPr>
            <w:r/>
            <w:r>
              <w:rPr>
                <w:b w:val="0"/>
                <w:sz w:val="18"/>
              </w:rPr>
              <w:t>Capital-at-risk mutual model</w:t>
            </w:r>
          </w:p>
        </w:tc>
        <w:tc>
          <w:tcPr>
            <w:tcW w:type="dxa" w:w="1440"/>
            <w:vAlign w:val="center"/>
          </w:tcPr>
          <w:p>
            <w:pPr>
              <w:spacing w:after="0"/>
            </w:pPr>
            <w:r/>
            <w:r>
              <w:rPr>
                <w:b w:val="0"/>
                <w:sz w:val="18"/>
              </w:rPr>
              <w:t>Yes; juror incentives</w:t>
            </w:r>
          </w:p>
        </w:tc>
        <w:tc>
          <w:tcPr>
            <w:tcW w:type="dxa" w:w="1584"/>
            <w:vAlign w:val="center"/>
          </w:tcPr>
          <w:p>
            <w:pPr>
              <w:spacing w:after="0"/>
            </w:pPr>
            <w:r/>
            <w:r>
              <w:rPr>
                <w:b w:val="0"/>
                <w:sz w:val="18"/>
              </w:rPr>
              <w:t>Employment/legal controls</w:t>
            </w:r>
          </w:p>
        </w:tc>
      </w:tr>
      <w:tr>
        <w:tc>
          <w:tcPr>
            <w:tcW w:type="dxa" w:w="1584"/>
            <w:vAlign w:val="center"/>
          </w:tcPr>
          <w:p>
            <w:pPr>
              <w:spacing w:after="0"/>
            </w:pPr>
            <w:r/>
            <w:r>
              <w:rPr>
                <w:b/>
                <w:color w:val="0B2545"/>
                <w:sz w:val="18"/>
              </w:rPr>
              <w:t>Contrarian rewards</w:t>
            </w:r>
          </w:p>
        </w:tc>
        <w:tc>
          <w:tcPr>
            <w:tcW w:type="dxa" w:w="2088"/>
            <w:vAlign w:val="center"/>
          </w:tcPr>
          <w:p>
            <w:pPr>
              <w:spacing w:after="0"/>
            </w:pPr>
            <w:r/>
            <w:r>
              <w:rPr>
                <w:b w:val="0"/>
                <w:sz w:val="18"/>
              </w:rPr>
              <w:t>Yes; accurate dissent can be rewarded</w:t>
            </w:r>
          </w:p>
        </w:tc>
        <w:tc>
          <w:tcPr>
            <w:tcW w:type="dxa" w:w="1440"/>
            <w:vAlign w:val="center"/>
          </w:tcPr>
          <w:p>
            <w:pPr>
              <w:spacing w:after="0"/>
            </w:pPr>
            <w:r/>
            <w:r>
              <w:rPr>
                <w:b w:val="0"/>
                <w:sz w:val="18"/>
              </w:rPr>
              <w:t>No</w:t>
            </w:r>
          </w:p>
        </w:tc>
        <w:tc>
          <w:tcPr>
            <w:tcW w:type="dxa" w:w="1440"/>
            <w:vAlign w:val="center"/>
          </w:tcPr>
          <w:p>
            <w:pPr>
              <w:spacing w:after="0"/>
            </w:pPr>
            <w:r/>
            <w:r>
              <w:rPr>
                <w:b w:val="0"/>
                <w:sz w:val="18"/>
              </w:rPr>
              <w:t>Limited</w:t>
            </w:r>
          </w:p>
        </w:tc>
        <w:tc>
          <w:tcPr>
            <w:tcW w:type="dxa" w:w="1440"/>
            <w:vAlign w:val="center"/>
          </w:tcPr>
          <w:p>
            <w:pPr>
              <w:spacing w:after="0"/>
            </w:pPr>
            <w:r/>
            <w:r>
              <w:rPr>
                <w:b w:val="0"/>
                <w:sz w:val="18"/>
              </w:rPr>
              <w:t>No direct carrier claim design</w:t>
            </w:r>
          </w:p>
        </w:tc>
        <w:tc>
          <w:tcPr>
            <w:tcW w:type="dxa" w:w="1584"/>
            <w:vAlign w:val="center"/>
          </w:tcPr>
          <w:p>
            <w:pPr>
              <w:spacing w:after="0"/>
            </w:pPr>
            <w:r/>
            <w:r>
              <w:rPr>
                <w:b w:val="0"/>
                <w:sz w:val="18"/>
              </w:rPr>
              <w:t>No formal market reward</w:t>
            </w:r>
          </w:p>
        </w:tc>
      </w:tr>
      <w:tr>
        <w:tc>
          <w:tcPr>
            <w:tcW w:type="dxa" w:w="1584"/>
            <w:vAlign w:val="center"/>
          </w:tcPr>
          <w:p>
            <w:pPr>
              <w:spacing w:after="0"/>
            </w:pPr>
            <w:r/>
            <w:r>
              <w:rPr>
                <w:b/>
                <w:color w:val="0B2545"/>
                <w:sz w:val="18"/>
              </w:rPr>
              <w:t>Carrier-friendly</w:t>
            </w:r>
          </w:p>
        </w:tc>
        <w:tc>
          <w:tcPr>
            <w:tcW w:type="dxa" w:w="2088"/>
            <w:vAlign w:val="center"/>
          </w:tcPr>
          <w:p>
            <w:pPr>
              <w:spacing w:after="0"/>
            </w:pPr>
            <w:r/>
            <w:r>
              <w:rPr>
                <w:b w:val="0"/>
                <w:sz w:val="18"/>
              </w:rPr>
              <w:t>Designed as protocol layer for licensed carriers</w:t>
            </w:r>
          </w:p>
        </w:tc>
        <w:tc>
          <w:tcPr>
            <w:tcW w:type="dxa" w:w="1440"/>
            <w:vAlign w:val="center"/>
          </w:tcPr>
          <w:p>
            <w:pPr>
              <w:spacing w:after="0"/>
            </w:pPr>
            <w:r/>
            <w:r>
              <w:rPr>
                <w:b w:val="0"/>
                <w:sz w:val="18"/>
              </w:rPr>
              <w:t>Mostly decentralized insurance products</w:t>
            </w:r>
          </w:p>
        </w:tc>
        <w:tc>
          <w:tcPr>
            <w:tcW w:type="dxa" w:w="1440"/>
            <w:vAlign w:val="center"/>
          </w:tcPr>
          <w:p>
            <w:pPr>
              <w:spacing w:after="0"/>
            </w:pPr>
            <w:r/>
            <w:r>
              <w:rPr>
                <w:b w:val="0"/>
                <w:sz w:val="18"/>
              </w:rPr>
              <w:t>Mutual membership model</w:t>
            </w:r>
          </w:p>
        </w:tc>
        <w:tc>
          <w:tcPr>
            <w:tcW w:type="dxa" w:w="1440"/>
            <w:vAlign w:val="center"/>
          </w:tcPr>
          <w:p>
            <w:pPr>
              <w:spacing w:after="0"/>
            </w:pPr>
            <w:r/>
            <w:r>
              <w:rPr>
                <w:b w:val="0"/>
                <w:sz w:val="18"/>
              </w:rPr>
              <w:t>General dispute protocol</w:t>
            </w:r>
          </w:p>
        </w:tc>
        <w:tc>
          <w:tcPr>
            <w:tcW w:type="dxa" w:w="1584"/>
            <w:vAlign w:val="center"/>
          </w:tcPr>
          <w:p>
            <w:pPr>
              <w:spacing w:after="0"/>
            </w:pPr>
            <w:r/>
            <w:r>
              <w:rPr>
                <w:b w:val="0"/>
                <w:sz w:val="18"/>
              </w:rPr>
              <w:t>Native workflow but opaque</w:t>
            </w:r>
          </w:p>
        </w:tc>
      </w:tr>
      <w:tr>
        <w:tc>
          <w:tcPr>
            <w:tcW w:type="dxa" w:w="1584"/>
            <w:vAlign w:val="center"/>
          </w:tcPr>
          <w:p>
            <w:pPr>
              <w:spacing w:after="0"/>
            </w:pPr>
            <w:r/>
            <w:r>
              <w:rPr>
                <w:b/>
                <w:color w:val="0B2545"/>
                <w:sz w:val="18"/>
              </w:rPr>
              <w:t>Regulated-friendly</w:t>
            </w:r>
          </w:p>
        </w:tc>
        <w:tc>
          <w:tcPr>
            <w:tcW w:type="dxa" w:w="2088"/>
            <w:vAlign w:val="center"/>
          </w:tcPr>
          <w:p>
            <w:pPr>
              <w:spacing w:after="0"/>
            </w:pPr>
            <w:r/>
            <w:r>
              <w:rPr>
                <w:b w:val="0"/>
                <w:sz w:val="18"/>
              </w:rPr>
              <w:t>Carrier keeps underwriting authority and reserves</w:t>
            </w:r>
          </w:p>
        </w:tc>
        <w:tc>
          <w:tcPr>
            <w:tcW w:type="dxa" w:w="1440"/>
            <w:vAlign w:val="center"/>
          </w:tcPr>
          <w:p>
            <w:pPr>
              <w:spacing w:after="0"/>
            </w:pPr>
            <w:r/>
            <w:r>
              <w:rPr>
                <w:b w:val="0"/>
                <w:sz w:val="18"/>
              </w:rPr>
              <w:t>Limited</w:t>
            </w:r>
          </w:p>
        </w:tc>
        <w:tc>
          <w:tcPr>
            <w:tcW w:type="dxa" w:w="1440"/>
            <w:vAlign w:val="center"/>
          </w:tcPr>
          <w:p>
            <w:pPr>
              <w:spacing w:after="0"/>
            </w:pPr>
            <w:r/>
            <w:r>
              <w:rPr>
                <w:b w:val="0"/>
                <w:sz w:val="18"/>
              </w:rPr>
              <w:t>Limited</w:t>
            </w:r>
          </w:p>
        </w:tc>
        <w:tc>
          <w:tcPr>
            <w:tcW w:type="dxa" w:w="1440"/>
            <w:vAlign w:val="center"/>
          </w:tcPr>
          <w:p>
            <w:pPr>
              <w:spacing w:after="0"/>
            </w:pPr>
            <w:r/>
            <w:r>
              <w:rPr>
                <w:b w:val="0"/>
                <w:sz w:val="18"/>
              </w:rPr>
              <w:t>Limited</w:t>
            </w:r>
          </w:p>
        </w:tc>
        <w:tc>
          <w:tcPr>
            <w:tcW w:type="dxa" w:w="1584"/>
            <w:vAlign w:val="center"/>
          </w:tcPr>
          <w:p>
            <w:pPr>
              <w:spacing w:after="0"/>
            </w:pPr>
            <w:r/>
            <w:r>
              <w:rPr>
                <w:b w:val="0"/>
                <w:sz w:val="18"/>
              </w:rPr>
              <w:t>High, but biased by incentives</w:t>
            </w:r>
          </w:p>
        </w:tc>
      </w:tr>
      <w:tr>
        <w:tc>
          <w:tcPr>
            <w:tcW w:type="dxa" w:w="1584"/>
            <w:vAlign w:val="center"/>
          </w:tcPr>
          <w:p>
            <w:pPr>
              <w:spacing w:after="0"/>
            </w:pPr>
            <w:r/>
            <w:r>
              <w:rPr>
                <w:b/>
                <w:color w:val="0B2545"/>
                <w:sz w:val="18"/>
              </w:rPr>
              <w:t>Privacy-aware</w:t>
            </w:r>
          </w:p>
        </w:tc>
        <w:tc>
          <w:tcPr>
            <w:tcW w:type="dxa" w:w="2088"/>
            <w:vAlign w:val="center"/>
          </w:tcPr>
          <w:p>
            <w:pPr>
              <w:spacing w:after="0"/>
            </w:pPr>
            <w:r/>
            <w:r>
              <w:rPr>
                <w:b w:val="0"/>
                <w:sz w:val="18"/>
              </w:rPr>
              <w:t>No PII on-chain; private evidence surfaces planned</w:t>
            </w:r>
          </w:p>
        </w:tc>
        <w:tc>
          <w:tcPr>
            <w:tcW w:type="dxa" w:w="1440"/>
            <w:vAlign w:val="center"/>
          </w:tcPr>
          <w:p>
            <w:pPr>
              <w:spacing w:after="0"/>
            </w:pPr>
            <w:r/>
            <w:r>
              <w:rPr>
                <w:b w:val="0"/>
                <w:sz w:val="18"/>
              </w:rPr>
              <w:t>Basic</w:t>
            </w:r>
          </w:p>
        </w:tc>
        <w:tc>
          <w:tcPr>
            <w:tcW w:type="dxa" w:w="1440"/>
            <w:vAlign w:val="center"/>
          </w:tcPr>
          <w:p>
            <w:pPr>
              <w:spacing w:after="0"/>
            </w:pPr>
            <w:r/>
            <w:r>
              <w:rPr>
                <w:b w:val="0"/>
                <w:sz w:val="18"/>
              </w:rPr>
              <w:t>Basic</w:t>
            </w:r>
          </w:p>
        </w:tc>
        <w:tc>
          <w:tcPr>
            <w:tcW w:type="dxa" w:w="1440"/>
            <w:vAlign w:val="center"/>
          </w:tcPr>
          <w:p>
            <w:pPr>
              <w:spacing w:after="0"/>
            </w:pPr>
            <w:r/>
            <w:r>
              <w:rPr>
                <w:b w:val="0"/>
                <w:sz w:val="18"/>
              </w:rPr>
              <w:t>Case-dependent</w:t>
            </w:r>
          </w:p>
        </w:tc>
        <w:tc>
          <w:tcPr>
            <w:tcW w:type="dxa" w:w="1584"/>
            <w:vAlign w:val="center"/>
          </w:tcPr>
          <w:p>
            <w:pPr>
              <w:spacing w:after="0"/>
            </w:pPr>
            <w:r/>
            <w:r>
              <w:rPr>
                <w:b w:val="0"/>
                <w:sz w:val="18"/>
              </w:rPr>
              <w:t>Internal systems only</w:t>
            </w:r>
          </w:p>
        </w:tc>
      </w:tr>
    </w:tbl>
    <w:p/>
    <w:p>
      <w:pPr>
        <w:pStyle w:val="Heading1"/>
      </w:pPr>
      <w:r>
        <w:rPr>
          <w:color w:val="0B2545"/>
          <w:sz w:val="36"/>
        </w:rPr>
        <w:t>8. Privacy, Compliance, and Legal Posture</w:t>
      </w:r>
    </w:p>
    <w:p>
      <w:pPr>
        <w:spacing w:after="60" w:line="252" w:lineRule="auto"/>
        <w:ind w:left="346" w:hanging="202"/>
      </w:pPr>
      <w:r>
        <w:rPr>
          <w:color w:val="2563EB"/>
        </w:rPr>
        <w:t xml:space="preserve">• </w:t>
      </w:r>
      <w:r>
        <w:t>Veristake is software infrastructure, not an insurance carrier.</w:t>
      </w:r>
    </w:p>
    <w:p>
      <w:pPr>
        <w:spacing w:after="60" w:line="252" w:lineRule="auto"/>
        <w:ind w:left="346" w:hanging="202"/>
      </w:pPr>
      <w:r>
        <w:rPr>
          <w:color w:val="2563EB"/>
        </w:rPr>
        <w:t xml:space="preserve">• </w:t>
      </w:r>
      <w:r>
        <w:t>The carrier remains the regulated party responsible for policies, underwriting, and claims obligations.</w:t>
      </w:r>
    </w:p>
    <w:p>
      <w:pPr>
        <w:spacing w:after="60" w:line="252" w:lineRule="auto"/>
        <w:ind w:left="346" w:hanging="202"/>
      </w:pPr>
      <w:r>
        <w:rPr>
          <w:color w:val="2563EB"/>
        </w:rPr>
        <w:t xml:space="preserve">• </w:t>
      </w:r>
      <w:r>
        <w:t>Claim evidence should be stored off-chain with access control; on-chain state should avoid PII.</w:t>
      </w:r>
    </w:p>
    <w:p>
      <w:pPr>
        <w:spacing w:after="60" w:line="252" w:lineRule="auto"/>
        <w:ind w:left="346" w:hanging="202"/>
      </w:pPr>
      <w:r>
        <w:rPr>
          <w:color w:val="2563EB"/>
        </w:rPr>
        <w:t xml:space="preserve">• </w:t>
      </w:r>
      <w:r>
        <w:t>Credentialing, KYC, TEEs, ZK proofs, and formal legal review are roadmap items, not claims of completed production compliance.</w:t>
      </w:r>
    </w:p>
    <w:p>
      <w:pPr>
        <w:spacing w:after="60" w:line="252" w:lineRule="auto"/>
        <w:ind w:left="346" w:hanging="202"/>
      </w:pPr>
      <w:r>
        <w:rPr>
          <w:color w:val="2563EB"/>
        </w:rPr>
        <w:t xml:space="preserve">• </w:t>
      </w:r>
      <w:r>
        <w:t>The public legal page is explicitly a draft pending founder and counsel review.</w:t>
      </w:r>
    </w:p>
    <w:p>
      <w:pPr>
        <w:pStyle w:val="Heading1"/>
      </w:pPr>
      <w:r>
        <w:rPr>
          <w:color w:val="0B2545"/>
          <w:sz w:val="36"/>
        </w:rPr>
        <w:t>9. Business Model</w:t>
      </w:r>
    </w:p>
    <w:p>
      <w:pPr>
        <w:spacing w:after="140" w:line="259" w:lineRule="auto"/>
      </w:pPr>
      <w:r>
        <w:t>The commercial model should stay simple for early carrier conversations. Veristake sells access to a verification layer: software integration, domain-specific verifier liquidity, and auditable claim-resolution infrastructure.</w:t>
      </w:r>
    </w:p>
    <w:p>
      <w:pPr>
        <w:spacing w:after="60" w:line="252" w:lineRule="auto"/>
        <w:ind w:left="346" w:hanging="202"/>
      </w:pPr>
      <w:r>
        <w:rPr>
          <w:color w:val="2563EB"/>
        </w:rPr>
        <w:t xml:space="preserve">• </w:t>
      </w:r>
      <w:r>
        <w:t>Enterprise protocol licensing or SaaS fees for carrier integration.</w:t>
      </w:r>
    </w:p>
    <w:p>
      <w:pPr>
        <w:spacing w:after="60" w:line="252" w:lineRule="auto"/>
        <w:ind w:left="346" w:hanging="202"/>
      </w:pPr>
      <w:r>
        <w:rPr>
          <w:color w:val="2563EB"/>
        </w:rPr>
        <w:t xml:space="preserve">• </w:t>
      </w:r>
      <w:r>
        <w:t>Claim review fees paid by carriers, brokers, or program administrators.</w:t>
      </w:r>
    </w:p>
    <w:p>
      <w:pPr>
        <w:spacing w:after="60" w:line="252" w:lineRule="auto"/>
        <w:ind w:left="346" w:hanging="202"/>
      </w:pPr>
      <w:r>
        <w:rPr>
          <w:color w:val="2563EB"/>
        </w:rPr>
        <w:t xml:space="preserve">• </w:t>
      </w:r>
      <w:r>
        <w:t>Optional treasury share from protocol fees, subject to legal and tax review.</w:t>
      </w:r>
    </w:p>
    <w:p>
      <w:pPr>
        <w:spacing w:after="60" w:line="252" w:lineRule="auto"/>
        <w:ind w:left="346" w:hanging="202"/>
      </w:pPr>
      <w:r>
        <w:rPr>
          <w:color w:val="2563EB"/>
        </w:rPr>
        <w:t xml:space="preserve">• </w:t>
      </w:r>
      <w:r>
        <w:t>VST supports verifier staking and accountability; it should not be marketed as consumer insurance coverage.</w:t>
      </w:r>
    </w:p>
    <w:p>
      <w:pPr>
        <w:pStyle w:val="Heading1"/>
      </w:pPr>
      <w:r>
        <w:rPr>
          <w:color w:val="0B2545"/>
          <w:sz w:val="36"/>
        </w:rPr>
        <w:t>10. Roadmap</w:t>
      </w:r>
    </w:p>
    <w:tbl>
      <w:tblPr>
        <w:tblW w:type="auto" w:w="0"/>
        <w:jc w:val="center"/>
        <w:tblLook w:firstColumn="1" w:firstRow="1" w:lastColumn="0" w:lastRow="0" w:noHBand="0" w:noVBand="1" w:val="04A0"/>
      </w:tblPr>
      <w:tblGrid>
        <w:gridCol w:w="3264"/>
        <w:gridCol w:w="3264"/>
        <w:gridCol w:w="3264"/>
      </w:tblGrid>
      <w:tr>
        <w:trPr>
          <w:tblHeader w:val="true"/>
        </w:trPr>
        <w:tc>
          <w:tcPr>
            <w:tcW w:type="dxa" w:w="1296"/>
            <w:vAlign w:val="center"/>
            <w:shd w:fill="FFF7ED"/>
          </w:tcPr>
          <w:p>
            <w:pPr>
              <w:spacing w:after="0"/>
            </w:pPr>
            <w:r/>
            <w:r>
              <w:rPr>
                <w:b/>
                <w:color w:val="0B2545"/>
                <w:sz w:val="18"/>
              </w:rPr>
              <w:t>Status</w:t>
            </w:r>
          </w:p>
        </w:tc>
        <w:tc>
          <w:tcPr>
            <w:tcW w:type="dxa" w:w="2592"/>
            <w:vAlign w:val="center"/>
            <w:shd w:fill="FFF7ED"/>
          </w:tcPr>
          <w:p>
            <w:pPr>
              <w:spacing w:after="0"/>
            </w:pPr>
            <w:r/>
            <w:r>
              <w:rPr>
                <w:b/>
                <w:color w:val="0B2545"/>
                <w:sz w:val="18"/>
              </w:rPr>
              <w:t>Milestone</w:t>
            </w:r>
          </w:p>
        </w:tc>
        <w:tc>
          <w:tcPr>
            <w:tcW w:type="dxa" w:w="5616"/>
            <w:vAlign w:val="center"/>
            <w:shd w:fill="FFF7ED"/>
          </w:tcPr>
          <w:p>
            <w:pPr>
              <w:spacing w:after="0"/>
            </w:pPr>
            <w:r/>
            <w:r>
              <w:rPr>
                <w:b/>
                <w:color w:val="0B2545"/>
                <w:sz w:val="18"/>
              </w:rPr>
              <w:t>Deliverable</w:t>
            </w:r>
          </w:p>
        </w:tc>
      </w:tr>
      <w:tr>
        <w:tc>
          <w:tcPr>
            <w:tcW w:type="dxa" w:w="1296"/>
            <w:vAlign w:val="center"/>
          </w:tcPr>
          <w:p>
            <w:pPr>
              <w:spacing w:after="0"/>
            </w:pPr>
            <w:r/>
            <w:r>
              <w:rPr>
                <w:b/>
                <w:color w:val="166534"/>
                <w:sz w:val="18"/>
              </w:rPr>
              <w:t>Completed</w:t>
            </w:r>
          </w:p>
        </w:tc>
        <w:tc>
          <w:tcPr>
            <w:tcW w:type="dxa" w:w="2592"/>
            <w:vAlign w:val="center"/>
          </w:tcPr>
          <w:p>
            <w:pPr>
              <w:spacing w:after="0"/>
            </w:pPr>
            <w:r/>
            <w:r>
              <w:rPr>
                <w:b/>
                <w:color w:val="0B2545"/>
                <w:sz w:val="18"/>
              </w:rPr>
              <w:t>Phase 1 contracts</w:t>
            </w:r>
          </w:p>
        </w:tc>
        <w:tc>
          <w:tcPr>
            <w:tcW w:type="dxa" w:w="5616"/>
            <w:vAlign w:val="center"/>
          </w:tcPr>
          <w:p>
            <w:pPr>
              <w:spacing w:after="0"/>
            </w:pPr>
            <w:r/>
            <w:r>
              <w:rPr>
                <w:b w:val="0"/>
                <w:sz w:val="18"/>
              </w:rPr>
              <w:t>Foundry system with registry, voting, staking, reputation, slashing, carrier reserve, and deployment scripts.</w:t>
            </w:r>
          </w:p>
        </w:tc>
      </w:tr>
      <w:tr>
        <w:tc>
          <w:tcPr>
            <w:tcW w:type="dxa" w:w="1296"/>
            <w:vAlign w:val="center"/>
          </w:tcPr>
          <w:p>
            <w:pPr>
              <w:spacing w:after="0"/>
            </w:pPr>
            <w:r/>
            <w:r>
              <w:rPr>
                <w:b/>
                <w:color w:val="166534"/>
                <w:sz w:val="18"/>
              </w:rPr>
              <w:t>Completed</w:t>
            </w:r>
          </w:p>
        </w:tc>
        <w:tc>
          <w:tcPr>
            <w:tcW w:type="dxa" w:w="2592"/>
            <w:vAlign w:val="center"/>
          </w:tcPr>
          <w:p>
            <w:pPr>
              <w:spacing w:after="0"/>
            </w:pPr>
            <w:r/>
            <w:r>
              <w:rPr>
                <w:b/>
                <w:color w:val="0B2545"/>
                <w:sz w:val="18"/>
              </w:rPr>
              <w:t>Phase 2 demo surface</w:t>
            </w:r>
          </w:p>
        </w:tc>
        <w:tc>
          <w:tcPr>
            <w:tcW w:type="dxa" w:w="5616"/>
            <w:vAlign w:val="center"/>
          </w:tcPr>
          <w:p>
            <w:r>
              <w:t>Next.js site, sourced landing page, three carrier-workflow views, screenshots, narrated walkthrough, legal/footer/metadata polish.</w:t>
            </w:r>
          </w:p>
        </w:tc>
      </w:tr>
      <w:tr>
        <w:tc>
          <w:tcPr>
            <w:tcW w:type="dxa" w:w="1296"/>
            <w:vAlign w:val="center"/>
          </w:tcPr>
          <w:p>
            <w:pPr>
              <w:spacing w:after="0"/>
            </w:pPr>
            <w:r/>
            <w:r>
              <w:rPr>
                <w:b/>
                <w:color w:val="166534"/>
                <w:sz w:val="18"/>
              </w:rPr>
              <w:t>Completed</w:t>
            </w:r>
          </w:p>
        </w:tc>
        <w:tc>
          <w:tcPr>
            <w:tcW w:type="dxa" w:w="2592"/>
            <w:vAlign w:val="center"/>
          </w:tcPr>
          <w:p>
            <w:pPr>
              <w:spacing w:after="0"/>
            </w:pPr>
            <w:r/>
            <w:r>
              <w:rPr>
                <w:b/>
                <w:color w:val="0B2545"/>
                <w:sz w:val="18"/>
              </w:rPr>
              <w:t>Production-grade testnet dashboard</w:t>
            </w:r>
          </w:p>
        </w:tc>
        <w:tc>
          <w:tcPr>
            <w:tcW w:type="dxa" w:w="5616"/>
            <w:vAlign w:val="center"/>
          </w:tcPr>
          <w:p>
            <w:pPr>
              <w:spacing w:after="0"/>
            </w:pPr>
            <w:r/>
            <w:r>
              <w:rPr>
                <w:b w:val="0"/>
                <w:sz w:val="18"/>
              </w:rPr>
              <w:t>Base Sepolia deployment seeded with 5 claims, 2 carriers, 1 slashing event, and 1,950 VST staked for live read-only metrics.</w:t>
            </w:r>
          </w:p>
        </w:tc>
      </w:tr>
      <w:tr>
        <w:tc>
          <w:tcPr>
            <w:tcW w:type="dxa" w:w="1296"/>
            <w:vAlign w:val="center"/>
          </w:tcPr>
          <w:p>
            <w:pPr>
              <w:spacing w:after="0"/>
            </w:pPr>
            <w:r/>
            <w:r>
              <w:rPr>
                <w:b/>
                <w:color w:val="92400E"/>
                <w:sz w:val="18"/>
              </w:rPr>
              <w:t>Next</w:t>
            </w:r>
          </w:p>
        </w:tc>
        <w:tc>
          <w:tcPr>
            <w:tcW w:type="dxa" w:w="2592"/>
            <w:vAlign w:val="center"/>
          </w:tcPr>
          <w:p>
            <w:pPr>
              <w:spacing w:after="0"/>
            </w:pPr>
            <w:r/>
            <w:r>
              <w:rPr>
                <w:b/>
                <w:color w:val="0B2545"/>
                <w:sz w:val="18"/>
              </w:rPr>
              <w:t>Tenderly/Privy full demo activation</w:t>
            </w:r>
          </w:p>
        </w:tc>
        <w:tc>
          <w:tcPr>
            <w:tcW w:type="dxa" w:w="5616"/>
            <w:vAlign w:val="center"/>
          </w:tcPr>
          <w:p>
            <w:pPr>
              <w:spacing w:after="0"/>
            </w:pPr>
            <w:r/>
            <w:r>
              <w:rPr>
                <w:b w:val="0"/>
                <w:sz w:val="18"/>
              </w:rPr>
              <w:t>Founder-provided Tenderly and Privy secrets enable real embedded-wallet demo writes in the sandbox.</w:t>
            </w:r>
          </w:p>
        </w:tc>
      </w:tr>
      <w:tr>
        <w:tc>
          <w:tcPr>
            <w:tcW w:type="dxa" w:w="1296"/>
            <w:vAlign w:val="center"/>
          </w:tcPr>
          <w:p>
            <w:pPr>
              <w:spacing w:after="0"/>
            </w:pPr>
            <w:r/>
            <w:r>
              <w:rPr>
                <w:b/>
                <w:color w:val="92400E"/>
                <w:sz w:val="18"/>
              </w:rPr>
              <w:t>Next</w:t>
            </w:r>
          </w:p>
        </w:tc>
        <w:tc>
          <w:tcPr>
            <w:tcW w:type="dxa" w:w="2592"/>
            <w:vAlign w:val="center"/>
          </w:tcPr>
          <w:p>
            <w:pPr>
              <w:spacing w:after="0"/>
            </w:pPr>
            <w:r/>
            <w:r>
              <w:rPr>
                <w:b/>
                <w:color w:val="0B2545"/>
                <w:sz w:val="18"/>
              </w:rPr>
              <w:t>Pilot integration package</w:t>
            </w:r>
          </w:p>
        </w:tc>
        <w:tc>
          <w:tcPr>
            <w:tcW w:type="dxa" w:w="5616"/>
            <w:vAlign w:val="center"/>
          </w:tcPr>
          <w:p>
            <w:pPr>
              <w:spacing w:after="0"/>
            </w:pPr>
            <w:r/>
            <w:r>
              <w:rPr>
                <w:b w:val="0"/>
                <w:sz w:val="18"/>
              </w:rPr>
              <w:t>API wrapper, carrier onboarding docs, compliance questionnaire, and sandbox policy templates for health and auto carriers.</w:t>
            </w:r>
          </w:p>
        </w:tc>
      </w:tr>
      <w:tr>
        <w:tc>
          <w:tcPr>
            <w:tcW w:type="dxa" w:w="1296"/>
            <w:vAlign w:val="center"/>
          </w:tcPr>
          <w:p>
            <w:pPr>
              <w:spacing w:after="0"/>
            </w:pPr>
            <w:r/>
            <w:r>
              <w:rPr>
                <w:b/>
                <w:color w:val="475569"/>
                <w:sz w:val="18"/>
              </w:rPr>
              <w:t>Later</w:t>
            </w:r>
          </w:p>
        </w:tc>
        <w:tc>
          <w:tcPr>
            <w:tcW w:type="dxa" w:w="2592"/>
            <w:vAlign w:val="center"/>
          </w:tcPr>
          <w:p>
            <w:pPr>
              <w:spacing w:after="0"/>
            </w:pPr>
            <w:r/>
            <w:r>
              <w:rPr>
                <w:b/>
                <w:color w:val="0B2545"/>
                <w:sz w:val="18"/>
              </w:rPr>
              <w:t>Privacy hardening</w:t>
            </w:r>
          </w:p>
        </w:tc>
        <w:tc>
          <w:tcPr>
            <w:tcW w:type="dxa" w:w="5616"/>
            <w:vAlign w:val="center"/>
          </w:tcPr>
          <w:p>
            <w:pPr>
              <w:spacing w:after="0"/>
            </w:pPr>
            <w:r/>
            <w:r>
              <w:rPr>
                <w:b w:val="0"/>
                <w:sz w:val="18"/>
              </w:rPr>
              <w:t>Credentialing, evidence redaction, optional TEE/ZK proof paths, and formal security/legal review.</w:t>
            </w:r>
          </w:p>
        </w:tc>
      </w:tr>
    </w:tbl>
    <w:p/>
    <w:p>
      <w:pPr>
        <w:pStyle w:val="Heading1"/>
      </w:pPr>
      <w:r>
        <w:rPr>
          <w:color w:val="0B2545"/>
          <w:sz w:val="36"/>
        </w:rPr>
        <w:t>11. Team</w:t>
      </w:r>
    </w:p>
    <w:p>
      <w:pPr>
        <w:spacing w:after="140" w:line="259" w:lineRule="auto"/>
      </w:pPr>
      <w:r>
        <w:t>Oscar Li - Founder. Sole creator and developer of Veristake; leads product direction, protocol design, smart-contract coordination, compliance framing, deployment workflow, and external strategy.</w:t>
      </w:r>
    </w:p>
    <w:p>
      <w:pPr>
        <w:spacing w:after="140" w:line="259" w:lineRule="auto"/>
      </w:pPr>
      <w:r>
        <w:t>Advisory needs: insurance regulatory counsel, health billing reviewers, auto claims specialists, actuarial/reinsurance advisors, and privacy/security reviewers.</w:t>
      </w:r>
    </w:p>
    <w:p>
      <w:pPr>
        <w:pStyle w:val="Heading1"/>
      </w:pPr>
      <w:r>
        <w:rPr>
          <w:color w:val="0B2545"/>
          <w:sz w:val="36"/>
        </w:rPr>
        <w:t>12. Investor and Carrier FAQ</w:t>
      </w:r>
    </w:p>
    <w:p>
      <w:pPr>
        <w:spacing w:after="20"/>
      </w:pPr>
      <w:r>
        <w:rPr>
          <w:b/>
          <w:color w:val="0B2545"/>
        </w:rPr>
        <w:t>Is Veristake an insurance carrier?</w:t>
      </w:r>
    </w:p>
    <w:p>
      <w:pPr>
        <w:spacing w:after="140" w:line="259" w:lineRule="auto"/>
      </w:pPr>
      <w:r>
        <w:t>No. Veristake is software infrastructure for verification. Licensed carriers keep policies, reserves, underwriting authority, and legal obligations.</w:t>
      </w:r>
    </w:p>
    <w:p>
      <w:pPr/>
      <w:r>
        <w:t>Why not process every claim?</w:t>
      </w:r>
    </w:p>
    <w:p>
      <w:pPr/>
      <w:r>
        <w:t>Because most claims are routine, low-friction, and already well suited to existing carrier systems. Veristake is designed for disputed appeals, large or delayed payouts, complex evidence, suspected fraud, and grey-area cases where independent review creates more value than it costs.</w:t>
      </w:r>
    </w:p>
    <w:p>
      <w:pPr>
        <w:spacing w:after="20"/>
      </w:pPr>
      <w:r>
        <w:rPr>
          <w:b/>
          <w:color w:val="0B2545"/>
        </w:rPr>
        <w:t>Why would a carrier use it?</w:t>
      </w:r>
    </w:p>
    <w:p>
      <w:pPr>
        <w:spacing w:after="140" w:line="259" w:lineRule="auto"/>
      </w:pPr>
      <w:r>
        <w:t>To add independent, economically accountable review for disputed or high-friction claims without building a verifier market from scratch.</w:t>
      </w:r>
    </w:p>
    <w:p>
      <w:pPr>
        <w:spacing w:after="20"/>
      </w:pPr>
      <w:r>
        <w:rPr>
          <w:b/>
          <w:color w:val="0B2545"/>
        </w:rPr>
        <w:t>Why would verifiers act honestly?</w:t>
      </w:r>
    </w:p>
    <w:p>
      <w:pPr>
        <w:spacing w:after="140" w:line="259" w:lineRule="auto"/>
      </w:pPr>
      <w:r>
        <w:t>They stake VST, build reputation, and face slashing for clearly wrong or reckless review. Correct minority review can be rewarded.</w:t>
      </w:r>
    </w:p>
    <w:p>
      <w:pPr>
        <w:spacing w:after="20"/>
      </w:pPr>
      <w:r>
        <w:rPr>
          <w:b/>
          <w:color w:val="0B2545"/>
        </w:rPr>
        <w:t>Why health and auto first?</w:t>
      </w:r>
    </w:p>
    <w:p>
      <w:pPr>
        <w:spacing w:after="140" w:line="259" w:lineRule="auto"/>
      </w:pPr>
      <w:r>
        <w:t>The sourced denial, appeal, and complaint data make the trust problem easy to explain, and the claim packets can be structured enough for a controlled demo.</w:t>
      </w:r>
    </w:p>
    <w:p>
      <w:pPr>
        <w:spacing w:after="20"/>
      </w:pPr>
      <w:r>
        <w:rPr>
          <w:b/>
          <w:color w:val="0B2545"/>
        </w:rPr>
        <w:t>What is live today?</w:t>
      </w:r>
    </w:p>
    <w:p>
      <w:pPr>
        <w:spacing w:after="140" w:line="259" w:lineRule="auto"/>
      </w:pPr>
      <w:r>
        <w:t>A deployed site, production-grade Base Sepolia dashboard, seeded protocol metrics, contract system, screenshot/video assets, and setup/deploy automation.</w:t>
      </w:r>
    </w:p>
    <w:p>
      <w:pPr>
        <w:spacing w:after="20"/>
      </w:pPr>
      <w:r>
        <w:rPr>
          <w:b/>
          <w:color w:val="0B2545"/>
        </w:rPr>
        <w:t>What is still pending?</w:t>
      </w:r>
    </w:p>
    <w:p>
      <w:pPr>
        <w:spacing w:after="140" w:line="259" w:lineRule="auto"/>
      </w:pPr>
      <w:r>
        <w:t>Full Tenderly/Privy production secrets, formal legal review, custom domain, real carrier logos, and pilot customer validation.</w:t>
      </w:r>
    </w:p>
    <w:p>
      <w:pPr>
        <w:pStyle w:val="Heading1"/>
      </w:pPr>
      <w:r>
        <w:rPr>
          <w:color w:val="0B2545"/>
          <w:sz w:val="36"/>
        </w:rPr>
        <w:t>13. References</w:t>
      </w:r>
    </w:p>
    <w:p>
      <w:pPr>
        <w:spacing w:after="60" w:line="252" w:lineRule="auto"/>
        <w:ind w:left="346" w:hanging="202"/>
      </w:pPr>
      <w:r>
        <w:rPr>
          <w:color w:val="2563EB"/>
        </w:rPr>
        <w:t xml:space="preserve">• </w:t>
      </w:r>
      <w:r>
        <w:t>KFF. Claims Denials and Appeals in ACA Marketplace Plans in 2024. https://www.kff.org/patient-consumer-protections/claims-denials-and-appeals-in-aca-marketplace-plans-in-2024/</w:t>
      </w:r>
    </w:p>
    <w:p>
      <w:pPr>
        <w:spacing w:after="60" w:line="252" w:lineRule="auto"/>
        <w:ind w:left="346" w:hanging="202"/>
      </w:pPr>
      <w:r>
        <w:rPr>
          <w:color w:val="2563EB"/>
        </w:rPr>
        <w:t xml:space="preserve">• </w:t>
      </w:r>
      <w:r>
        <w:t>KFF. Medicare Advantage Insurers Made Nearly 53 Million Prior Authorization Determinations in 2024. https://www.kff.org/medicare/nearly-50-million-prior-authorization-requests-were-sent-to-medicare-advantage-insurers-in-2023/</w:t>
      </w:r>
    </w:p>
    <w:p>
      <w:pPr>
        <w:spacing w:after="60" w:line="252" w:lineRule="auto"/>
        <w:ind w:left="346" w:hanging="202"/>
      </w:pPr>
      <w:r>
        <w:rPr>
          <w:color w:val="2563EB"/>
        </w:rPr>
        <w:t xml:space="preserve">• </w:t>
      </w:r>
      <w:r>
        <w:t>ValuePenguin analysis of NAIC Consumer Information Source data. Most Common Insurance Complaints. https://www.valuepenguin.com/most-common-insurance-complaints</w:t>
      </w:r>
    </w:p>
    <w:p>
      <w:pPr>
        <w:spacing w:after="60" w:line="252" w:lineRule="auto"/>
        <w:ind w:left="346" w:hanging="202"/>
      </w:pPr>
      <w:r>
        <w:rPr>
          <w:color w:val="2563EB"/>
        </w:rPr>
        <w:t xml:space="preserve">• </w:t>
      </w:r>
      <w:r>
        <w:t>Veristake demo site. https://veristake-demo.vercel.app</w:t>
      </w:r>
    </w:p>
    <w:p>
      <w:pPr>
        <w:spacing w:after="60" w:line="252" w:lineRule="auto"/>
        <w:ind w:left="346" w:hanging="202"/>
      </w:pPr>
      <w:r>
        <w:rPr>
          <w:color w:val="2563EB"/>
        </w:rPr>
        <w:t xml:space="preserve">• </w:t>
      </w:r>
      <w:r>
        <w:t>Veristake public dashboard. https://veristake-demo.vercel.app/dashboard</w:t>
      </w:r>
    </w:p>
    <w:p>
      <w:pPr>
        <w:spacing w:after="60" w:line="252" w:lineRule="auto"/>
        <w:ind w:left="346" w:hanging="202"/>
      </w:pPr>
      <w:r>
        <w:rPr>
          <w:color w:val="2563EB"/>
        </w:rPr>
        <w:t xml:space="preserve">• </w:t>
      </w:r>
      <w:r>
        <w:t>Veristake repository. https://github.com/oscar174831/veristake</w:t>
      </w:r>
    </w:p>
    <w:p>
      <w:pPr>
        <w:pStyle w:val="Heading1"/>
      </w:pPr>
      <w:r>
        <w:rPr>
          <w:color w:val="0B2545"/>
          <w:sz w:val="36"/>
        </w:rPr>
        <w:t>Contact</w:t>
      </w:r>
    </w:p>
    <w:p>
      <w:pPr>
        <w:spacing w:after="140" w:line="259" w:lineRule="auto"/>
      </w:pPr>
      <w:r>
        <w:t>Project email: yinghai.li@vanderbilt.edu</w:t>
      </w:r>
    </w:p>
    <w:p>
      <w:pPr>
        <w:spacing w:after="140" w:line="259" w:lineRule="auto"/>
      </w:pPr>
      <w:r>
        <w:t>Founder contact: yinghai.li@vanderbilt.edu</w:t>
      </w:r>
    </w:p>
    <w:p>
      <w:pPr>
        <w:spacing w:after="140" w:line="259" w:lineRule="auto"/>
      </w:pPr>
      <w:r>
        <w:t>Live demo: https://veristake-demo.vercel.app</w:t>
      </w:r>
    </w:p>
    <w:p>
      <w:pPr>
        <w:spacing w:after="140" w:line="259" w:lineRule="auto"/>
      </w:pPr>
      <w:r>
        <w:t>GitHub: https://github.com/oscar174831/veristake</w:t>
      </w:r>
    </w:p>
    <w:sectPr w:rsidR="00445A1D">
      <w:pgSz w:w="12240" w:h="15840"/>
      <w:pgMar w:top="1080" w:right="1224" w:bottom="1080" w:left="12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83855"/>
    <w:multiLevelType w:val="hybridMultilevel"/>
    <w:tmpl w:val="8C647048"/>
    <w:lvl w:ilvl="0" w:tplc="05AAAEE6">
      <w:start w:val="1"/>
      <w:numFmt w:val="decimal"/>
      <w:lvlText w:val="%1."/>
      <w:lvlJc w:val="left"/>
      <w:pPr>
        <w:ind w:left="327"/>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1" w:tplc="6008AAC8">
      <w:start w:val="1"/>
      <w:numFmt w:val="lowerLetter"/>
      <w:lvlText w:val="%2"/>
      <w:lvlJc w:val="left"/>
      <w:pPr>
        <w:ind w:left="115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2" w:tplc="3FFC32E4">
      <w:start w:val="1"/>
      <w:numFmt w:val="lowerRoman"/>
      <w:lvlText w:val="%3"/>
      <w:lvlJc w:val="left"/>
      <w:pPr>
        <w:ind w:left="187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3" w:tplc="B9488FFE">
      <w:start w:val="1"/>
      <w:numFmt w:val="decimal"/>
      <w:lvlText w:val="%4"/>
      <w:lvlJc w:val="left"/>
      <w:pPr>
        <w:ind w:left="259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4" w:tplc="989C3916">
      <w:start w:val="1"/>
      <w:numFmt w:val="lowerLetter"/>
      <w:lvlText w:val="%5"/>
      <w:lvlJc w:val="left"/>
      <w:pPr>
        <w:ind w:left="331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5" w:tplc="8A960D50">
      <w:start w:val="1"/>
      <w:numFmt w:val="lowerRoman"/>
      <w:lvlText w:val="%6"/>
      <w:lvlJc w:val="left"/>
      <w:pPr>
        <w:ind w:left="403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6" w:tplc="F24CD1E2">
      <w:start w:val="1"/>
      <w:numFmt w:val="decimal"/>
      <w:lvlText w:val="%7"/>
      <w:lvlJc w:val="left"/>
      <w:pPr>
        <w:ind w:left="475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7" w:tplc="5D1A39CE">
      <w:start w:val="1"/>
      <w:numFmt w:val="lowerLetter"/>
      <w:lvlText w:val="%8"/>
      <w:lvlJc w:val="left"/>
      <w:pPr>
        <w:ind w:left="547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8" w:tplc="083C1FB4">
      <w:start w:val="1"/>
      <w:numFmt w:val="lowerRoman"/>
      <w:lvlText w:val="%9"/>
      <w:lvlJc w:val="left"/>
      <w:pPr>
        <w:ind w:left="619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abstractNum>
  <w:abstractNum w:abstractNumId="1" w15:restartNumberingAfterBreak="0">
    <w:nsid w:val="63F62497"/>
    <w:multiLevelType w:val="hybridMultilevel"/>
    <w:tmpl w:val="E422884E"/>
    <w:lvl w:ilvl="0" w:tplc="7DD0171C">
      <w:start w:val="1"/>
      <w:numFmt w:val="decimal"/>
      <w:lvlText w:val="%1."/>
      <w:lvlJc w:val="left"/>
      <w:pPr>
        <w:ind w:left="389"/>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1" w:tplc="D33095FC">
      <w:start w:val="1"/>
      <w:numFmt w:val="lowerLetter"/>
      <w:lvlText w:val="%2"/>
      <w:lvlJc w:val="left"/>
      <w:pPr>
        <w:ind w:left="115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2" w:tplc="77BCEEF0">
      <w:start w:val="1"/>
      <w:numFmt w:val="lowerRoman"/>
      <w:lvlText w:val="%3"/>
      <w:lvlJc w:val="left"/>
      <w:pPr>
        <w:ind w:left="187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3" w:tplc="2CF283AC">
      <w:start w:val="1"/>
      <w:numFmt w:val="decimal"/>
      <w:lvlText w:val="%4"/>
      <w:lvlJc w:val="left"/>
      <w:pPr>
        <w:ind w:left="259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4" w:tplc="F4E248C0">
      <w:start w:val="1"/>
      <w:numFmt w:val="lowerLetter"/>
      <w:lvlText w:val="%5"/>
      <w:lvlJc w:val="left"/>
      <w:pPr>
        <w:ind w:left="331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5" w:tplc="6C00B534">
      <w:start w:val="1"/>
      <w:numFmt w:val="lowerRoman"/>
      <w:lvlText w:val="%6"/>
      <w:lvlJc w:val="left"/>
      <w:pPr>
        <w:ind w:left="403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6" w:tplc="24B205A0">
      <w:start w:val="1"/>
      <w:numFmt w:val="decimal"/>
      <w:lvlText w:val="%7"/>
      <w:lvlJc w:val="left"/>
      <w:pPr>
        <w:ind w:left="475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7" w:tplc="2BB4168A">
      <w:start w:val="1"/>
      <w:numFmt w:val="lowerLetter"/>
      <w:lvlText w:val="%8"/>
      <w:lvlJc w:val="left"/>
      <w:pPr>
        <w:ind w:left="547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8" w:tplc="2F60E2B6">
      <w:start w:val="1"/>
      <w:numFmt w:val="lowerRoman"/>
      <w:lvlText w:val="%9"/>
      <w:lvlJc w:val="left"/>
      <w:pPr>
        <w:ind w:left="619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abstractNum>
  <w:abstractNum w:abstractNumId="2" w15:restartNumberingAfterBreak="0">
    <w:nsid w:val="64043389"/>
    <w:multiLevelType w:val="hybridMultilevel"/>
    <w:tmpl w:val="0EB809E0"/>
    <w:lvl w:ilvl="0" w:tplc="522CCDD6">
      <w:start w:val="1"/>
      <w:numFmt w:val="decimal"/>
      <w:lvlText w:val="%1."/>
      <w:lvlJc w:val="left"/>
      <w:pPr>
        <w:ind w:left="327"/>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1" w:tplc="2E1EBC12">
      <w:start w:val="1"/>
      <w:numFmt w:val="lowerLetter"/>
      <w:lvlText w:val="%2"/>
      <w:lvlJc w:val="left"/>
      <w:pPr>
        <w:ind w:left="115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2" w:tplc="B490A7C0">
      <w:start w:val="1"/>
      <w:numFmt w:val="lowerRoman"/>
      <w:lvlText w:val="%3"/>
      <w:lvlJc w:val="left"/>
      <w:pPr>
        <w:ind w:left="187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3" w:tplc="1E9A687C">
      <w:start w:val="1"/>
      <w:numFmt w:val="decimal"/>
      <w:lvlText w:val="%4"/>
      <w:lvlJc w:val="left"/>
      <w:pPr>
        <w:ind w:left="259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4" w:tplc="EC4A5708">
      <w:start w:val="1"/>
      <w:numFmt w:val="lowerLetter"/>
      <w:lvlText w:val="%5"/>
      <w:lvlJc w:val="left"/>
      <w:pPr>
        <w:ind w:left="331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5" w:tplc="472CF1FE">
      <w:start w:val="1"/>
      <w:numFmt w:val="lowerRoman"/>
      <w:lvlText w:val="%6"/>
      <w:lvlJc w:val="left"/>
      <w:pPr>
        <w:ind w:left="403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6" w:tplc="44FE4F2A">
      <w:start w:val="1"/>
      <w:numFmt w:val="decimal"/>
      <w:lvlText w:val="%7"/>
      <w:lvlJc w:val="left"/>
      <w:pPr>
        <w:ind w:left="475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7" w:tplc="5F00002C">
      <w:start w:val="1"/>
      <w:numFmt w:val="lowerLetter"/>
      <w:lvlText w:val="%8"/>
      <w:lvlJc w:val="left"/>
      <w:pPr>
        <w:ind w:left="547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lvl w:ilvl="8" w:tplc="0076FFD4">
      <w:start w:val="1"/>
      <w:numFmt w:val="lowerRoman"/>
      <w:lvlText w:val="%9"/>
      <w:lvlJc w:val="left"/>
      <w:pPr>
        <w:ind w:left="6196"/>
      </w:pPr>
      <w:rPr>
        <w:rFonts w:ascii="Calibri" w:eastAsia="Calibri" w:hAnsi="Calibri" w:cs="Calibri"/>
        <w:b w:val="0"/>
        <w:i w:val="0"/>
        <w:strike w:val="0"/>
        <w:dstrike w:val="0"/>
        <w:color w:val="494949"/>
        <w:sz w:val="18"/>
        <w:szCs w:val="18"/>
        <w:u w:val="none" w:color="000000"/>
        <w:bdr w:val="none" w:sz="0" w:space="0" w:color="auto"/>
        <w:shd w:val="clear" w:color="auto" w:fill="auto"/>
        <w:vertAlign w:val="baseline"/>
      </w:rPr>
    </w:lvl>
  </w:abstractNum>
  <w:num w:numId="1" w16cid:durableId="288977542">
    <w:abstractNumId w:val="2"/>
  </w:num>
  <w:num w:numId="2" w16cid:durableId="875854979">
    <w:abstractNumId w:val="1"/>
  </w:num>
  <w:num w:numId="3" w16cid:durableId="405418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1D"/>
    <w:rsid w:val="00445A1D"/>
    <w:rsid w:val="007D7BA7"/>
    <w:rsid w:val="00E56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C9512A"/>
  <w15:docId w15:val="{96972AE1-2D9D-4DD1-B63F-083E8A95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4" w:line="265" w:lineRule="auto"/>
      <w:ind w:firstLine="3"/>
    </w:pPr>
    <w:rPr>
      <w:rFonts w:ascii="Aptos" w:eastAsia="Calibri" w:hAnsi="Aptos" w:cs="Calibri"/>
      <w:color w:val="494949"/>
      <w:sz w:val="20"/>
    </w:rPr>
  </w:style>
  <w:style w:type="paragraph" w:styleId="Heading1">
    <w:name w:val="heading 1"/>
    <w:next w:val="Normal"/>
    <w:link w:val="Heading1Char"/>
    <w:uiPriority w:val="9"/>
    <w:qFormat/>
    <w:pPr>
      <w:keepNext/>
      <w:keepLines/>
      <w:spacing w:after="163" w:line="259" w:lineRule="auto"/>
      <w:ind w:left="10" w:hanging="10"/>
      <w:outlineLvl w:val="0"/>
    </w:pPr>
    <w:rPr>
      <w:rFonts w:ascii="Aptos Display" w:eastAsia="Calibri" w:hAnsi="Aptos Display" w:cs="Calibri"/>
      <w:color w:val="0B2545"/>
      <w:sz w:val="23"/>
    </w:rPr>
  </w:style>
  <w:style w:type="paragraph" w:styleId="Heading2">
    <w:name w:val="heading 2"/>
    <w:next w:val="Normal"/>
    <w:link w:val="Heading2Char"/>
    <w:uiPriority w:val="9"/>
    <w:unhideWhenUsed/>
    <w:qFormat/>
    <w:pPr>
      <w:keepNext/>
      <w:keepLines/>
      <w:spacing w:after="130" w:line="259" w:lineRule="auto"/>
      <w:ind w:left="10" w:hanging="10"/>
      <w:outlineLvl w:val="1"/>
    </w:pPr>
    <w:rPr>
      <w:rFonts w:ascii="Aptos Display" w:eastAsia="Calibri" w:hAnsi="Aptos Display" w:cs="Calibri"/>
      <w:color w:val="0B25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333333"/>
      <w:sz w:val="22"/>
    </w:rPr>
  </w:style>
  <w:style w:type="character" w:customStyle="1" w:styleId="Heading1Char">
    <w:name w:val="Heading 1 Char"/>
    <w:link w:val="Heading1"/>
    <w:rPr>
      <w:rFonts w:ascii="Calibri" w:eastAsia="Calibri" w:hAnsi="Calibri" w:cs="Calibri"/>
      <w:color w:val="333333"/>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naic.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ropublica.org/series/after-the-flood" TargetMode="External"/><Relationship Id="rId12" Type="http://schemas.openxmlformats.org/officeDocument/2006/relationships/hyperlink" Target="https://etherisc.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ropublica.org/series/after-the-flood" TargetMode="External"/><Relationship Id="rId11" Type="http://schemas.openxmlformats.org/officeDocument/2006/relationships/hyperlink" Target="https://www.arbol.io/" TargetMode="External"/><Relationship Id="rId5" Type="http://schemas.openxmlformats.org/officeDocument/2006/relationships/hyperlink" Target="https://www.propublica.org/series/after-the-flood" TargetMode="External"/><Relationship Id="rId10" Type="http://schemas.openxmlformats.org/officeDocument/2006/relationships/hyperlink" Target="https://www.naic.org/" TargetMode="External"/><Relationship Id="rId4" Type="http://schemas.openxmlformats.org/officeDocument/2006/relationships/webSettings" Target="webSettings.xml"/><Relationship Id="rId9" Type="http://schemas.openxmlformats.org/officeDocument/2006/relationships/hyperlink" Target="https://www.naic.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2444</Words>
  <Characters>14496</Characters>
  <Application>Microsoft Office Word</Application>
  <DocSecurity>4</DocSecurity>
  <Lines>467</Lines>
  <Paragraphs>434</Paragraphs>
  <ScaleCrop>false</ScaleCrop>
  <Company/>
  <LinksUpToDate>false</LinksUpToDate>
  <CharactersWithSpaces>16506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Veristake Whitepaper v2.0</dc:title>
  <dc:subject>Insurance claims, verified by economics</dc:subject>
  <dc:creator>Oscar Li</dc:creator>
  <cp:keywords>Veristake, insurance, claims, verification, health, auto, Base Sepolia</cp:keywords>
  <cp:lastModifiedBy>Yinghai Li</cp:lastModifiedBy>
  <cp:revision>2</cp:revision>
  <dcterms:created xsi:type="dcterms:W3CDTF">2026-05-18T23:39:00Z</dcterms:created>
  <dcterms:modified xsi:type="dcterms:W3CDTF">2026-05-18T23:39:00Z</dcterms:modified>
  <dc:description>Revised to focus on the carrier-routed disputed-claim wedge.</dc:description>
</cp:coreProperties>
</file>