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99A9" w14:textId="77777777" w:rsidR="000938FC" w:rsidRDefault="000938FC">
      <w:pPr>
        <w:spacing w:before="900"/>
      </w:pPr>
    </w:p>
    <w:p w14:paraId="5637B1ED" w14:textId="77777777" w:rsidR="00FA2719" w:rsidRDefault="00FA2719">
      <w:pPr>
        <w:spacing w:after="720"/>
        <w:jc w:val="center"/>
        <w:rPr>
          <w:rFonts w:ascii="Times New Roman" w:hAnsi="Times New Roman"/>
          <w:b/>
          <w:color w:val="000000"/>
          <w:sz w:val="32"/>
        </w:rPr>
      </w:pPr>
      <w:r w:rsidRPr="00FA2719">
        <w:rPr>
          <w:rFonts w:ascii="Times New Roman" w:hAnsi="Times New Roman"/>
          <w:b/>
          <w:color w:val="000000"/>
          <w:sz w:val="32"/>
        </w:rPr>
        <w:t>CASOS DE USO DE ML NO SUPERVISADO</w:t>
      </w:r>
    </w:p>
    <w:p w14:paraId="23E1785F" w14:textId="02C95BEB" w:rsidR="000938FC" w:rsidRDefault="00000000">
      <w:pPr>
        <w:spacing w:line="312" w:lineRule="auto"/>
        <w:jc w:val="center"/>
      </w:pPr>
      <w:r>
        <w:rPr>
          <w:rFonts w:ascii="Times New Roman" w:hAnsi="Times New Roman"/>
          <w:b/>
          <w:color w:val="000000"/>
          <w:sz w:val="24"/>
        </w:rPr>
        <w:t xml:space="preserve">Oscar </w:t>
      </w:r>
      <w:r w:rsidR="00FA2719">
        <w:rPr>
          <w:rFonts w:ascii="Times New Roman" w:hAnsi="Times New Roman"/>
          <w:b/>
          <w:color w:val="000000"/>
          <w:sz w:val="24"/>
        </w:rPr>
        <w:t xml:space="preserve">Mauricio Rincon Ruiz </w:t>
      </w:r>
      <w:r>
        <w:rPr>
          <w:rFonts w:ascii="Times New Roman" w:hAnsi="Times New Roman"/>
          <w:b/>
          <w:color w:val="000000"/>
          <w:sz w:val="24"/>
        </w:rPr>
        <w:br/>
      </w:r>
      <w:r>
        <w:rPr>
          <w:rFonts w:ascii="Times New Roman" w:hAnsi="Times New Roman"/>
          <w:color w:val="000000"/>
        </w:rPr>
        <w:br/>
        <w:t>Curso: Inteligencia Artificial y Machine Learning</w:t>
      </w:r>
      <w:r>
        <w:rPr>
          <w:rFonts w:ascii="Times New Roman" w:hAnsi="Times New Roman"/>
          <w:color w:val="000000"/>
        </w:rPr>
        <w:br/>
        <w:t xml:space="preserve">Experiencia de Aprendizaje: Algoritmos No </w:t>
      </w:r>
      <w:proofErr w:type="spellStart"/>
      <w:r>
        <w:rPr>
          <w:rFonts w:ascii="Times New Roman" w:hAnsi="Times New Roman"/>
          <w:color w:val="000000"/>
        </w:rPr>
        <w:t>Supervisados</w:t>
      </w:r>
      <w:proofErr w:type="spellEnd"/>
      <w:r>
        <w:rPr>
          <w:rFonts w:ascii="Times New Roman" w:hAnsi="Times New Roman"/>
          <w:color w:val="000000"/>
        </w:rPr>
        <w:br/>
        <w:t>Octubre de 2026</w:t>
      </w:r>
    </w:p>
    <w:p w14:paraId="1BD39A80" w14:textId="77777777" w:rsidR="000938FC" w:rsidRDefault="00000000">
      <w:r>
        <w:br w:type="page"/>
      </w:r>
    </w:p>
    <w:p w14:paraId="1FDAD507" w14:textId="77777777" w:rsidR="000938FC" w:rsidRDefault="00000000">
      <w:pPr>
        <w:keepNext/>
        <w:spacing w:before="320" w:after="160"/>
        <w:jc w:val="center"/>
      </w:pPr>
      <w:r>
        <w:rPr>
          <w:rFonts w:ascii="Times New Roman" w:hAnsi="Times New Roman"/>
          <w:b/>
          <w:color w:val="000000"/>
          <w:sz w:val="26"/>
        </w:rPr>
        <w:lastRenderedPageBreak/>
        <w:t>Descifrando Patrones Ocultos: Casos de Uso, Algoritmos y Aplicaciones Prácticas del Machine Learning No Supervisado</w:t>
      </w:r>
    </w:p>
    <w:p w14:paraId="292B2DAF" w14:textId="77777777" w:rsidR="000938FC" w:rsidRDefault="00000000">
      <w:pPr>
        <w:keepNext/>
        <w:spacing w:before="240" w:after="100"/>
        <w:jc w:val="center"/>
      </w:pPr>
      <w:r>
        <w:rPr>
          <w:rFonts w:ascii="Times New Roman" w:hAnsi="Times New Roman"/>
          <w:b/>
          <w:color w:val="000000"/>
          <w:sz w:val="23"/>
        </w:rPr>
        <w:t>1. Introducción al Paradigma No Supervisado</w:t>
      </w:r>
    </w:p>
    <w:p w14:paraId="788458A1" w14:textId="77777777" w:rsidR="000938FC" w:rsidRDefault="00000000">
      <w:pPr>
        <w:spacing w:after="120"/>
        <w:ind w:firstLine="720"/>
        <w:jc w:val="both"/>
      </w:pPr>
      <w:r>
        <w:rPr>
          <w:rFonts w:ascii="Times New Roman" w:hAnsi="Times New Roman"/>
          <w:color w:val="000000"/>
        </w:rPr>
        <w:t>En la era del Big Data, la gran mayoría de la información generada diariamente por la actividad digital humana, dispositivos de Internet de las Cosas (IoT), transacciones comerciales y sensores biomédicos carece de etiquetas previas. El etiquetado manual de datos es un proceso costoso, propenso al error humano y, en muchas ocasiones, inviable debido al volumen exponencial de los flujos de información. Es precisamente en este escenario donde el Aprendizaje Automático No Supervisado (Unsupervised Machine Learning) adquiere un rol protagónico dentro de la inteligencia artificial contemporánea (Bishop, 2006).</w:t>
      </w:r>
    </w:p>
    <w:p w14:paraId="08491253" w14:textId="77777777" w:rsidR="000938FC" w:rsidRDefault="00000000">
      <w:pPr>
        <w:spacing w:after="120"/>
        <w:ind w:firstLine="720"/>
        <w:jc w:val="both"/>
      </w:pPr>
      <w:r>
        <w:rPr>
          <w:rFonts w:ascii="Times New Roman" w:hAnsi="Times New Roman"/>
          <w:color w:val="000000"/>
        </w:rPr>
        <w:t>A diferencia del aprendizaje supervisado, donde los algoritmos son guiados por una señal objetivo conocida —un vector de etiquetas y que actúa como 'profesor' mediante una función de pérdida de discrepancia empírica—, en el aprendizaje no supervisado el sistema recibe únicamente un conjunto de observaciones multidimensionales X = {x1, x2, ..., xN} ∈ ℝ^(D). El objetivo matemático no es predecir una clase o un valor escalar, sino modelar la estructura intrínseca, las regularidades geométricas o la distribución de densidad de probabilidad conjunta subyacente p(x) (Hastie et al., 2009). En términos conceptuales, el aprendizaje no supervisado busca responder a la pregunta fundamental: ¿cómo están organizados naturalmente estos datos y qué conocimiento latente encierran sus relaciones espaciales?</w:t>
      </w:r>
    </w:p>
    <w:p w14:paraId="7650BB1D" w14:textId="77777777" w:rsidR="000938FC" w:rsidRDefault="00000000">
      <w:pPr>
        <w:keepNext/>
        <w:spacing w:before="240" w:after="100"/>
        <w:jc w:val="center"/>
      </w:pPr>
      <w:r>
        <w:rPr>
          <w:rFonts w:ascii="Times New Roman" w:hAnsi="Times New Roman"/>
          <w:b/>
          <w:color w:val="000000"/>
          <w:sz w:val="23"/>
        </w:rPr>
        <w:t>2. Principales Tareas del Machine Learning No Supervisado</w:t>
      </w:r>
    </w:p>
    <w:p w14:paraId="122733E2" w14:textId="77777777" w:rsidR="000938FC" w:rsidRDefault="00000000">
      <w:pPr>
        <w:spacing w:after="120"/>
        <w:ind w:firstLine="720"/>
        <w:jc w:val="both"/>
      </w:pPr>
      <w:r>
        <w:rPr>
          <w:rFonts w:ascii="Times New Roman" w:hAnsi="Times New Roman"/>
          <w:color w:val="000000"/>
        </w:rPr>
        <w:t>El aprendizaje no supervisado abarca un amplio espectro de técnicas cuantitativas orientadas a resolver problemas donde no existe una respuesta correcta preestablecida. De acuerdo con la literatura canónica (Goodfellow et al., 2016; Jain, 2010), sus aplicaciones se agrupan en tres pilares fundamentales: agrupamiento (clustering), reducción de dimensionalidad y minería de reglas de asociación.</w:t>
      </w:r>
    </w:p>
    <w:p w14:paraId="04FE31C2" w14:textId="77777777" w:rsidR="000938FC" w:rsidRDefault="00000000">
      <w:pPr>
        <w:keepNext/>
        <w:spacing w:before="180" w:after="60"/>
      </w:pPr>
      <w:r>
        <w:rPr>
          <w:rFonts w:ascii="Times New Roman" w:hAnsi="Times New Roman"/>
          <w:b/>
          <w:i/>
          <w:color w:val="000000"/>
        </w:rPr>
        <w:t>2.1 Agrupamiento o Clustering</w:t>
      </w:r>
    </w:p>
    <w:p w14:paraId="26C78BFC" w14:textId="77777777" w:rsidR="000938FC" w:rsidRDefault="00000000">
      <w:pPr>
        <w:spacing w:after="120"/>
        <w:ind w:firstLine="720"/>
        <w:jc w:val="both"/>
      </w:pPr>
      <w:r>
        <w:rPr>
          <w:rFonts w:ascii="Times New Roman" w:hAnsi="Times New Roman"/>
          <w:color w:val="000000"/>
        </w:rPr>
        <w:t>El clustering consiste en particionar un conjunto heterogéneo de datos en subgrupos homogéneos o conglomerados (clusters), de modo que los elementos asignados al mismo grupo exhiban una alta similitud interna (alta cohesión intra-cluster) y, al mismo tiempo, sean marcadamente diferenciables de los elementos pertenecientes a otros grupos (alta separación inter-cluster). Entre los algoritmos más representativos destacan:</w:t>
      </w:r>
    </w:p>
    <w:p w14:paraId="50521857" w14:textId="77777777" w:rsidR="000938FC" w:rsidRDefault="00000000">
      <w:pPr>
        <w:spacing w:after="120"/>
        <w:ind w:firstLine="720"/>
        <w:jc w:val="both"/>
      </w:pPr>
      <w:r>
        <w:rPr>
          <w:rFonts w:ascii="Times New Roman" w:hAnsi="Times New Roman"/>
          <w:color w:val="000000"/>
        </w:rPr>
        <w:t>• K-Means: Algoritmo de partición basado en centroides que optimiza iterativamente la suma de errores al cuadrado (SSE o inercia). Asigna cada punto al centroide más próximo mediante la distancia euclidiana y recalcula la posición de dichos centros como la media aritmética de las observaciones asignadas. Es altamente eficiente computacionalmente, pero presupone clusters con formas esféricas e isotrópicas y requiere definir a priori el hiperparámetro k (Jain, 2010).</w:t>
      </w:r>
      <w:r>
        <w:rPr>
          <w:rFonts w:ascii="Times New Roman" w:hAnsi="Times New Roman"/>
          <w:color w:val="000000"/>
        </w:rPr>
        <w:br/>
        <w:t>• DBSCAN (Density-Based Spatial Clustering of Applications with Noise): Algoritmo basado en densidad espacial. Define los clusters como regiones continuas de alta densidad de puntos separadas por áreas de baja densidad. A diferencia de K-Means, DBSCAN es capaz de descubrir agrupaciones de formas geométricas arbitrarias y posee la capacidad intrínseca de catalogar observaciones aisladas como ruido o valores atípicos (Ester et al., 1996).</w:t>
      </w:r>
      <w:r>
        <w:rPr>
          <w:rFonts w:ascii="Times New Roman" w:hAnsi="Times New Roman"/>
          <w:color w:val="000000"/>
        </w:rPr>
        <w:br/>
        <w:t xml:space="preserve">• Clustering Jerárquico (Hierarchical Clustering): Construye un árbol jerárquico de agrupamientos </w:t>
      </w:r>
      <w:r>
        <w:rPr>
          <w:rFonts w:ascii="Times New Roman" w:hAnsi="Times New Roman"/>
          <w:color w:val="000000"/>
        </w:rPr>
        <w:lastRenderedPageBreak/>
        <w:t>representable mediante un dendrograma. En su variante aglomerativa (bottom-up), inicia considerando cada observación como un cluster independiente y fusiona progresivamente los pares más cercanos según criterios de enlace (Ward, complete o average linkage).</w:t>
      </w:r>
    </w:p>
    <w:p w14:paraId="787C9A9E" w14:textId="77777777" w:rsidR="000938FC" w:rsidRDefault="00000000">
      <w:pPr>
        <w:spacing w:after="120"/>
        <w:ind w:firstLine="720"/>
        <w:jc w:val="both"/>
      </w:pPr>
      <w:r>
        <w:rPr>
          <w:rFonts w:ascii="Times New Roman" w:hAnsi="Times New Roman"/>
          <w:color w:val="000000"/>
        </w:rPr>
        <w:t>Para validar la calidad de las agrupaciones sin etiquetas externas, se recurre a métricas intrínsecas como el Coeficiente de Silueta (Silhouette Score), que mide el contraste entre la distancia media intra-cluster y la distancia al cluster vecino más cercano (variando entre -1 y +1), y el método del codo (Elbow Method), que busca el punto de inflexión en la inercia residual (Rousseeuw, 1987).</w:t>
      </w:r>
    </w:p>
    <w:p w14:paraId="5F449782" w14:textId="77777777" w:rsidR="000938FC" w:rsidRDefault="00000000">
      <w:pPr>
        <w:keepNext/>
        <w:spacing w:before="180" w:after="60"/>
      </w:pPr>
      <w:r>
        <w:rPr>
          <w:rFonts w:ascii="Times New Roman" w:hAnsi="Times New Roman"/>
          <w:b/>
          <w:i/>
          <w:color w:val="000000"/>
        </w:rPr>
        <w:t>2.2 Reducción de Dimensionalidad</w:t>
      </w:r>
    </w:p>
    <w:p w14:paraId="657536A8" w14:textId="77777777" w:rsidR="000938FC" w:rsidRDefault="00000000">
      <w:pPr>
        <w:spacing w:after="120"/>
        <w:ind w:firstLine="720"/>
        <w:jc w:val="both"/>
      </w:pPr>
      <w:r>
        <w:rPr>
          <w:rFonts w:ascii="Times New Roman" w:hAnsi="Times New Roman"/>
          <w:color w:val="000000"/>
        </w:rPr>
        <w:t>En aplicaciones complejas (como visión artificial, genómica o procesamiento de texto), cada observación puede estar descrita por cientos o miles de variables. Esta hiperdimensionalidad provoca el fenómeno conocido como 'la maldición de la dimensionalidad' (Curse of Dimensionality), donde el volumen del espacio crece exponencialmente, los datos se tornan extremadamente dispersos y las métricas de distancia euclidiana pierden su capacidad discriminante (Bishop, 2006). La reducción de dimensionalidad proyecta los datos desde un espacio original ℝ^D hacia un subespacio latente ℝ^d (con d &lt;&lt; D), preservando la mayor cantidad de información posible.</w:t>
      </w:r>
    </w:p>
    <w:p w14:paraId="5CBEC277" w14:textId="77777777" w:rsidR="000938FC" w:rsidRDefault="00000000">
      <w:pPr>
        <w:spacing w:after="120"/>
        <w:ind w:firstLine="720"/>
        <w:jc w:val="both"/>
      </w:pPr>
      <w:r>
        <w:rPr>
          <w:rFonts w:ascii="Times New Roman" w:hAnsi="Times New Roman"/>
          <w:color w:val="000000"/>
        </w:rPr>
        <w:t>• Análisis de Componentes Principales (PCA - Principal Component Analysis): Técnica lineal clásica que encuentra un nuevo sistema de coordenadas ortogonales (componentes principales). Cada componente es una combinación lineal de las variables originales que maximiza la varianza proyectada de los datos, calculada a través de la descomposición en valores singulares (SVD) de la matriz de covarianza. Permite comprimir la información, reducir el costo computacional y mitigar la multicolinealidad (Hastie et al., 2009).</w:t>
      </w:r>
      <w:r>
        <w:rPr>
          <w:rFonts w:ascii="Times New Roman" w:hAnsi="Times New Roman"/>
          <w:color w:val="000000"/>
        </w:rPr>
        <w:br/>
        <w:t>• t-SNE (t-Distributed Stochastic Neighbor Embedding) y UMAP (Uniform Manifold Approximation and Projection): Métodos no lineales especialmente diseñados para la visualización de datos de alta dimensión en 2D o 3D. Convierten distancias euclidianas en probabilidades condicionales y preservan con gran fidelidad la estructura de vecindad local (van der Maaten &amp; Hinton, 2008; McInnes et al., 2018).</w:t>
      </w:r>
    </w:p>
    <w:p w14:paraId="1D373D9A" w14:textId="77777777" w:rsidR="000938FC" w:rsidRDefault="00000000">
      <w:pPr>
        <w:keepNext/>
        <w:spacing w:before="180" w:after="60"/>
      </w:pPr>
      <w:r>
        <w:rPr>
          <w:rFonts w:ascii="Times New Roman" w:hAnsi="Times New Roman"/>
          <w:b/>
          <w:i/>
          <w:color w:val="000000"/>
        </w:rPr>
        <w:t>2.3 Minería de Reglas de Asociación</w:t>
      </w:r>
    </w:p>
    <w:p w14:paraId="6B4305C6" w14:textId="77777777" w:rsidR="000938FC" w:rsidRDefault="00000000">
      <w:pPr>
        <w:spacing w:after="120"/>
        <w:ind w:firstLine="720"/>
        <w:jc w:val="both"/>
      </w:pPr>
      <w:r>
        <w:rPr>
          <w:rFonts w:ascii="Times New Roman" w:hAnsi="Times New Roman"/>
          <w:color w:val="000000"/>
        </w:rPr>
        <w:t>Orientada a descubrir dependencias probabilísticas y relaciones de co-ocurrencia entre variables discretas en grandes conjuntos transaccionales. Su formulación clásica proviene del análisis de la cesta de la compra, expresándose como reglas de inferencia condicional del tipo X ⇒ Y. Algoritmos como Apriori y FP-Growth (Frequent Pattern Growth) identifican patrones frecuentes evaluando tres métricas estadísticas cardinales (Agrawal &amp; Srikant, 1994):</w:t>
      </w:r>
      <w:r>
        <w:rPr>
          <w:rFonts w:ascii="Times New Roman" w:hAnsi="Times New Roman"/>
          <w:color w:val="000000"/>
        </w:rPr>
        <w:br/>
        <w:t>1. Soporte (Support): Frecuencia relativa con la que aparece un conjunto de ítems en el universo de transacciones.</w:t>
      </w:r>
      <w:r>
        <w:rPr>
          <w:rFonts w:ascii="Times New Roman" w:hAnsi="Times New Roman"/>
          <w:color w:val="000000"/>
        </w:rPr>
        <w:br/>
        <w:t>2. Confianza (Confidence): Probabilidad condicional P(Y | X) de que ocurra el consecuente dado que se ha presentado el antecedente.</w:t>
      </w:r>
      <w:r>
        <w:rPr>
          <w:rFonts w:ascii="Times New Roman" w:hAnsi="Times New Roman"/>
          <w:color w:val="000000"/>
        </w:rPr>
        <w:br/>
        <w:t>3. Lift (Apalancamiento): Razón entre la confianza observada y la probabilidad esperada bajo el supuesto de independencia estadística. Un valor de Lift &gt; 1 evidencia una asociación positiva real, descartando coincidencias aleatorias.</w:t>
      </w:r>
    </w:p>
    <w:p w14:paraId="05416C0D" w14:textId="77777777" w:rsidR="000938FC" w:rsidRDefault="00000000">
      <w:pPr>
        <w:keepNext/>
        <w:spacing w:before="240" w:after="100"/>
        <w:jc w:val="center"/>
      </w:pPr>
      <w:r>
        <w:rPr>
          <w:rFonts w:ascii="Times New Roman" w:hAnsi="Times New Roman"/>
          <w:b/>
          <w:color w:val="000000"/>
          <w:sz w:val="23"/>
        </w:rPr>
        <w:lastRenderedPageBreak/>
        <w:t>3. Casos de Uso Aplicados en la Industria</w:t>
      </w:r>
    </w:p>
    <w:p w14:paraId="39DAF096" w14:textId="77777777" w:rsidR="000938FC" w:rsidRDefault="00000000">
      <w:pPr>
        <w:spacing w:after="120"/>
        <w:ind w:firstLine="720"/>
        <w:jc w:val="both"/>
      </w:pPr>
      <w:r>
        <w:rPr>
          <w:rFonts w:ascii="Times New Roman" w:hAnsi="Times New Roman"/>
          <w:color w:val="000000"/>
        </w:rPr>
        <w:t>La aplicabilidad del aprendizaje no supervisado abarca prácticamente todos los sectores estratégicos de la economía digital. A continuación, se profundiza en cuatro casos de uso emblemáticos donde estas técnicas generan ventajas competitivas decisivas:</w:t>
      </w:r>
    </w:p>
    <w:p w14:paraId="1F4C775F" w14:textId="77777777" w:rsidR="000938FC" w:rsidRDefault="00000000">
      <w:pPr>
        <w:keepNext/>
        <w:spacing w:before="180" w:after="60"/>
      </w:pPr>
      <w:r>
        <w:rPr>
          <w:rFonts w:ascii="Times New Roman" w:hAnsi="Times New Roman"/>
          <w:b/>
          <w:i/>
          <w:color w:val="000000"/>
        </w:rPr>
        <w:t>Caso de Uso 1: Segmentación Estratégica de Clientes y Personalización en E-Commerce y Banca</w:t>
      </w:r>
    </w:p>
    <w:p w14:paraId="538C38EC" w14:textId="77777777" w:rsidR="000938FC" w:rsidRDefault="00000000">
      <w:pPr>
        <w:spacing w:after="120"/>
        <w:ind w:firstLine="720"/>
        <w:jc w:val="both"/>
      </w:pPr>
      <w:r>
        <w:rPr>
          <w:rFonts w:ascii="Times New Roman" w:hAnsi="Times New Roman"/>
          <w:color w:val="000000"/>
        </w:rPr>
        <w:t>En plataformas como Amazon, MercadoLibre o entidades bancarias globales, millones de usuarios interactúan generando millones de eventos diarios. Agrupar manualmente a los clientes en categorías estáticas resulta inviable. Mediante modelos no supervisados, se construye una matriz de comportamiento a partir de variables de Recencia, Frecuencia y Valor Monetario (modelo RFM), junto con patrones de navegación web y preferencias de categoría.</w:t>
      </w:r>
    </w:p>
    <w:p w14:paraId="4570A587" w14:textId="77777777" w:rsidR="000938FC" w:rsidRDefault="00000000">
      <w:pPr>
        <w:spacing w:after="120"/>
        <w:ind w:firstLine="720"/>
        <w:jc w:val="both"/>
      </w:pPr>
      <w:r>
        <w:rPr>
          <w:rFonts w:ascii="Times New Roman" w:hAnsi="Times New Roman"/>
          <w:color w:val="000000"/>
        </w:rPr>
        <w:t>Tras estandarizar las variables, se aplica PCA para eliminar ruido y correlaciones espurias, y posteriormente se implementa K-Means o Clustering Jerárquico. El modelo descubre segmentos latentes de alto valor estratégico: (a) clientes leales de alto consumo, (b) cazadores de descuentos estacionales, (c) clientes en riesgo inminente de deserción (churn), y (d) nuevos usuarios de rápida adopción. Esta segmentación automática alimenta motores de marketing automatizado, optimiza presupuestos publicitarios e incrementa sustancialmente el Valor de Vida del Cliente (Customer Lifetime Value - LTV).</w:t>
      </w:r>
    </w:p>
    <w:p w14:paraId="0D8B062F" w14:textId="77777777" w:rsidR="000938FC" w:rsidRDefault="00000000">
      <w:pPr>
        <w:keepNext/>
        <w:spacing w:before="180" w:after="60"/>
      </w:pPr>
      <w:r>
        <w:rPr>
          <w:rFonts w:ascii="Times New Roman" w:hAnsi="Times New Roman"/>
          <w:b/>
          <w:i/>
          <w:color w:val="000000"/>
        </w:rPr>
        <w:t>Caso de Uso 2: Detección de Fraude Transaccional y Ciberseguridad</w:t>
      </w:r>
    </w:p>
    <w:p w14:paraId="29790042" w14:textId="77777777" w:rsidR="000938FC" w:rsidRDefault="00000000">
      <w:pPr>
        <w:spacing w:after="120"/>
        <w:ind w:firstLine="720"/>
        <w:jc w:val="both"/>
      </w:pPr>
      <w:r>
        <w:rPr>
          <w:rFonts w:ascii="Times New Roman" w:hAnsi="Times New Roman"/>
          <w:color w:val="000000"/>
        </w:rPr>
        <w:t>Uno de los mayores desafíos en la detección de fraudes con tarjetas de crédito y ataques cibernéticos de 'día cero' (zero-day exploits) es que los estafadores modifican continuamente sus tácticas. Además, las transacciones fraudulentas representan menos del 0.1% del total, imposibilitando que los clasificadores supervisados aprendan patrones de fraude que aún no han sido catalogados e imputados por auditores humanos.</w:t>
      </w:r>
    </w:p>
    <w:p w14:paraId="220BACE2" w14:textId="77777777" w:rsidR="000938FC" w:rsidRDefault="00000000">
      <w:pPr>
        <w:spacing w:after="120"/>
        <w:ind w:firstLine="720"/>
        <w:jc w:val="both"/>
      </w:pPr>
      <w:r>
        <w:rPr>
          <w:rFonts w:ascii="Times New Roman" w:hAnsi="Times New Roman"/>
          <w:color w:val="000000"/>
        </w:rPr>
        <w:t>En este contexto, algoritmos como Isolation Forests y DBSCAN operan bajo el supuesto no supervisado de que las anomalías son cuantitativamente escasas y poseen características numéricas profundamente atípicas. Isolation Forest aísla las observaciones atípicas mediante particiones aleatorias recursivas, requiriendo significativamente menos cortes en el árbol para aislar un fraude que para aislar una transacción legítima. Por su parte, DBSCAN aísla intentos de intrusión que caen en regiones de baja densidad de tráfico de red, disparando alertas operativas en milisegundos sin requerir etiquetado previo.</w:t>
      </w:r>
    </w:p>
    <w:p w14:paraId="34F429D4" w14:textId="77777777" w:rsidR="000938FC" w:rsidRDefault="00000000">
      <w:pPr>
        <w:keepNext/>
        <w:spacing w:before="180" w:after="60"/>
      </w:pPr>
      <w:r>
        <w:rPr>
          <w:rFonts w:ascii="Times New Roman" w:hAnsi="Times New Roman"/>
          <w:b/>
          <w:i/>
          <w:color w:val="000000"/>
        </w:rPr>
        <w:t>Caso de Uso 3: Optimización de Inventarios y Recomendaciones Cruzadas (Market Basket Analysis)</w:t>
      </w:r>
    </w:p>
    <w:p w14:paraId="15F567AF" w14:textId="77777777" w:rsidR="000938FC" w:rsidRDefault="00000000">
      <w:pPr>
        <w:spacing w:after="120"/>
        <w:ind w:firstLine="720"/>
        <w:jc w:val="both"/>
      </w:pPr>
      <w:r>
        <w:rPr>
          <w:rFonts w:ascii="Times New Roman" w:hAnsi="Times New Roman"/>
          <w:color w:val="000000"/>
        </w:rPr>
        <w:t>En el sector retail y los supermercados de gran escala, el análisis de transacciones de puntos de venta (POS) mediante el algoritmo FP-Growth permite comprender la afinidad entre productos. Un hallazgo histórico de esta disciplina es el descubrimiento de relaciones no obvias: clientes que adquieren ciertos alimentos perecederos tienden a adquirir productos complementarios específicos con un Lift superior a 2.5.</w:t>
      </w:r>
    </w:p>
    <w:p w14:paraId="02976ADC" w14:textId="77777777" w:rsidR="000938FC" w:rsidRDefault="00000000">
      <w:pPr>
        <w:spacing w:after="120"/>
        <w:ind w:firstLine="720"/>
        <w:jc w:val="both"/>
      </w:pPr>
      <w:r>
        <w:rPr>
          <w:rFonts w:ascii="Times New Roman" w:hAnsi="Times New Roman"/>
          <w:color w:val="000000"/>
        </w:rPr>
        <w:t>Las cadenas comerciales aprovechan estas reglas no supervisadas para rediseñar la disposición física de los anaqueles en tiendas físicas (colocando productos asociados estratégicamente distanciados para forzar el recorrido por los pasillos) y para alimentar los módulos de recomendación digital ('frecuentemente comprados juntos') en tiendas en línea, logrando incrementos de hasta un 15% en el ticket promedio por compra.</w:t>
      </w:r>
    </w:p>
    <w:p w14:paraId="05EB3BF0" w14:textId="77777777" w:rsidR="000938FC" w:rsidRDefault="00000000">
      <w:pPr>
        <w:keepNext/>
        <w:spacing w:before="180" w:after="60"/>
      </w:pPr>
      <w:r>
        <w:rPr>
          <w:rFonts w:ascii="Times New Roman" w:hAnsi="Times New Roman"/>
          <w:b/>
          <w:i/>
          <w:color w:val="000000"/>
        </w:rPr>
        <w:lastRenderedPageBreak/>
        <w:t>Caso de Uso 4: Bioinformática y Medicina Personalizada: Descubrimiento de Subtipos de Enfermedades</w:t>
      </w:r>
    </w:p>
    <w:p w14:paraId="2C671AA4" w14:textId="77777777" w:rsidR="000938FC" w:rsidRDefault="00000000">
      <w:pPr>
        <w:spacing w:after="120"/>
        <w:ind w:firstLine="720"/>
        <w:jc w:val="both"/>
      </w:pPr>
      <w:r>
        <w:rPr>
          <w:rFonts w:ascii="Times New Roman" w:hAnsi="Times New Roman"/>
          <w:color w:val="000000"/>
        </w:rPr>
        <w:t>En la investigación médica moderna, los ensayos de microarrays y secuenciación de ARN unicelular (scRNA-seq) generan matrices con más de 25,000 genes por muestra celular. Los investigadores desconocen a priori qué perfiles genéticos corresponden a variaciones benignas o a mutaciones malignas agresivas.</w:t>
      </w:r>
    </w:p>
    <w:p w14:paraId="0A75D5BF" w14:textId="77777777" w:rsidR="000938FC" w:rsidRDefault="00000000">
      <w:pPr>
        <w:spacing w:after="120"/>
        <w:ind w:firstLine="720"/>
        <w:jc w:val="both"/>
      </w:pPr>
      <w:r>
        <w:rPr>
          <w:rFonts w:ascii="Times New Roman" w:hAnsi="Times New Roman"/>
          <w:color w:val="000000"/>
        </w:rPr>
        <w:t>Aplicando PCA combinado con t-SNE y Clustering Jerárquico Aglomerativo, los bioinformáticos logran proyectar el atlas transcriptómico en representaciones bidimensionales legibles. Esto ha permitido descubrir subtipos de cáncer de mama y leucemia que antes se consideraban una sola patología, posibilitando el diseño de fármacos de terapia dirigida adaptados a la firma genética específica de cada grupo de pacientes (van der Maaten &amp; Hinton, 2008).</w:t>
      </w:r>
    </w:p>
    <w:p w14:paraId="6595B240" w14:textId="77777777" w:rsidR="000938FC" w:rsidRDefault="00000000">
      <w:pPr>
        <w:keepNext/>
        <w:spacing w:before="240" w:after="100"/>
        <w:jc w:val="center"/>
      </w:pPr>
      <w:r>
        <w:rPr>
          <w:rFonts w:ascii="Times New Roman" w:hAnsi="Times New Roman"/>
          <w:b/>
          <w:color w:val="000000"/>
          <w:sz w:val="23"/>
        </w:rPr>
        <w:t>4. Análisis de Ejemplos Desarrollados en Clase</w:t>
      </w:r>
    </w:p>
    <w:p w14:paraId="3AE429BD" w14:textId="77777777" w:rsidR="000938FC" w:rsidRDefault="00000000">
      <w:pPr>
        <w:spacing w:after="120"/>
        <w:ind w:firstLine="720"/>
        <w:jc w:val="both"/>
      </w:pPr>
      <w:r>
        <w:rPr>
          <w:rFonts w:ascii="Times New Roman" w:hAnsi="Times New Roman"/>
          <w:color w:val="000000"/>
        </w:rPr>
        <w:t>A fin de vincular la teoría conceptual con la experimentación computacional, se analizan a continuación dos flujos de trabajo diseñados en clase utilizando el ecosistema científico de Python (Scikit-Learn, NumPy y Matplotlib).</w:t>
      </w:r>
    </w:p>
    <w:p w14:paraId="5E2209C8" w14:textId="77777777" w:rsidR="000938FC" w:rsidRDefault="00000000">
      <w:pPr>
        <w:keepNext/>
        <w:spacing w:before="180" w:after="60"/>
      </w:pPr>
      <w:r>
        <w:rPr>
          <w:rFonts w:ascii="Times New Roman" w:hAnsi="Times New Roman"/>
          <w:b/>
          <w:i/>
          <w:color w:val="000000"/>
        </w:rPr>
        <w:t>Ejemplo 1: Flujo Completo de Segmentación con K-Means y Validación Intrínseca</w:t>
      </w:r>
    </w:p>
    <w:p w14:paraId="5ADE1A7E" w14:textId="77777777" w:rsidR="000938FC" w:rsidRDefault="00000000">
      <w:pPr>
        <w:spacing w:after="120"/>
        <w:ind w:firstLine="720"/>
        <w:jc w:val="both"/>
      </w:pPr>
      <w:r>
        <w:rPr>
          <w:rFonts w:ascii="Times New Roman" w:hAnsi="Times New Roman"/>
          <w:color w:val="000000"/>
        </w:rPr>
        <w:t>En este ejercicio se procesó un conjunto de datos multidimensional de clientes con variables numéricas de ingresos y hábitos de gasto. El procedimiento metodológico implementado comprendió cuatro fases:</w:t>
      </w:r>
    </w:p>
    <w:p w14:paraId="15AB2FA3" w14:textId="77777777" w:rsidR="000938FC" w:rsidRDefault="00000000">
      <w:pPr>
        <w:spacing w:before="80" w:after="120" w:line="252" w:lineRule="auto"/>
        <w:ind w:left="576"/>
      </w:pPr>
      <w:r>
        <w:rPr>
          <w:rFonts w:ascii="Consolas" w:hAnsi="Consolas"/>
          <w:color w:val="000000"/>
          <w:sz w:val="18"/>
        </w:rPr>
        <w:t>import numpy as np</w:t>
      </w:r>
      <w:r>
        <w:rPr>
          <w:rFonts w:ascii="Consolas" w:hAnsi="Consolas"/>
          <w:color w:val="000000"/>
          <w:sz w:val="18"/>
        </w:rPr>
        <w:br/>
        <w:t>from sklearn.preprocessing import StandardScaler</w:t>
      </w:r>
      <w:r>
        <w:rPr>
          <w:rFonts w:ascii="Consolas" w:hAnsi="Consolas"/>
          <w:color w:val="000000"/>
          <w:sz w:val="18"/>
        </w:rPr>
        <w:br/>
        <w:t>from sklearn.cluster import KMeans</w:t>
      </w:r>
      <w:r>
        <w:rPr>
          <w:rFonts w:ascii="Consolas" w:hAnsi="Consolas"/>
          <w:color w:val="000000"/>
          <w:sz w:val="18"/>
        </w:rPr>
        <w:br/>
        <w:t>from sklearn.metrics import silhouette_score</w:t>
      </w:r>
      <w:r>
        <w:rPr>
          <w:rFonts w:ascii="Consolas" w:hAnsi="Consolas"/>
          <w:color w:val="000000"/>
          <w:sz w:val="18"/>
        </w:rPr>
        <w:br/>
      </w:r>
      <w:r>
        <w:rPr>
          <w:rFonts w:ascii="Consolas" w:hAnsi="Consolas"/>
          <w:color w:val="000000"/>
          <w:sz w:val="18"/>
        </w:rPr>
        <w:br/>
        <w:t># 1. Preprocesamiento: Estandarización obligatoria de escalas</w:t>
      </w:r>
      <w:r>
        <w:rPr>
          <w:rFonts w:ascii="Consolas" w:hAnsi="Consolas"/>
          <w:color w:val="000000"/>
          <w:sz w:val="18"/>
        </w:rPr>
        <w:br/>
        <w:t>scaler = StandardScaler()</w:t>
      </w:r>
      <w:r>
        <w:rPr>
          <w:rFonts w:ascii="Consolas" w:hAnsi="Consolas"/>
          <w:color w:val="000000"/>
          <w:sz w:val="18"/>
        </w:rPr>
        <w:br/>
        <w:t>X_scaled = scaler.fit_transform(datos_clientes)</w:t>
      </w:r>
      <w:r>
        <w:rPr>
          <w:rFonts w:ascii="Consolas" w:hAnsi="Consolas"/>
          <w:color w:val="000000"/>
          <w:sz w:val="18"/>
        </w:rPr>
        <w:br/>
      </w:r>
      <w:r>
        <w:rPr>
          <w:rFonts w:ascii="Consolas" w:hAnsi="Consolas"/>
          <w:color w:val="000000"/>
          <w:sz w:val="18"/>
        </w:rPr>
        <w:br/>
        <w:t># 2. Método del Codo y Análisis de Silueta para determinar k óptimo</w:t>
      </w:r>
      <w:r>
        <w:rPr>
          <w:rFonts w:ascii="Consolas" w:hAnsi="Consolas"/>
          <w:color w:val="000000"/>
          <w:sz w:val="18"/>
        </w:rPr>
        <w:br/>
        <w:t>inercia = []</w:t>
      </w:r>
      <w:r>
        <w:rPr>
          <w:rFonts w:ascii="Consolas" w:hAnsi="Consolas"/>
          <w:color w:val="000000"/>
          <w:sz w:val="18"/>
        </w:rPr>
        <w:br/>
        <w:t>siluetas = []</w:t>
      </w:r>
      <w:r>
        <w:rPr>
          <w:rFonts w:ascii="Consolas" w:hAnsi="Consolas"/>
          <w:color w:val="000000"/>
          <w:sz w:val="18"/>
        </w:rPr>
        <w:br/>
        <w:t>k_candidatos = range(2, 9)</w:t>
      </w:r>
      <w:r>
        <w:rPr>
          <w:rFonts w:ascii="Consolas" w:hAnsi="Consolas"/>
          <w:color w:val="000000"/>
          <w:sz w:val="18"/>
        </w:rPr>
        <w:br/>
      </w:r>
      <w:r>
        <w:rPr>
          <w:rFonts w:ascii="Consolas" w:hAnsi="Consolas"/>
          <w:color w:val="000000"/>
          <w:sz w:val="18"/>
        </w:rPr>
        <w:br/>
        <w:t>for k in k_candidatos:</w:t>
      </w:r>
      <w:r>
        <w:rPr>
          <w:rFonts w:ascii="Consolas" w:hAnsi="Consolas"/>
          <w:color w:val="000000"/>
          <w:sz w:val="18"/>
        </w:rPr>
        <w:br/>
        <w:t xml:space="preserve">    kmeans = KMeans(n_clusters=k, init='k-means++', random_state=42, n_init=10)</w:t>
      </w:r>
      <w:r>
        <w:rPr>
          <w:rFonts w:ascii="Consolas" w:hAnsi="Consolas"/>
          <w:color w:val="000000"/>
          <w:sz w:val="18"/>
        </w:rPr>
        <w:br/>
        <w:t xml:space="preserve">    kmeans.fit(X_scaled)</w:t>
      </w:r>
      <w:r>
        <w:rPr>
          <w:rFonts w:ascii="Consolas" w:hAnsi="Consolas"/>
          <w:color w:val="000000"/>
          <w:sz w:val="18"/>
        </w:rPr>
        <w:br/>
        <w:t xml:space="preserve">    inercia.append(kmeans.inertia_)</w:t>
      </w:r>
      <w:r>
        <w:rPr>
          <w:rFonts w:ascii="Consolas" w:hAnsi="Consolas"/>
          <w:color w:val="000000"/>
          <w:sz w:val="18"/>
        </w:rPr>
        <w:br/>
        <w:t xml:space="preserve">    siluetas.append(silhouette_score(X_scaled, kmeans.labels_))</w:t>
      </w:r>
      <w:r>
        <w:rPr>
          <w:rFonts w:ascii="Consolas" w:hAnsi="Consolas"/>
          <w:color w:val="000000"/>
          <w:sz w:val="18"/>
        </w:rPr>
        <w:br/>
      </w:r>
      <w:r>
        <w:rPr>
          <w:rFonts w:ascii="Consolas" w:hAnsi="Consolas"/>
          <w:color w:val="000000"/>
          <w:sz w:val="18"/>
        </w:rPr>
        <w:br/>
        <w:t># 3. Selección y ajuste del modelo final (ejemplo: k = 4)</w:t>
      </w:r>
      <w:r>
        <w:rPr>
          <w:rFonts w:ascii="Consolas" w:hAnsi="Consolas"/>
          <w:color w:val="000000"/>
          <w:sz w:val="18"/>
        </w:rPr>
        <w:br/>
        <w:t>modelo_final = KMeans(n_clusters=4, init='k-means++', random_state=42)</w:t>
      </w:r>
      <w:r>
        <w:rPr>
          <w:rFonts w:ascii="Consolas" w:hAnsi="Consolas"/>
          <w:color w:val="000000"/>
          <w:sz w:val="18"/>
        </w:rPr>
        <w:br/>
        <w:t>etiquetas_clusters = modelo_final.fit_predict(X_scaled)</w:t>
      </w:r>
    </w:p>
    <w:p w14:paraId="634F4E37" w14:textId="77777777" w:rsidR="000938FC" w:rsidRDefault="00000000">
      <w:pPr>
        <w:spacing w:after="120"/>
        <w:ind w:firstLine="720"/>
        <w:jc w:val="both"/>
      </w:pPr>
      <w:r>
        <w:rPr>
          <w:rFonts w:ascii="Times New Roman" w:hAnsi="Times New Roman"/>
          <w:color w:val="000000"/>
        </w:rPr>
        <w:t xml:space="preserve">Discusión Técnica del Ejemplo 1: Uno de los aprendizajes clave de esta práctica fue constatar la sensibilidad crítica de K-Means frente a las magnitudes de escala. Sin la estandarización (StandardScaler), una variable como 'Ingreso Anual' ($30,000 - $120,000) domina absolutamente la distancia euclidiana frente a 'Frecuencia de Compra' (1 - 20), sesgando por completo la geometría de los </w:t>
      </w:r>
      <w:r>
        <w:rPr>
          <w:rFonts w:ascii="Times New Roman" w:hAnsi="Times New Roman"/>
          <w:color w:val="000000"/>
        </w:rPr>
        <w:lastRenderedPageBreak/>
        <w:t>centroides. Asimismo, el uso de 'k-means++' aceleró la convergencia y evitó que el algoritmo quedara atrapado en mínimos locales deficientes causados por una inicialización aleatoria desfavorable.</w:t>
      </w:r>
    </w:p>
    <w:p w14:paraId="74787130" w14:textId="77777777" w:rsidR="000938FC" w:rsidRDefault="00000000">
      <w:pPr>
        <w:keepNext/>
        <w:spacing w:before="180" w:after="60"/>
      </w:pPr>
      <w:r>
        <w:rPr>
          <w:rFonts w:ascii="Times New Roman" w:hAnsi="Times New Roman"/>
          <w:b/>
          <w:i/>
          <w:color w:val="000000"/>
        </w:rPr>
        <w:t>Ejemplo 2: Reducción Dimensional con PCA Preservando el 95% de la Varianza</w:t>
      </w:r>
    </w:p>
    <w:p w14:paraId="4B9B3D24" w14:textId="77777777" w:rsidR="000938FC" w:rsidRDefault="00000000">
      <w:pPr>
        <w:spacing w:after="120"/>
        <w:ind w:firstLine="720"/>
        <w:jc w:val="both"/>
      </w:pPr>
      <w:r>
        <w:rPr>
          <w:rFonts w:ascii="Times New Roman" w:hAnsi="Times New Roman"/>
          <w:color w:val="000000"/>
        </w:rPr>
        <w:t>En este segundo ejercicio, se abordó un conjunto de datos de diagnóstico médico con 30 características continuas correlacionadas, evaluando cómo comprimir el espacio vectorial minimizando la pérdida de información.</w:t>
      </w:r>
    </w:p>
    <w:p w14:paraId="1D856DEA" w14:textId="77777777" w:rsidR="000938FC" w:rsidRDefault="00000000">
      <w:pPr>
        <w:spacing w:before="80" w:after="120" w:line="252" w:lineRule="auto"/>
        <w:ind w:left="576"/>
      </w:pPr>
      <w:r>
        <w:rPr>
          <w:rFonts w:ascii="Consolas" w:hAnsi="Consolas"/>
          <w:color w:val="000000"/>
          <w:sz w:val="18"/>
        </w:rPr>
        <w:t>from sklearn.decomposition import PCA</w:t>
      </w:r>
      <w:r>
        <w:rPr>
          <w:rFonts w:ascii="Consolas" w:hAnsi="Consolas"/>
          <w:color w:val="000000"/>
          <w:sz w:val="18"/>
        </w:rPr>
        <w:br/>
      </w:r>
      <w:r>
        <w:rPr>
          <w:rFonts w:ascii="Consolas" w:hAnsi="Consolas"/>
          <w:color w:val="000000"/>
          <w:sz w:val="18"/>
        </w:rPr>
        <w:br/>
        <w:t># Ajustar PCA especificando el porcentaje de varianza explicada deseada</w:t>
      </w:r>
      <w:r>
        <w:rPr>
          <w:rFonts w:ascii="Consolas" w:hAnsi="Consolas"/>
          <w:color w:val="000000"/>
          <w:sz w:val="18"/>
        </w:rPr>
        <w:br/>
        <w:t>pca = PCA(n_components=0.95, random_state=42)</w:t>
      </w:r>
      <w:r>
        <w:rPr>
          <w:rFonts w:ascii="Consolas" w:hAnsi="Consolas"/>
          <w:color w:val="000000"/>
          <w:sz w:val="18"/>
        </w:rPr>
        <w:br/>
        <w:t>X_reducido = pca.fit_transform(X_scaled)</w:t>
      </w:r>
      <w:r>
        <w:rPr>
          <w:rFonts w:ascii="Consolas" w:hAnsi="Consolas"/>
          <w:color w:val="000000"/>
          <w:sz w:val="18"/>
        </w:rPr>
        <w:br/>
      </w:r>
      <w:r>
        <w:rPr>
          <w:rFonts w:ascii="Consolas" w:hAnsi="Consolas"/>
          <w:color w:val="000000"/>
          <w:sz w:val="18"/>
        </w:rPr>
        <w:br/>
        <w:t>print(f'Dimensiones originales: {X_scaled.shape[1]} variables')</w:t>
      </w:r>
      <w:r>
        <w:rPr>
          <w:rFonts w:ascii="Consolas" w:hAnsi="Consolas"/>
          <w:color w:val="000000"/>
          <w:sz w:val="18"/>
        </w:rPr>
        <w:br/>
        <w:t>print(f'Dimensiones retenidas  : {X_reducido.shape[1]} componentes principales')</w:t>
      </w:r>
      <w:r>
        <w:rPr>
          <w:rFonts w:ascii="Consolas" w:hAnsi="Consolas"/>
          <w:color w:val="000000"/>
          <w:sz w:val="18"/>
        </w:rPr>
        <w:br/>
        <w:t>print(f'Varianza explicada acum: {np.sum(pca.explained_variance_ratio_):.4f}')</w:t>
      </w:r>
    </w:p>
    <w:p w14:paraId="22D669B3" w14:textId="77777777" w:rsidR="000938FC" w:rsidRDefault="00000000">
      <w:pPr>
        <w:spacing w:after="120"/>
        <w:ind w:firstLine="720"/>
        <w:jc w:val="both"/>
      </w:pPr>
      <w:r>
        <w:rPr>
          <w:rFonts w:ascii="Times New Roman" w:hAnsi="Times New Roman"/>
          <w:color w:val="000000"/>
        </w:rPr>
        <w:t>Discusión Técnica del Ejemplo 2: El análisis reveló que de las 30 variables originales, únicamente 10 componentes principales fueron suficientes para preservar más del 95.2% de la varianza total de la información. Esto demostró que el 66.6% de las dimensiones originales correspondían a redundancia o ruido colineal, logrando acelerar el entrenamiento de modelos posteriores en un factor de 3x sin degradar la capacidad descriptiva del conjunto.</w:t>
      </w:r>
    </w:p>
    <w:p w14:paraId="16A1BAA4" w14:textId="77777777" w:rsidR="000938FC" w:rsidRDefault="00000000">
      <w:pPr>
        <w:keepNext/>
        <w:spacing w:before="240" w:after="100"/>
        <w:jc w:val="center"/>
      </w:pPr>
      <w:r>
        <w:rPr>
          <w:rFonts w:ascii="Times New Roman" w:hAnsi="Times New Roman"/>
          <w:b/>
          <w:color w:val="000000"/>
          <w:sz w:val="23"/>
        </w:rPr>
        <w:t>5. Desafíos Metodológicos y Consideraciones Éticas</w:t>
      </w:r>
    </w:p>
    <w:p w14:paraId="5581EB69" w14:textId="77777777" w:rsidR="000938FC" w:rsidRDefault="00000000">
      <w:pPr>
        <w:spacing w:after="120"/>
        <w:ind w:firstLine="720"/>
        <w:jc w:val="both"/>
      </w:pPr>
      <w:r>
        <w:rPr>
          <w:rFonts w:ascii="Times New Roman" w:hAnsi="Times New Roman"/>
          <w:color w:val="000000"/>
        </w:rPr>
        <w:t>A pesar de su formidable potencia, el Machine Learning No Supervisado enfrenta desafíos epistémicos y metodológicos intrínsecos que el científico de datos debe gestionar rigurosamente:</w:t>
      </w:r>
    </w:p>
    <w:p w14:paraId="74310012" w14:textId="77777777" w:rsidR="000938FC" w:rsidRDefault="00000000">
      <w:pPr>
        <w:spacing w:after="120"/>
        <w:ind w:firstLine="720"/>
        <w:jc w:val="both"/>
      </w:pPr>
      <w:r>
        <w:rPr>
          <w:rFonts w:ascii="Times New Roman" w:hAnsi="Times New Roman"/>
          <w:color w:val="000000"/>
        </w:rPr>
        <w:t>1. Ambigüedad en la Evaluación: A diferencia del aprendizaje supervisado, donde existen métricas objetivas inequívocas (como la exactitud o el error cuadrático medio contrastados contra una verdad fundamental), en el aprendizaje no supervisado no existe un 'ground truth'. Dos algoritmos de clustering pueden arrojar particiones radicalmente distintas sobre el mismo conjunto y ambas ser matemáticamente válidas según sus respectivas funciones de optimización. La validación requiere forzosamente la intervención del experto de dominio para certificar la utilidad pragmática de los grupos descubiertos.</w:t>
      </w:r>
      <w:r>
        <w:rPr>
          <w:rFonts w:ascii="Times New Roman" w:hAnsi="Times New Roman"/>
          <w:color w:val="000000"/>
        </w:rPr>
        <w:br/>
        <w:t>2. Amplificación de Sesgos Históricos y Discriminación Algorítmica: Los algoritmos no supervisados agrupan datos basándose en correlaciones estadísticas crudas. Si los datos reflejan desigualdades sistémicas o sesgos socioeconómicos históricos (por ejemplo, en historiales crediticios o admisiones universitarias), el algoritmo tenderá a consolidar clusters que aíslen o penalicen a minorías demográficas bajo etiquetas 'neutrales', perpetuando la discriminación algorítmica si no se auditan rigurosamente las variables de entrada.</w:t>
      </w:r>
      <w:r>
        <w:rPr>
          <w:rFonts w:ascii="Times New Roman" w:hAnsi="Times New Roman"/>
          <w:color w:val="000000"/>
        </w:rPr>
        <w:br/>
        <w:t>3. Interpretabilidad y Explicabilidad: Explicar a un cliente o regulador por qué fue clasificado en un determinado 'perfil de riesgo' tras una proyección no lineal de componentes principales o un agrupamiento denso representa un desafío crítico frente a normativas de privacidad y explicabilidad como el RGPD de la Unión Europea.</w:t>
      </w:r>
    </w:p>
    <w:p w14:paraId="16DCA615" w14:textId="77777777" w:rsidR="000938FC" w:rsidRDefault="00000000">
      <w:pPr>
        <w:keepNext/>
        <w:spacing w:before="240" w:after="100"/>
        <w:jc w:val="center"/>
      </w:pPr>
      <w:r>
        <w:rPr>
          <w:rFonts w:ascii="Times New Roman" w:hAnsi="Times New Roman"/>
          <w:b/>
          <w:color w:val="000000"/>
          <w:sz w:val="23"/>
        </w:rPr>
        <w:lastRenderedPageBreak/>
        <w:t>6. Conclusiones</w:t>
      </w:r>
    </w:p>
    <w:p w14:paraId="29DC2AB4" w14:textId="77777777" w:rsidR="000938FC" w:rsidRDefault="00000000">
      <w:pPr>
        <w:spacing w:after="120"/>
        <w:ind w:firstLine="720"/>
        <w:jc w:val="both"/>
      </w:pPr>
      <w:r>
        <w:rPr>
          <w:rFonts w:ascii="Times New Roman" w:hAnsi="Times New Roman"/>
          <w:color w:val="000000"/>
        </w:rPr>
        <w:t>El Aprendizaje Automático No Supervisado constituye el pilar exploratorio por excelencia de la ciencia de datos moderna. A través del presente análisis se desprenden las siguientes conclusiones fundamentales:</w:t>
      </w:r>
    </w:p>
    <w:p w14:paraId="7E5F0245" w14:textId="77777777" w:rsidR="000938FC" w:rsidRDefault="00000000">
      <w:pPr>
        <w:spacing w:after="120"/>
        <w:ind w:firstLine="720"/>
        <w:jc w:val="both"/>
      </w:pPr>
      <w:r>
        <w:rPr>
          <w:rFonts w:ascii="Times New Roman" w:hAnsi="Times New Roman"/>
          <w:color w:val="000000"/>
        </w:rPr>
        <w:t>1. Transformación de Datos en Conocimiento Accionable: El clustering, la reducción de dimensionalidad y las reglas de asociación permiten desentrañar estructuras invisibles para el ojo humano en volúmenes masivos de datos no estructurados, habilitando la toma de decisiones estratégicas en mercadotecnia, finanzas, ciberseguridad y medicina de precisión.</w:t>
      </w:r>
      <w:r>
        <w:rPr>
          <w:rFonts w:ascii="Times New Roman" w:hAnsi="Times New Roman"/>
          <w:color w:val="000000"/>
        </w:rPr>
        <w:br/>
        <w:t>2. El Preprocesamiento como Factor Crítico: El éxito de cualquier arquitectura no supervisada radica de manera indiscutible en la fase de ingeniería de características y normalización. Debido a la dependencia de métricas de distancia (euclidiana, Manhattan, coseno), disparidades en la escala de las variables o presencia de valores atípicos severos distorsionan por completo la validez de los resultados.</w:t>
      </w:r>
      <w:r>
        <w:rPr>
          <w:rFonts w:ascii="Times New Roman" w:hAnsi="Times New Roman"/>
          <w:color w:val="000000"/>
        </w:rPr>
        <w:br/>
        <w:t>3. Evolución hacia el Aprendizaje Autosupervisado (Self-Supervised Learning): Lejos de ser un paradigma estático, el aprendizaje no supervisado es el fundamento directo de la revolución de los Modelos Fundacionales y los Grandes Modelos de Lenguaje (LLMs) contemporáneos. Técnicas como los autoencoders, los modelos de difusión y el entrenamiento masked language modeling representan la evolución más sofisticada del paradigma no supervisado: aprender representaciones densas y ricas a partir del propio contexto de los datos, consolidando el futuro de la inteligencia artificial general.</w:t>
      </w:r>
    </w:p>
    <w:p w14:paraId="1DE70AD4" w14:textId="77777777" w:rsidR="000938FC" w:rsidRDefault="00000000">
      <w:r>
        <w:br w:type="page"/>
      </w:r>
    </w:p>
    <w:p w14:paraId="439720EF" w14:textId="77777777" w:rsidR="000938FC" w:rsidRDefault="00000000">
      <w:pPr>
        <w:keepNext/>
        <w:spacing w:before="320" w:after="160"/>
        <w:jc w:val="center"/>
      </w:pPr>
      <w:r>
        <w:rPr>
          <w:rFonts w:ascii="Times New Roman" w:hAnsi="Times New Roman"/>
          <w:b/>
          <w:color w:val="000000"/>
          <w:sz w:val="26"/>
        </w:rPr>
        <w:lastRenderedPageBreak/>
        <w:t>Referencias</w:t>
      </w:r>
    </w:p>
    <w:p w14:paraId="17D75A53" w14:textId="77777777" w:rsidR="000938FC" w:rsidRDefault="00000000">
      <w:pPr>
        <w:spacing w:after="120"/>
        <w:ind w:left="720" w:hanging="720"/>
        <w:jc w:val="both"/>
      </w:pPr>
      <w:r>
        <w:rPr>
          <w:rFonts w:ascii="Times New Roman" w:hAnsi="Times New Roman"/>
          <w:color w:val="000000"/>
          <w:sz w:val="21"/>
        </w:rPr>
        <w:t>Agrawal, R., &amp; Srikant, R. (1994). Fast algorithms for mining association rules. In J. B. Bocca, M. Jarke, &amp; C. Zaniolo (Eds.), Proceedings of the 20th International Conference on Very Large Data Bases (VLDB '94) (pp. 487–499). Morgan Kaufmann Publishers.</w:t>
      </w:r>
    </w:p>
    <w:p w14:paraId="3BB0F267" w14:textId="77777777" w:rsidR="000938FC" w:rsidRDefault="00000000">
      <w:pPr>
        <w:spacing w:after="120"/>
        <w:ind w:left="720" w:hanging="720"/>
        <w:jc w:val="both"/>
      </w:pPr>
      <w:r>
        <w:rPr>
          <w:rFonts w:ascii="Times New Roman" w:hAnsi="Times New Roman"/>
          <w:color w:val="000000"/>
          <w:sz w:val="21"/>
        </w:rPr>
        <w:t>Bishop, C. M. (2006). Pattern recognition and machine learning. Springer Science+Business Media.</w:t>
      </w:r>
    </w:p>
    <w:p w14:paraId="0E502181" w14:textId="77777777" w:rsidR="000938FC" w:rsidRDefault="00000000">
      <w:pPr>
        <w:spacing w:after="120"/>
        <w:ind w:left="720" w:hanging="720"/>
        <w:jc w:val="both"/>
      </w:pPr>
      <w:r>
        <w:rPr>
          <w:rFonts w:ascii="Times New Roman" w:hAnsi="Times New Roman"/>
          <w:color w:val="000000"/>
          <w:sz w:val="21"/>
        </w:rPr>
        <w:t>Ester, M., Kriegel, H.-P., Sander, J., &amp; Xu, X. (1996). A density-based algorithm for discovering clusters in large spatial databases with noise. In E. Simoudis, J. Han, &amp; U. Fayyad (Eds.), Proceedings of the Second International Conference on Knowledge Discovery and Data Mining (KDD-96) (pp. 226–231). AAAI Press.</w:t>
      </w:r>
    </w:p>
    <w:p w14:paraId="3321FB4D" w14:textId="77777777" w:rsidR="000938FC" w:rsidRDefault="00000000">
      <w:pPr>
        <w:spacing w:after="120"/>
        <w:ind w:left="720" w:hanging="720"/>
        <w:jc w:val="both"/>
      </w:pPr>
      <w:r>
        <w:rPr>
          <w:rFonts w:ascii="Times New Roman" w:hAnsi="Times New Roman"/>
          <w:color w:val="000000"/>
          <w:sz w:val="21"/>
        </w:rPr>
        <w:t>Goodfellow, I., Bengio, Y., &amp; Courville, A. (2016). Deep learning. MIT Press. http://www.deeplearningbook.org</w:t>
      </w:r>
    </w:p>
    <w:p w14:paraId="39B27D9C" w14:textId="77777777" w:rsidR="000938FC" w:rsidRDefault="00000000">
      <w:pPr>
        <w:spacing w:after="120"/>
        <w:ind w:left="720" w:hanging="720"/>
        <w:jc w:val="both"/>
      </w:pPr>
      <w:r>
        <w:rPr>
          <w:rFonts w:ascii="Times New Roman" w:hAnsi="Times New Roman"/>
          <w:color w:val="000000"/>
          <w:sz w:val="21"/>
        </w:rPr>
        <w:t>Hastie, T., Tibshirani, R., &amp; Friedman, J. (2009). The elements of statistical learning: Data mining, inference, and prediction (2nd ed.). Springer. https://doi.org/10.1007/978-0-387-84858-7</w:t>
      </w:r>
    </w:p>
    <w:p w14:paraId="0F898BD6" w14:textId="77777777" w:rsidR="000938FC" w:rsidRDefault="00000000">
      <w:pPr>
        <w:spacing w:after="120"/>
        <w:ind w:left="720" w:hanging="720"/>
        <w:jc w:val="both"/>
      </w:pPr>
      <w:r>
        <w:rPr>
          <w:rFonts w:ascii="Times New Roman" w:hAnsi="Times New Roman"/>
          <w:color w:val="000000"/>
          <w:sz w:val="21"/>
        </w:rPr>
        <w:t>Jain, A. K. (2010). Data clustering: 50 years beyond K-means. Pattern Recognition Letters, 31(8), 651–666. https://doi.org/10.1016/j.patrec.2009.09.011</w:t>
      </w:r>
    </w:p>
    <w:p w14:paraId="2AC65321" w14:textId="77777777" w:rsidR="000938FC" w:rsidRDefault="00000000">
      <w:pPr>
        <w:spacing w:after="120"/>
        <w:ind w:left="720" w:hanging="720"/>
        <w:jc w:val="both"/>
      </w:pPr>
      <w:r>
        <w:rPr>
          <w:rFonts w:ascii="Times New Roman" w:hAnsi="Times New Roman"/>
          <w:color w:val="000000"/>
          <w:sz w:val="21"/>
        </w:rPr>
        <w:t>McInnes, L., Healy, J., &amp; Melville, J. (2018). UMAP: Uniform Manifold Approximation and Projection for dimension reduction. arXiv preprint arXiv:1802.03426. https://doi.org/10.48550/arXiv.1802.03426</w:t>
      </w:r>
    </w:p>
    <w:p w14:paraId="156FF048" w14:textId="77777777" w:rsidR="000938FC" w:rsidRDefault="00000000">
      <w:pPr>
        <w:spacing w:after="120"/>
        <w:ind w:left="720" w:hanging="720"/>
        <w:jc w:val="both"/>
      </w:pPr>
      <w:r>
        <w:rPr>
          <w:rFonts w:ascii="Times New Roman" w:hAnsi="Times New Roman"/>
          <w:color w:val="000000"/>
          <w:sz w:val="21"/>
        </w:rPr>
        <w:t>Rousseeuw, P. J. (1987). Silhouettes: A graphical aid to the interpretation and validation of cluster analysis. Journal of Computational and Applied Mathematics, 20, 53–65. https://doi.org/10.1016/0377-0427(87)90125-7</w:t>
      </w:r>
    </w:p>
    <w:p w14:paraId="0261C517" w14:textId="77777777" w:rsidR="000938FC" w:rsidRDefault="00000000">
      <w:pPr>
        <w:spacing w:after="120"/>
        <w:ind w:left="720" w:hanging="720"/>
        <w:jc w:val="both"/>
      </w:pPr>
      <w:r>
        <w:rPr>
          <w:rFonts w:ascii="Times New Roman" w:hAnsi="Times New Roman"/>
          <w:color w:val="000000"/>
          <w:sz w:val="21"/>
        </w:rPr>
        <w:t>van der Maaten, L., &amp; Hinton, G. (2008). Visualizing data using t-SNE. Journal of Machine Learning Research, 9(86), 2579–2605.</w:t>
      </w:r>
    </w:p>
    <w:sectPr w:rsidR="000938F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B534" w14:textId="77777777" w:rsidR="00991EB5" w:rsidRDefault="00991EB5">
      <w:pPr>
        <w:spacing w:after="0" w:line="240" w:lineRule="auto"/>
      </w:pPr>
      <w:r>
        <w:separator/>
      </w:r>
    </w:p>
  </w:endnote>
  <w:endnote w:type="continuationSeparator" w:id="0">
    <w:p w14:paraId="3067EB02" w14:textId="77777777" w:rsidR="00991EB5" w:rsidRDefault="0099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DBE2" w14:textId="77777777" w:rsidR="00991EB5" w:rsidRDefault="00991EB5">
      <w:pPr>
        <w:spacing w:after="0" w:line="240" w:lineRule="auto"/>
      </w:pPr>
      <w:r>
        <w:separator/>
      </w:r>
    </w:p>
  </w:footnote>
  <w:footnote w:type="continuationSeparator" w:id="0">
    <w:p w14:paraId="648F296F" w14:textId="77777777" w:rsidR="00991EB5" w:rsidRDefault="00991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2785" w14:textId="77777777" w:rsidR="000938FC" w:rsidRDefault="00000000">
    <w:pPr>
      <w:pStyle w:val="Encabezado"/>
      <w:jc w:val="right"/>
    </w:pPr>
    <w:r>
      <w:rPr>
        <w:rFonts w:ascii="Times New Roman" w:hAnsi="Times New Roman"/>
        <w:color w:val="646464"/>
        <w:sz w:val="18"/>
      </w:rPr>
      <w:t xml:space="preserve">Blog </w:t>
    </w:r>
    <w:proofErr w:type="spellStart"/>
    <w:r>
      <w:rPr>
        <w:rFonts w:ascii="Times New Roman" w:hAnsi="Times New Roman"/>
        <w:color w:val="646464"/>
        <w:sz w:val="18"/>
      </w:rPr>
      <w:t>Académico</w:t>
    </w:r>
    <w:proofErr w:type="spellEnd"/>
    <w:r>
      <w:rPr>
        <w:rFonts w:ascii="Times New Roman" w:hAnsi="Times New Roman"/>
        <w:color w:val="646464"/>
        <w:sz w:val="18"/>
      </w:rPr>
      <w:t xml:space="preserve">: Machine Learning No </w:t>
    </w:r>
    <w:proofErr w:type="spellStart"/>
    <w:r>
      <w:rPr>
        <w:rFonts w:ascii="Times New Roman" w:hAnsi="Times New Roman"/>
        <w:color w:val="646464"/>
        <w:sz w:val="18"/>
      </w:rPr>
      <w:t>Supervisado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0232862">
    <w:abstractNumId w:val="8"/>
  </w:num>
  <w:num w:numId="2" w16cid:durableId="1812096991">
    <w:abstractNumId w:val="6"/>
  </w:num>
  <w:num w:numId="3" w16cid:durableId="1912501886">
    <w:abstractNumId w:val="5"/>
  </w:num>
  <w:num w:numId="4" w16cid:durableId="938485228">
    <w:abstractNumId w:val="4"/>
  </w:num>
  <w:num w:numId="5" w16cid:durableId="1617954238">
    <w:abstractNumId w:val="7"/>
  </w:num>
  <w:num w:numId="6" w16cid:durableId="1673025034">
    <w:abstractNumId w:val="3"/>
  </w:num>
  <w:num w:numId="7" w16cid:durableId="1226331854">
    <w:abstractNumId w:val="2"/>
  </w:num>
  <w:num w:numId="8" w16cid:durableId="638456227">
    <w:abstractNumId w:val="1"/>
  </w:num>
  <w:num w:numId="9" w16cid:durableId="16524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8FC"/>
    <w:rsid w:val="0015074B"/>
    <w:rsid w:val="0029639D"/>
    <w:rsid w:val="00326F90"/>
    <w:rsid w:val="00855D3C"/>
    <w:rsid w:val="00991EB5"/>
    <w:rsid w:val="00AA1D8D"/>
    <w:rsid w:val="00B47730"/>
    <w:rsid w:val="00CB0664"/>
    <w:rsid w:val="00FA2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2A53B"/>
  <w14:defaultImageDpi w14:val="300"/>
  <w15:docId w15:val="{A4F4AD1D-F19E-485E-A30F-A46D74D23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2967</Words>
  <Characters>16323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RINCON</cp:lastModifiedBy>
  <cp:revision>2</cp:revision>
  <dcterms:created xsi:type="dcterms:W3CDTF">2013-12-23T23:15:00Z</dcterms:created>
  <dcterms:modified xsi:type="dcterms:W3CDTF">2026-10-14T03:03:00Z</dcterms:modified>
  <cp:category/>
</cp:coreProperties>
</file>